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400"/>
          <w:tab w:val="left" w:pos="3600"/>
        </w:tabs>
        <w:ind w:firstLine="480"/>
        <w:rPr>
          <w:color w:val="0000FF"/>
        </w:rPr>
      </w:pPr>
    </w:p>
    <w:p>
      <w:pPr>
        <w:pStyle w:val="32"/>
        <w:ind w:left="120" w:firstLine="480"/>
      </w:pPr>
    </w:p>
    <w:p>
      <w:pPr>
        <w:pStyle w:val="32"/>
        <w:ind w:left="120" w:firstLine="480"/>
      </w:pPr>
    </w:p>
    <w:p>
      <w:pPr>
        <w:adjustRightInd w:val="0"/>
        <w:snapToGrid w:val="0"/>
        <w:spacing w:line="240" w:lineRule="auto"/>
        <w:ind w:firstLine="0" w:firstLineChars="0"/>
        <w:jc w:val="center"/>
        <w:outlineLvl w:val="0"/>
        <w:rPr>
          <w:rFonts w:eastAsiaTheme="minorEastAsia"/>
          <w:b/>
          <w:sz w:val="72"/>
          <w:szCs w:val="72"/>
        </w:rPr>
      </w:pPr>
      <w:r>
        <w:rPr>
          <w:rFonts w:eastAsiaTheme="minorEastAsia"/>
          <w:b/>
          <w:sz w:val="72"/>
          <w:szCs w:val="72"/>
        </w:rPr>
        <w:t>建设项目环境影响报告表</w:t>
      </w:r>
    </w:p>
    <w:p>
      <w:pPr>
        <w:adjustRightInd w:val="0"/>
        <w:snapToGrid w:val="0"/>
        <w:spacing w:before="192" w:beforeLines="80" w:line="240" w:lineRule="auto"/>
        <w:ind w:firstLine="0" w:firstLineChars="0"/>
        <w:jc w:val="center"/>
        <w:rPr>
          <w:rFonts w:eastAsiaTheme="minorEastAsia"/>
          <w:bCs/>
          <w:sz w:val="48"/>
          <w:szCs w:val="48"/>
        </w:rPr>
      </w:pPr>
      <w:r>
        <w:rPr>
          <w:rFonts w:hint="eastAsia" w:eastAsiaTheme="minorEastAsia"/>
          <w:bCs/>
          <w:sz w:val="48"/>
          <w:szCs w:val="48"/>
        </w:rPr>
        <w:t>(</w:t>
      </w:r>
      <w:r>
        <w:rPr>
          <w:rFonts w:eastAsiaTheme="minorEastAsia"/>
          <w:bCs/>
          <w:sz w:val="48"/>
          <w:szCs w:val="48"/>
        </w:rPr>
        <w:t>污染影响类</w:t>
      </w:r>
      <w:r>
        <w:rPr>
          <w:rFonts w:hint="eastAsia" w:eastAsiaTheme="minorEastAsia"/>
          <w:bCs/>
          <w:sz w:val="48"/>
          <w:szCs w:val="48"/>
        </w:rPr>
        <w:t>)</w:t>
      </w:r>
    </w:p>
    <w:p>
      <w:pPr>
        <w:pStyle w:val="2"/>
        <w:ind w:firstLine="960"/>
        <w:rPr>
          <w:rFonts w:eastAsiaTheme="minorEastAsia"/>
          <w:bCs/>
          <w:sz w:val="48"/>
          <w:szCs w:val="48"/>
        </w:rPr>
      </w:pPr>
    </w:p>
    <w:p>
      <w:pPr>
        <w:pStyle w:val="51"/>
        <w:ind w:firstLine="960"/>
        <w:rPr>
          <w:rFonts w:eastAsiaTheme="minorEastAsia"/>
          <w:sz w:val="48"/>
          <w:szCs w:val="48"/>
        </w:rPr>
      </w:pPr>
    </w:p>
    <w:p>
      <w:pPr>
        <w:ind w:firstLine="960"/>
        <w:rPr>
          <w:rFonts w:eastAsiaTheme="minorEastAsia"/>
          <w:bCs/>
          <w:sz w:val="48"/>
          <w:szCs w:val="48"/>
        </w:rPr>
      </w:pPr>
    </w:p>
    <w:p>
      <w:pPr>
        <w:pStyle w:val="32"/>
        <w:ind w:left="120" w:firstLine="480"/>
      </w:pPr>
    </w:p>
    <w:p>
      <w:pPr>
        <w:ind w:firstLine="960"/>
        <w:rPr>
          <w:rFonts w:eastAsiaTheme="minorEastAsia"/>
          <w:bCs/>
          <w:sz w:val="48"/>
          <w:szCs w:val="48"/>
        </w:rPr>
      </w:pPr>
    </w:p>
    <w:p>
      <w:pPr>
        <w:pStyle w:val="2"/>
      </w:pPr>
    </w:p>
    <w:p>
      <w:pPr>
        <w:pStyle w:val="51"/>
        <w:ind w:firstLine="360"/>
      </w:pPr>
    </w:p>
    <w:p>
      <w:pPr>
        <w:rPr>
          <w:sz w:val="36"/>
          <w:szCs w:val="36"/>
        </w:rPr>
      </w:pPr>
    </w:p>
    <w:p>
      <w:pPr>
        <w:ind w:left="3534" w:hanging="3534" w:hangingChars="1100"/>
        <w:rPr>
          <w:rFonts w:eastAsiaTheme="minorEastAsia"/>
          <w:b/>
          <w:bCs/>
          <w:sz w:val="32"/>
          <w:szCs w:val="32"/>
          <w:u w:val="single"/>
        </w:rPr>
      </w:pPr>
      <w:r>
        <w:rPr>
          <w:rFonts w:eastAsiaTheme="minorEastAsia"/>
          <w:b/>
          <w:bCs/>
          <w:sz w:val="32"/>
          <w:szCs w:val="32"/>
        </w:rPr>
        <w:t>项目名称：</w:t>
      </w:r>
      <w:r>
        <w:rPr>
          <w:rFonts w:hint="eastAsia" w:eastAsiaTheme="minorEastAsia"/>
          <w:b/>
          <w:bCs/>
          <w:sz w:val="32"/>
          <w:szCs w:val="32"/>
          <w:u w:val="single"/>
        </w:rPr>
        <w:t>迁安市九江线材有限责任公司整合重组减量置换项目</w:t>
      </w:r>
    </w:p>
    <w:p>
      <w:pPr>
        <w:ind w:firstLine="1446" w:firstLineChars="450"/>
        <w:rPr>
          <w:rFonts w:eastAsiaTheme="minorEastAsia"/>
          <w:sz w:val="32"/>
          <w:szCs w:val="32"/>
        </w:rPr>
      </w:pPr>
      <w:r>
        <w:rPr>
          <w:rFonts w:hint="eastAsia" w:eastAsiaTheme="minorEastAsia"/>
          <w:b/>
          <w:bCs/>
          <w:sz w:val="32"/>
          <w:szCs w:val="32"/>
          <w:u w:val="single"/>
        </w:rPr>
        <w:t>配套资源综合利用项目</w:t>
      </w:r>
    </w:p>
    <w:p>
      <w:pPr>
        <w:ind w:firstLine="0" w:firstLineChars="0"/>
        <w:jc w:val="both"/>
        <w:rPr>
          <w:rFonts w:eastAsiaTheme="minorEastAsia"/>
          <w:b/>
          <w:bCs/>
          <w:sz w:val="32"/>
          <w:szCs w:val="32"/>
          <w:u w:val="single"/>
        </w:rPr>
      </w:pPr>
      <w:r>
        <w:rPr>
          <w:rFonts w:eastAsiaTheme="minorEastAsia"/>
          <w:b/>
          <w:bCs/>
          <w:sz w:val="32"/>
          <w:szCs w:val="32"/>
        </w:rPr>
        <w:t>建设单位</w:t>
      </w:r>
      <w:r>
        <w:rPr>
          <w:rFonts w:hint="eastAsia" w:eastAsiaTheme="minorEastAsia"/>
          <w:b/>
          <w:bCs/>
          <w:sz w:val="32"/>
          <w:szCs w:val="32"/>
        </w:rPr>
        <w:t>(</w:t>
      </w:r>
      <w:r>
        <w:rPr>
          <w:rFonts w:eastAsiaTheme="minorEastAsia"/>
          <w:b/>
          <w:bCs/>
          <w:sz w:val="32"/>
          <w:szCs w:val="32"/>
        </w:rPr>
        <w:t>盖章</w:t>
      </w:r>
      <w:r>
        <w:rPr>
          <w:rFonts w:hint="eastAsia" w:eastAsiaTheme="minorEastAsia"/>
          <w:b/>
          <w:bCs/>
          <w:sz w:val="32"/>
          <w:szCs w:val="32"/>
        </w:rPr>
        <w:t>)</w:t>
      </w:r>
      <w:r>
        <w:rPr>
          <w:rFonts w:eastAsiaTheme="minorEastAsia"/>
          <w:b/>
          <w:bCs/>
          <w:sz w:val="32"/>
          <w:szCs w:val="32"/>
        </w:rPr>
        <w:t>：</w:t>
      </w:r>
      <w:r>
        <w:rPr>
          <w:rFonts w:hint="eastAsia" w:eastAsiaTheme="minorEastAsia"/>
          <w:b/>
          <w:bCs/>
          <w:sz w:val="32"/>
          <w:szCs w:val="32"/>
          <w:u w:val="single"/>
        </w:rPr>
        <w:t>迁安市九江线材有限责任公司</w:t>
      </w:r>
    </w:p>
    <w:p>
      <w:pPr>
        <w:ind w:firstLine="0" w:firstLineChars="0"/>
        <w:jc w:val="both"/>
        <w:rPr>
          <w:rFonts w:eastAsiaTheme="minorEastAsia"/>
          <w:sz w:val="32"/>
          <w:szCs w:val="32"/>
        </w:rPr>
      </w:pPr>
      <w:r>
        <w:rPr>
          <w:rFonts w:eastAsiaTheme="minorEastAsia"/>
          <w:b/>
          <w:bCs/>
          <w:sz w:val="32"/>
          <w:szCs w:val="32"/>
        </w:rPr>
        <w:t>编制日期：</w:t>
      </w:r>
      <w:r>
        <w:rPr>
          <w:rFonts w:hint="eastAsia" w:eastAsiaTheme="minorEastAsia"/>
          <w:sz w:val="32"/>
          <w:szCs w:val="32"/>
          <w:u w:val="single"/>
        </w:rPr>
        <w:t xml:space="preserve">          </w:t>
      </w:r>
      <w:r>
        <w:rPr>
          <w:rFonts w:eastAsiaTheme="minorEastAsia"/>
          <w:b/>
          <w:bCs/>
          <w:sz w:val="32"/>
          <w:szCs w:val="32"/>
          <w:u w:val="single"/>
        </w:rPr>
        <w:t>二零二</w:t>
      </w:r>
      <w:r>
        <w:rPr>
          <w:rFonts w:hint="eastAsia" w:eastAsiaTheme="minorEastAsia"/>
          <w:b/>
          <w:bCs/>
          <w:sz w:val="32"/>
          <w:szCs w:val="32"/>
          <w:u w:val="single"/>
        </w:rPr>
        <w:t>二</w:t>
      </w:r>
      <w:r>
        <w:rPr>
          <w:rFonts w:eastAsiaTheme="minorEastAsia"/>
          <w:b/>
          <w:bCs/>
          <w:sz w:val="32"/>
          <w:szCs w:val="32"/>
          <w:u w:val="single"/>
        </w:rPr>
        <w:t>年</w:t>
      </w:r>
      <w:r>
        <w:rPr>
          <w:rFonts w:hint="eastAsia" w:eastAsiaTheme="minorEastAsia"/>
          <w:b/>
          <w:bCs/>
          <w:sz w:val="32"/>
          <w:szCs w:val="32"/>
          <w:u w:val="single"/>
          <w:lang w:val="en-US" w:eastAsia="zh-CN"/>
        </w:rPr>
        <w:t>十一</w:t>
      </w:r>
      <w:r>
        <w:rPr>
          <w:rFonts w:eastAsiaTheme="minorEastAsia"/>
          <w:b/>
          <w:bCs/>
          <w:sz w:val="32"/>
          <w:szCs w:val="32"/>
          <w:u w:val="single"/>
        </w:rPr>
        <w:t>月</w:t>
      </w:r>
      <w:r>
        <w:rPr>
          <w:rFonts w:hint="eastAsia" w:eastAsiaTheme="minorEastAsia"/>
          <w:sz w:val="32"/>
          <w:szCs w:val="32"/>
          <w:u w:val="single"/>
        </w:rPr>
        <w:t xml:space="preserve">                    </w:t>
      </w:r>
    </w:p>
    <w:p>
      <w:pPr>
        <w:ind w:firstLine="643"/>
        <w:jc w:val="both"/>
        <w:rPr>
          <w:rFonts w:eastAsiaTheme="minorEastAsia"/>
          <w:b/>
          <w:bCs/>
          <w:sz w:val="32"/>
          <w:szCs w:val="32"/>
        </w:rPr>
      </w:pPr>
    </w:p>
    <w:p>
      <w:pPr>
        <w:spacing w:line="240" w:lineRule="auto"/>
        <w:jc w:val="both"/>
        <w:rPr>
          <w:rFonts w:eastAsiaTheme="minorEastAsia"/>
          <w:sz w:val="36"/>
          <w:szCs w:val="36"/>
        </w:rPr>
      </w:pPr>
    </w:p>
    <w:p>
      <w:pPr>
        <w:spacing w:line="240" w:lineRule="auto"/>
        <w:jc w:val="both"/>
        <w:rPr>
          <w:rFonts w:eastAsiaTheme="minorEastAsia"/>
          <w:sz w:val="36"/>
          <w:szCs w:val="36"/>
        </w:rPr>
      </w:pPr>
    </w:p>
    <w:p>
      <w:pPr>
        <w:spacing w:line="240" w:lineRule="auto"/>
        <w:ind w:firstLine="0" w:firstLineChars="0"/>
        <w:jc w:val="center"/>
        <w:rPr>
          <w:rFonts w:eastAsiaTheme="minorEastAsia"/>
          <w:sz w:val="36"/>
          <w:szCs w:val="36"/>
        </w:rPr>
      </w:pPr>
      <w:r>
        <w:rPr>
          <w:rFonts w:eastAsiaTheme="minorEastAsia"/>
          <w:sz w:val="36"/>
          <w:szCs w:val="36"/>
        </w:rPr>
        <w:t>中华人民共和国生态环境部制</w:t>
      </w:r>
    </w:p>
    <w:p>
      <w:pPr>
        <w:adjustRightInd w:val="0"/>
        <w:snapToGrid w:val="0"/>
        <w:spacing w:line="288" w:lineRule="auto"/>
        <w:rPr>
          <w:rFonts w:eastAsiaTheme="minorEastAsia"/>
          <w:sz w:val="36"/>
          <w:szCs w:val="36"/>
        </w:rPr>
        <w:sectPr>
          <w:footerReference r:id="rId5" w:type="default"/>
          <w:footerReference r:id="rId6" w:type="even"/>
          <w:pgSz w:w="11906" w:h="16838"/>
          <w:pgMar w:top="1701" w:right="1531" w:bottom="1701" w:left="1531" w:header="851" w:footer="1077" w:gutter="0"/>
          <w:pgNumType w:start="3"/>
          <w:cols w:space="720" w:num="1"/>
          <w:docGrid w:linePitch="312" w:charSpace="0"/>
        </w:sectPr>
      </w:pPr>
    </w:p>
    <w:p>
      <w:pPr>
        <w:pStyle w:val="72"/>
        <w:snapToGrid w:val="0"/>
        <w:spacing w:before="0" w:beforeAutospacing="0" w:after="0" w:afterAutospacing="0" w:line="240" w:lineRule="auto"/>
        <w:ind w:firstLine="0" w:firstLineChars="0"/>
        <w:outlineLvl w:val="0"/>
        <w:rPr>
          <w:rFonts w:ascii="Times New Roman" w:hAnsi="Times New Roman" w:eastAsiaTheme="minorEastAsia"/>
          <w:b/>
          <w:bCs/>
          <w:snapToGrid w:val="0"/>
          <w:sz w:val="32"/>
          <w:szCs w:val="32"/>
        </w:rPr>
      </w:pPr>
      <w:r>
        <w:rPr>
          <w:rFonts w:ascii="Times New Roman" w:hAnsi="Times New Roman" w:eastAsiaTheme="minorEastAsia"/>
          <w:b/>
          <w:bCs/>
          <w:snapToGrid w:val="0"/>
          <w:sz w:val="32"/>
          <w:szCs w:val="32"/>
        </w:rPr>
        <w:t>一、建设项目基本情况</w:t>
      </w:r>
    </w:p>
    <w:tbl>
      <w:tblPr>
        <w:tblStyle w:val="79"/>
        <w:tblW w:w="88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29"/>
        <w:gridCol w:w="2209"/>
        <w:gridCol w:w="2144"/>
        <w:gridCol w:w="32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建设项目名称</w:t>
            </w:r>
          </w:p>
        </w:tc>
        <w:tc>
          <w:tcPr>
            <w:tcW w:w="7186" w:type="dxa"/>
            <w:gridSpan w:val="3"/>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迁安市九江线材有限责任公司整合重组减量置换项目配套资源综合利用项目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项目代码</w:t>
            </w:r>
          </w:p>
        </w:tc>
        <w:tc>
          <w:tcPr>
            <w:tcW w:w="7186" w:type="dxa"/>
            <w:gridSpan w:val="3"/>
            <w:vAlign w:val="center"/>
          </w:tcPr>
          <w:p>
            <w:pPr>
              <w:autoSpaceDE w:val="0"/>
              <w:autoSpaceDN w:val="0"/>
              <w:adjustRightInd w:val="0"/>
              <w:snapToGrid w:val="0"/>
              <w:spacing w:line="240" w:lineRule="auto"/>
              <w:ind w:firstLine="0" w:firstLineChars="0"/>
              <w:jc w:val="center"/>
              <w:rPr>
                <w:rFonts w:eastAsiaTheme="minorEastAsia"/>
                <w:color w:val="0000FF"/>
                <w:kern w:val="0"/>
              </w:rPr>
            </w:pPr>
            <w:r>
              <w:rPr>
                <w:rFonts w:hint="eastAsia" w:eastAsiaTheme="minorEastAsia"/>
                <w:kern w:val="0"/>
              </w:rPr>
              <w:t>2207</w:t>
            </w:r>
            <w:r>
              <w:rPr>
                <w:rFonts w:eastAsiaTheme="minorEastAsia"/>
                <w:kern w:val="0"/>
              </w:rPr>
              <w:t>-130</w:t>
            </w:r>
            <w:r>
              <w:rPr>
                <w:rFonts w:hint="eastAsia" w:eastAsiaTheme="minorEastAsia"/>
                <w:kern w:val="0"/>
              </w:rPr>
              <w:t>200</w:t>
            </w:r>
            <w:r>
              <w:rPr>
                <w:rFonts w:eastAsiaTheme="minorEastAsia"/>
                <w:kern w:val="0"/>
              </w:rPr>
              <w:t>-89-0</w:t>
            </w:r>
            <w:r>
              <w:rPr>
                <w:rFonts w:hint="eastAsia" w:eastAsiaTheme="minorEastAsia"/>
                <w:kern w:val="0"/>
              </w:rPr>
              <w:t>1</w:t>
            </w:r>
            <w:r>
              <w:rPr>
                <w:rFonts w:eastAsiaTheme="minorEastAsia"/>
                <w:kern w:val="0"/>
              </w:rPr>
              <w:t>-</w:t>
            </w:r>
            <w:r>
              <w:rPr>
                <w:rFonts w:hint="eastAsia" w:eastAsiaTheme="minorEastAsia"/>
                <w:kern w:val="0"/>
              </w:rPr>
              <w:t>213208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建设单位联系人</w:t>
            </w:r>
          </w:p>
        </w:tc>
        <w:tc>
          <w:tcPr>
            <w:tcW w:w="2115"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巩恩伯</w:t>
            </w:r>
          </w:p>
        </w:tc>
        <w:tc>
          <w:tcPr>
            <w:tcW w:w="2194"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eastAsiaTheme="minorEastAsia"/>
                <w:b/>
                <w:bCs/>
                <w:kern w:val="0"/>
              </w:rPr>
              <w:t>联系方式</w:t>
            </w:r>
          </w:p>
        </w:tc>
        <w:tc>
          <w:tcPr>
            <w:tcW w:w="2877"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18931444081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建设地点</w:t>
            </w:r>
          </w:p>
        </w:tc>
        <w:tc>
          <w:tcPr>
            <w:tcW w:w="7186" w:type="dxa"/>
            <w:gridSpan w:val="3"/>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河北迁安经济开发区(迁安市木厂口镇)，公司现有厂区内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地理坐标</w:t>
            </w:r>
          </w:p>
        </w:tc>
        <w:tc>
          <w:tcPr>
            <w:tcW w:w="7186" w:type="dxa"/>
            <w:gridSpan w:val="3"/>
            <w:vAlign w:val="center"/>
          </w:tcPr>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t>东经118.563570°，</w:t>
            </w:r>
            <w:r>
              <w:rPr>
                <w:rFonts w:hint="eastAsia" w:eastAsiaTheme="minorEastAsia"/>
                <w:kern w:val="0"/>
              </w:rPr>
              <w:t>北纬</w:t>
            </w:r>
            <w:r>
              <w:rPr>
                <w:rFonts w:eastAsiaTheme="minorEastAsia"/>
                <w:kern w:val="0"/>
              </w:rPr>
              <w:t>39.949450°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国民经济行业类别</w:t>
            </w:r>
          </w:p>
        </w:tc>
        <w:tc>
          <w:tcPr>
            <w:tcW w:w="2115" w:type="dxa"/>
            <w:vAlign w:val="center"/>
          </w:tcPr>
          <w:p>
            <w:pPr>
              <w:autoSpaceDE w:val="0"/>
              <w:autoSpaceDN w:val="0"/>
              <w:adjustRightInd w:val="0"/>
              <w:snapToGrid w:val="0"/>
              <w:spacing w:line="240" w:lineRule="auto"/>
              <w:ind w:firstLine="0" w:firstLineChars="0"/>
              <w:jc w:val="center"/>
            </w:pPr>
            <w:r>
              <w:rPr>
                <w:rFonts w:hint="eastAsia"/>
              </w:rPr>
              <w:t>4411火力发电</w:t>
            </w:r>
          </w:p>
        </w:tc>
        <w:tc>
          <w:tcPr>
            <w:tcW w:w="2194" w:type="dxa"/>
            <w:vAlign w:val="center"/>
          </w:tcPr>
          <w:p>
            <w:pPr>
              <w:autoSpaceDE w:val="0"/>
              <w:autoSpaceDN w:val="0"/>
              <w:adjustRightInd w:val="0"/>
              <w:snapToGrid w:val="0"/>
              <w:spacing w:line="240" w:lineRule="auto"/>
              <w:ind w:firstLine="0" w:firstLineChars="0"/>
              <w:jc w:val="center"/>
              <w:rPr>
                <w:rFonts w:eastAsiaTheme="minorEastAsia"/>
                <w:b/>
                <w:bCs/>
                <w:kern w:val="0"/>
              </w:rPr>
            </w:pPr>
            <w:bookmarkStart w:id="0" w:name="_Hlk49843745"/>
            <w:r>
              <w:rPr>
                <w:rFonts w:eastAsiaTheme="minorEastAsia"/>
                <w:b/>
                <w:bCs/>
                <w:kern w:val="0"/>
              </w:rPr>
              <w:t>建设项目行业类别</w:t>
            </w:r>
            <w:bookmarkEnd w:id="0"/>
          </w:p>
        </w:tc>
        <w:tc>
          <w:tcPr>
            <w:tcW w:w="2877"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rPr>
              <w:t>四十一、电力、热力生产和供应业-火力发电4411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建设性质</w:t>
            </w:r>
          </w:p>
        </w:tc>
        <w:tc>
          <w:tcPr>
            <w:tcW w:w="2115"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sym w:font="Wingdings 2" w:char="0052"/>
            </w:r>
            <w:r>
              <w:rPr>
                <w:rFonts w:eastAsiaTheme="minorEastAsia"/>
                <w:kern w:val="0"/>
              </w:rPr>
              <w:t>新建</w:t>
            </w:r>
            <w:r>
              <w:rPr>
                <w:rFonts w:hint="eastAsia" w:eastAsiaTheme="minorEastAsia"/>
                <w:kern w:val="0"/>
              </w:rPr>
              <w:t>(</w:t>
            </w:r>
            <w:r>
              <w:rPr>
                <w:rFonts w:eastAsiaTheme="minorEastAsia"/>
                <w:kern w:val="0"/>
              </w:rPr>
              <w:t>迁建</w:t>
            </w:r>
            <w:r>
              <w:rPr>
                <w:rFonts w:hint="eastAsia" w:eastAsiaTheme="minorEastAsia"/>
                <w:kern w:val="0"/>
              </w:rPr>
              <w:t>)</w:t>
            </w:r>
          </w:p>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t>□改建</w:t>
            </w:r>
          </w:p>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t>□扩建</w:t>
            </w:r>
          </w:p>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sym w:font="Wingdings 2" w:char="00A3"/>
            </w:r>
            <w:r>
              <w:rPr>
                <w:rFonts w:eastAsiaTheme="minorEastAsia"/>
                <w:kern w:val="0"/>
              </w:rPr>
              <w:t>技术改造</w:t>
            </w:r>
          </w:p>
        </w:tc>
        <w:tc>
          <w:tcPr>
            <w:tcW w:w="2194" w:type="dxa"/>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建设项目</w:t>
            </w:r>
          </w:p>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申报情形</w:t>
            </w:r>
          </w:p>
        </w:tc>
        <w:tc>
          <w:tcPr>
            <w:tcW w:w="2877"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t>√首次申报项目</w:t>
            </w:r>
          </w:p>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t>□不予批准后再次申报项目</w:t>
            </w:r>
          </w:p>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sym w:font="Wingdings 2" w:char="00A3"/>
            </w:r>
            <w:r>
              <w:rPr>
                <w:rFonts w:eastAsiaTheme="minorEastAsia"/>
                <w:kern w:val="0"/>
              </w:rPr>
              <w:t>超五年重新审核项目</w:t>
            </w:r>
          </w:p>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项目审批</w:t>
            </w:r>
            <w:r>
              <w:rPr>
                <w:rFonts w:hint="eastAsia" w:eastAsiaTheme="minorEastAsia"/>
                <w:b/>
                <w:bCs/>
                <w:kern w:val="0"/>
              </w:rPr>
              <w:t>(</w:t>
            </w:r>
            <w:r>
              <w:rPr>
                <w:rFonts w:eastAsiaTheme="minorEastAsia"/>
                <w:b/>
                <w:bCs/>
                <w:kern w:val="0"/>
              </w:rPr>
              <w:t>核准/</w:t>
            </w:r>
          </w:p>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备案</w:t>
            </w:r>
            <w:r>
              <w:rPr>
                <w:rFonts w:hint="eastAsia" w:eastAsiaTheme="minorEastAsia"/>
                <w:b/>
                <w:bCs/>
                <w:kern w:val="0"/>
              </w:rPr>
              <w:t>)</w:t>
            </w:r>
            <w:r>
              <w:rPr>
                <w:rFonts w:eastAsiaTheme="minorEastAsia"/>
                <w:b/>
                <w:bCs/>
                <w:kern w:val="0"/>
              </w:rPr>
              <w:t>部门</w:t>
            </w:r>
            <w:r>
              <w:rPr>
                <w:rFonts w:hint="eastAsia" w:eastAsiaTheme="minorEastAsia"/>
                <w:b/>
                <w:bCs/>
                <w:kern w:val="0"/>
              </w:rPr>
              <w:t>(</w:t>
            </w:r>
            <w:r>
              <w:rPr>
                <w:rFonts w:eastAsiaTheme="minorEastAsia"/>
                <w:b/>
                <w:bCs/>
                <w:kern w:val="0"/>
              </w:rPr>
              <w:t>选填</w:t>
            </w:r>
            <w:r>
              <w:rPr>
                <w:rFonts w:hint="eastAsia" w:eastAsiaTheme="minorEastAsia"/>
                <w:b/>
                <w:bCs/>
                <w:kern w:val="0"/>
              </w:rPr>
              <w:t>)</w:t>
            </w:r>
          </w:p>
        </w:tc>
        <w:tc>
          <w:tcPr>
            <w:tcW w:w="2115"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唐山市行政审批局</w:t>
            </w:r>
          </w:p>
        </w:tc>
        <w:tc>
          <w:tcPr>
            <w:tcW w:w="2194" w:type="dxa"/>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项目审批</w:t>
            </w:r>
            <w:r>
              <w:rPr>
                <w:rFonts w:hint="eastAsia" w:eastAsiaTheme="minorEastAsia"/>
                <w:b/>
                <w:bCs/>
                <w:kern w:val="0"/>
              </w:rPr>
              <w:t>(</w:t>
            </w:r>
            <w:r>
              <w:rPr>
                <w:rFonts w:eastAsiaTheme="minorEastAsia"/>
                <w:b/>
                <w:bCs/>
                <w:kern w:val="0"/>
              </w:rPr>
              <w:t>核准/</w:t>
            </w:r>
          </w:p>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备案</w:t>
            </w:r>
            <w:r>
              <w:rPr>
                <w:rFonts w:hint="eastAsia" w:eastAsiaTheme="minorEastAsia"/>
                <w:b/>
                <w:bCs/>
                <w:kern w:val="0"/>
              </w:rPr>
              <w:t>)</w:t>
            </w:r>
            <w:r>
              <w:rPr>
                <w:rFonts w:eastAsiaTheme="minorEastAsia"/>
                <w:b/>
                <w:bCs/>
                <w:kern w:val="0"/>
              </w:rPr>
              <w:t>文号</w:t>
            </w:r>
            <w:r>
              <w:rPr>
                <w:rFonts w:hint="eastAsia" w:eastAsiaTheme="minorEastAsia"/>
                <w:b/>
                <w:bCs/>
                <w:kern w:val="0"/>
              </w:rPr>
              <w:t>(</w:t>
            </w:r>
            <w:r>
              <w:rPr>
                <w:rFonts w:eastAsiaTheme="minorEastAsia"/>
                <w:b/>
                <w:bCs/>
                <w:kern w:val="0"/>
              </w:rPr>
              <w:t>选填</w:t>
            </w:r>
            <w:r>
              <w:rPr>
                <w:rFonts w:hint="eastAsia" w:eastAsiaTheme="minorEastAsia"/>
                <w:b/>
                <w:bCs/>
                <w:kern w:val="0"/>
              </w:rPr>
              <w:t>)</w:t>
            </w:r>
          </w:p>
        </w:tc>
        <w:tc>
          <w:tcPr>
            <w:tcW w:w="2877"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唐审投资核字[2022]29号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总投资</w:t>
            </w:r>
            <w:r>
              <w:rPr>
                <w:rFonts w:hint="eastAsia" w:eastAsiaTheme="minorEastAsia"/>
                <w:b/>
                <w:bCs/>
                <w:kern w:val="0"/>
              </w:rPr>
              <w:t>(</w:t>
            </w:r>
            <w:r>
              <w:rPr>
                <w:rFonts w:eastAsiaTheme="minorEastAsia"/>
                <w:b/>
                <w:bCs/>
                <w:kern w:val="0"/>
              </w:rPr>
              <w:t>万元</w:t>
            </w:r>
            <w:r>
              <w:rPr>
                <w:rFonts w:hint="eastAsia" w:eastAsiaTheme="minorEastAsia"/>
                <w:b/>
                <w:bCs/>
                <w:kern w:val="0"/>
              </w:rPr>
              <w:t>)</w:t>
            </w:r>
          </w:p>
        </w:tc>
        <w:tc>
          <w:tcPr>
            <w:tcW w:w="2115"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44578.9</w:t>
            </w:r>
          </w:p>
        </w:tc>
        <w:tc>
          <w:tcPr>
            <w:tcW w:w="2194"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环保投资</w:t>
            </w:r>
            <w:r>
              <w:rPr>
                <w:rFonts w:hint="eastAsia" w:eastAsiaTheme="minorEastAsia"/>
                <w:b/>
                <w:bCs/>
                <w:kern w:val="0"/>
              </w:rPr>
              <w:t>(</w:t>
            </w:r>
            <w:r>
              <w:rPr>
                <w:rFonts w:eastAsiaTheme="minorEastAsia"/>
                <w:b/>
                <w:bCs/>
                <w:kern w:val="0"/>
              </w:rPr>
              <w:t>万元</w:t>
            </w:r>
            <w:r>
              <w:rPr>
                <w:rFonts w:hint="eastAsia" w:eastAsiaTheme="minorEastAsia"/>
                <w:b/>
                <w:bCs/>
                <w:kern w:val="0"/>
              </w:rPr>
              <w:t>)</w:t>
            </w:r>
          </w:p>
        </w:tc>
        <w:tc>
          <w:tcPr>
            <w:tcW w:w="2877"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环保投资占比</w:t>
            </w:r>
            <w:r>
              <w:rPr>
                <w:rFonts w:hint="eastAsia" w:eastAsiaTheme="minorEastAsia"/>
                <w:b/>
                <w:bCs/>
                <w:kern w:val="0"/>
              </w:rPr>
              <w:t>(</w:t>
            </w:r>
            <w:r>
              <w:rPr>
                <w:rFonts w:eastAsiaTheme="minorEastAsia"/>
                <w:b/>
                <w:bCs/>
                <w:kern w:val="0"/>
              </w:rPr>
              <w:t>%</w:t>
            </w:r>
            <w:r>
              <w:rPr>
                <w:rFonts w:hint="eastAsia" w:eastAsiaTheme="minorEastAsia"/>
                <w:b/>
                <w:bCs/>
                <w:kern w:val="0"/>
              </w:rPr>
              <w:t>)</w:t>
            </w:r>
          </w:p>
        </w:tc>
        <w:tc>
          <w:tcPr>
            <w:tcW w:w="2115"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4.49%</w:t>
            </w:r>
          </w:p>
        </w:tc>
        <w:tc>
          <w:tcPr>
            <w:tcW w:w="2194"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施工工期</w:t>
            </w:r>
          </w:p>
        </w:tc>
        <w:tc>
          <w:tcPr>
            <w:tcW w:w="2877"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10</w:t>
            </w:r>
            <w:r>
              <w:rPr>
                <w:rFonts w:eastAsiaTheme="minorEastAsia"/>
                <w:kern w:val="0"/>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8"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是否开工建设</w:t>
            </w:r>
          </w:p>
        </w:tc>
        <w:tc>
          <w:tcPr>
            <w:tcW w:w="2115"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t>√否</w:t>
            </w:r>
          </w:p>
          <w:p>
            <w:pPr>
              <w:autoSpaceDE w:val="0"/>
              <w:autoSpaceDN w:val="0"/>
              <w:adjustRightInd w:val="0"/>
              <w:snapToGrid w:val="0"/>
              <w:spacing w:line="240" w:lineRule="auto"/>
              <w:ind w:firstLine="0" w:firstLineChars="0"/>
              <w:jc w:val="center"/>
              <w:rPr>
                <w:rFonts w:eastAsiaTheme="minorEastAsia"/>
                <w:kern w:val="0"/>
              </w:rPr>
            </w:pPr>
            <w:r>
              <w:rPr>
                <w:rFonts w:eastAsiaTheme="minorEastAsia"/>
                <w:kern w:val="0"/>
              </w:rPr>
              <w:sym w:font="Wingdings 2" w:char="00A3"/>
            </w:r>
            <w:r>
              <w:rPr>
                <w:rFonts w:eastAsiaTheme="minorEastAsia"/>
                <w:kern w:val="0"/>
              </w:rPr>
              <w:t>是：</w:t>
            </w:r>
          </w:p>
        </w:tc>
        <w:tc>
          <w:tcPr>
            <w:tcW w:w="2194"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用地</w:t>
            </w:r>
            <w:r>
              <w:rPr>
                <w:rFonts w:hint="eastAsia" w:eastAsiaTheme="minorEastAsia"/>
                <w:b/>
                <w:bCs/>
                <w:kern w:val="0"/>
              </w:rPr>
              <w:t>(</w:t>
            </w:r>
            <w:r>
              <w:rPr>
                <w:rFonts w:eastAsiaTheme="minorEastAsia"/>
                <w:b/>
                <w:bCs/>
                <w:kern w:val="0"/>
              </w:rPr>
              <w:t>用海</w:t>
            </w:r>
            <w:r>
              <w:rPr>
                <w:rFonts w:hint="eastAsia" w:eastAsiaTheme="minorEastAsia"/>
                <w:b/>
                <w:bCs/>
                <w:kern w:val="0"/>
              </w:rPr>
              <w:t>)</w:t>
            </w:r>
          </w:p>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面积</w:t>
            </w:r>
            <w:r>
              <w:rPr>
                <w:rFonts w:hint="eastAsia" w:eastAsiaTheme="minorEastAsia"/>
                <w:b/>
                <w:bCs/>
                <w:kern w:val="0"/>
              </w:rPr>
              <w:t>(</w:t>
            </w:r>
            <w:r>
              <w:rPr>
                <w:rFonts w:eastAsiaTheme="minorEastAsia"/>
                <w:b/>
                <w:bCs/>
                <w:kern w:val="0"/>
              </w:rPr>
              <w:t>m</w:t>
            </w:r>
            <w:r>
              <w:rPr>
                <w:rFonts w:eastAsiaTheme="minorEastAsia"/>
                <w:b/>
                <w:bCs/>
                <w:kern w:val="0"/>
                <w:vertAlign w:val="superscript"/>
              </w:rPr>
              <w:t>2</w:t>
            </w:r>
            <w:r>
              <w:rPr>
                <w:rFonts w:hint="eastAsia" w:eastAsiaTheme="minorEastAsia"/>
                <w:b/>
                <w:bCs/>
                <w:kern w:val="0"/>
              </w:rPr>
              <w:t>)</w:t>
            </w:r>
          </w:p>
        </w:tc>
        <w:tc>
          <w:tcPr>
            <w:tcW w:w="2877" w:type="dxa"/>
            <w:vAlign w:val="center"/>
          </w:tcPr>
          <w:p>
            <w:pPr>
              <w:autoSpaceDE w:val="0"/>
              <w:autoSpaceDN w:val="0"/>
              <w:adjustRightInd w:val="0"/>
              <w:snapToGrid w:val="0"/>
              <w:spacing w:line="240" w:lineRule="auto"/>
              <w:ind w:firstLine="0" w:firstLineChars="0"/>
              <w:jc w:val="center"/>
              <w:rPr>
                <w:rFonts w:eastAsiaTheme="minorEastAsia"/>
                <w:kern w:val="0"/>
              </w:rPr>
            </w:pPr>
            <w:r>
              <w:rPr>
                <w:rFonts w:hint="eastAsia" w:eastAsiaTheme="minorEastAsia"/>
                <w:kern w:val="0"/>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698" w:type="dxa"/>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专项评价设置情况</w:t>
            </w:r>
          </w:p>
        </w:tc>
        <w:tc>
          <w:tcPr>
            <w:tcW w:w="7186" w:type="dxa"/>
            <w:gridSpan w:val="3"/>
            <w:vAlign w:val="center"/>
          </w:tcPr>
          <w:p>
            <w:pPr>
              <w:autoSpaceDE w:val="0"/>
              <w:autoSpaceDN w:val="0"/>
              <w:adjustRightInd w:val="0"/>
              <w:snapToGrid w:val="0"/>
              <w:spacing w:line="240" w:lineRule="auto"/>
              <w:ind w:firstLine="0" w:firstLineChars="0"/>
              <w:rPr>
                <w:rFonts w:eastAsiaTheme="minorEastAsia"/>
                <w:kern w:val="0"/>
              </w:rPr>
            </w:pPr>
          </w:p>
          <w:p>
            <w:pPr>
              <w:autoSpaceDE w:val="0"/>
              <w:autoSpaceDN w:val="0"/>
              <w:adjustRightInd w:val="0"/>
              <w:snapToGrid w:val="0"/>
              <w:spacing w:line="240" w:lineRule="auto"/>
              <w:ind w:firstLine="0" w:firstLineChars="0"/>
              <w:rPr>
                <w:kern w:val="0"/>
                <w:sz w:val="21"/>
                <w:szCs w:val="21"/>
              </w:rPr>
            </w:pPr>
            <w:r>
              <w:rPr>
                <w:kern w:val="0"/>
                <w:sz w:val="21"/>
                <w:szCs w:val="21"/>
              </w:rPr>
              <w:t>项目危险物质（</w:t>
            </w:r>
            <w:r>
              <w:rPr>
                <w:rFonts w:hint="eastAsia"/>
                <w:kern w:val="0"/>
                <w:sz w:val="21"/>
                <w:szCs w:val="21"/>
              </w:rPr>
              <w:t>氨水</w:t>
            </w:r>
            <w:r>
              <w:rPr>
                <w:rFonts w:hint="eastAsia"/>
                <w:kern w:val="0"/>
                <w:sz w:val="21"/>
                <w:szCs w:val="21"/>
                <w:lang w:eastAsia="zh-CN"/>
              </w:rPr>
              <w:t>、</w:t>
            </w:r>
            <w:r>
              <w:rPr>
                <w:rFonts w:hint="eastAsia"/>
                <w:kern w:val="0"/>
                <w:sz w:val="21"/>
                <w:szCs w:val="21"/>
                <w:lang w:val="en-US" w:eastAsia="zh-CN"/>
              </w:rPr>
              <w:t>一氧化碳、盐酸、氢氧化钠</w:t>
            </w:r>
            <w:r>
              <w:rPr>
                <w:kern w:val="0"/>
                <w:sz w:val="21"/>
                <w:szCs w:val="21"/>
              </w:rPr>
              <w:t>）存储量超过临界量，</w:t>
            </w:r>
            <w:r>
              <w:rPr>
                <w:rFonts w:hint="eastAsia"/>
                <w:kern w:val="0"/>
                <w:sz w:val="21"/>
                <w:szCs w:val="21"/>
              </w:rPr>
              <w:t>需设置</w:t>
            </w:r>
            <w:r>
              <w:rPr>
                <w:kern w:val="0"/>
                <w:sz w:val="21"/>
                <w:szCs w:val="21"/>
              </w:rPr>
              <w:t>环境风险专项评价；</w:t>
            </w:r>
          </w:p>
          <w:p>
            <w:pPr>
              <w:autoSpaceDE w:val="0"/>
              <w:autoSpaceDN w:val="0"/>
              <w:adjustRightInd w:val="0"/>
              <w:snapToGrid w:val="0"/>
              <w:spacing w:line="240" w:lineRule="auto"/>
              <w:ind w:firstLine="0" w:firstLineChars="0"/>
              <w:rPr>
                <w:rFonts w:eastAsiaTheme="minorEastAsia"/>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8" w:type="dxa"/>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规划情况</w:t>
            </w:r>
          </w:p>
        </w:tc>
        <w:tc>
          <w:tcPr>
            <w:tcW w:w="7186" w:type="dxa"/>
            <w:gridSpan w:val="3"/>
            <w:vAlign w:val="center"/>
          </w:tcPr>
          <w:p>
            <w:pPr>
              <w:pStyle w:val="72"/>
              <w:adjustRightInd w:val="0"/>
              <w:snapToGrid w:val="0"/>
              <w:spacing w:before="0" w:beforeAutospacing="0" w:after="0" w:afterAutospacing="0" w:line="440" w:lineRule="exact"/>
              <w:ind w:firstLine="420"/>
              <w:rPr>
                <w:rFonts w:ascii="Times New Roman" w:hAnsi="Times New Roman"/>
                <w:sz w:val="21"/>
                <w:szCs w:val="21"/>
              </w:rPr>
            </w:pPr>
            <w:r>
              <w:rPr>
                <w:rFonts w:ascii="Times New Roman" w:hAnsi="Times New Roman"/>
                <w:sz w:val="21"/>
                <w:szCs w:val="21"/>
              </w:rPr>
              <w:t>规划情况见表</w:t>
            </w:r>
            <w:r>
              <w:rPr>
                <w:rFonts w:hint="eastAsia" w:ascii="Times New Roman" w:hAnsi="Times New Roman"/>
                <w:sz w:val="21"/>
                <w:szCs w:val="21"/>
              </w:rPr>
              <w:t>1</w:t>
            </w:r>
            <w:r>
              <w:rPr>
                <w:rFonts w:ascii="Times New Roman" w:hAnsi="Times New Roman"/>
                <w:sz w:val="21"/>
                <w:szCs w:val="21"/>
              </w:rPr>
              <w:t>。</w:t>
            </w:r>
          </w:p>
          <w:p>
            <w:pPr>
              <w:pStyle w:val="72"/>
              <w:adjustRightInd w:val="0"/>
              <w:snapToGrid w:val="0"/>
              <w:spacing w:before="0" w:beforeAutospacing="0" w:after="0" w:afterAutospacing="0" w:line="240" w:lineRule="auto"/>
              <w:ind w:firstLine="422"/>
              <w:jc w:val="center"/>
              <w:rPr>
                <w:rFonts w:ascii="Times New Roman" w:hAnsi="Times New Roman"/>
                <w:b/>
                <w:sz w:val="21"/>
                <w:szCs w:val="21"/>
              </w:rPr>
            </w:pPr>
            <w:r>
              <w:rPr>
                <w:rFonts w:ascii="Times New Roman" w:hAnsi="Times New Roman"/>
                <w:b/>
                <w:sz w:val="21"/>
                <w:szCs w:val="21"/>
              </w:rPr>
              <w:t>表</w:t>
            </w:r>
            <w:r>
              <w:rPr>
                <w:rFonts w:hint="eastAsia" w:ascii="Times New Roman" w:hAnsi="Times New Roman"/>
                <w:b/>
                <w:sz w:val="21"/>
                <w:szCs w:val="21"/>
              </w:rPr>
              <w:t>1</w:t>
            </w:r>
            <w:r>
              <w:rPr>
                <w:rFonts w:ascii="Times New Roman" w:hAnsi="Times New Roman"/>
                <w:b/>
                <w:sz w:val="21"/>
                <w:szCs w:val="21"/>
              </w:rPr>
              <w:t xml:space="preserve">    规划情况一览表</w:t>
            </w:r>
          </w:p>
          <w:tbl>
            <w:tblPr>
              <w:tblStyle w:val="7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8"/>
              <w:gridCol w:w="1624"/>
              <w:gridCol w:w="5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6" w:type="pct"/>
                  <w:tcBorders>
                    <w:tl2br w:val="nil"/>
                    <w:tr2bl w:val="nil"/>
                  </w:tcBorders>
                  <w:vAlign w:val="center"/>
                </w:tcPr>
                <w:p>
                  <w:pPr>
                    <w:snapToGrid w:val="0"/>
                    <w:spacing w:line="240" w:lineRule="auto"/>
                    <w:ind w:firstLine="0" w:firstLineChars="0"/>
                    <w:jc w:val="center"/>
                    <w:rPr>
                      <w:sz w:val="18"/>
                      <w:szCs w:val="18"/>
                    </w:rPr>
                  </w:pPr>
                  <w:r>
                    <w:rPr>
                      <w:sz w:val="18"/>
                      <w:szCs w:val="18"/>
                    </w:rPr>
                    <w:t>序号</w:t>
                  </w:r>
                </w:p>
              </w:tc>
              <w:tc>
                <w:tcPr>
                  <w:tcW w:w="1108" w:type="pct"/>
                  <w:tcBorders>
                    <w:tl2br w:val="nil"/>
                    <w:tr2bl w:val="nil"/>
                  </w:tcBorders>
                  <w:vAlign w:val="center"/>
                </w:tcPr>
                <w:p>
                  <w:pPr>
                    <w:snapToGrid w:val="0"/>
                    <w:spacing w:line="240" w:lineRule="auto"/>
                    <w:ind w:firstLine="0" w:firstLineChars="0"/>
                    <w:jc w:val="center"/>
                    <w:rPr>
                      <w:sz w:val="18"/>
                      <w:szCs w:val="18"/>
                    </w:rPr>
                  </w:pPr>
                  <w:r>
                    <w:rPr>
                      <w:sz w:val="18"/>
                      <w:szCs w:val="18"/>
                    </w:rPr>
                    <w:t>项目</w:t>
                  </w:r>
                </w:p>
              </w:tc>
              <w:tc>
                <w:tcPr>
                  <w:tcW w:w="3415" w:type="pct"/>
                  <w:tcBorders>
                    <w:tl2br w:val="nil"/>
                    <w:tr2bl w:val="nil"/>
                  </w:tcBorders>
                  <w:vAlign w:val="center"/>
                </w:tcPr>
                <w:p>
                  <w:pPr>
                    <w:snapToGrid w:val="0"/>
                    <w:spacing w:line="240" w:lineRule="auto"/>
                    <w:ind w:firstLine="0" w:firstLineChars="0"/>
                    <w:jc w:val="center"/>
                    <w:rPr>
                      <w:sz w:val="18"/>
                      <w:szCs w:val="18"/>
                    </w:rPr>
                  </w:pPr>
                  <w:r>
                    <w:rPr>
                      <w:sz w:val="18"/>
                      <w:szCs w:val="18"/>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6" w:type="pct"/>
                  <w:tcBorders>
                    <w:tl2br w:val="nil"/>
                    <w:tr2bl w:val="nil"/>
                  </w:tcBorders>
                  <w:vAlign w:val="center"/>
                </w:tcPr>
                <w:p>
                  <w:pPr>
                    <w:snapToGrid w:val="0"/>
                    <w:spacing w:line="240" w:lineRule="auto"/>
                    <w:ind w:firstLine="0" w:firstLineChars="0"/>
                    <w:jc w:val="center"/>
                    <w:rPr>
                      <w:sz w:val="18"/>
                      <w:szCs w:val="18"/>
                    </w:rPr>
                  </w:pPr>
                  <w:r>
                    <w:rPr>
                      <w:sz w:val="18"/>
                      <w:szCs w:val="18"/>
                    </w:rPr>
                    <w:t>1</w:t>
                  </w:r>
                </w:p>
              </w:tc>
              <w:tc>
                <w:tcPr>
                  <w:tcW w:w="1108" w:type="pct"/>
                  <w:tcBorders>
                    <w:tl2br w:val="nil"/>
                    <w:tr2bl w:val="nil"/>
                  </w:tcBorders>
                  <w:vAlign w:val="center"/>
                </w:tcPr>
                <w:p>
                  <w:pPr>
                    <w:snapToGrid w:val="0"/>
                    <w:spacing w:line="240" w:lineRule="auto"/>
                    <w:ind w:firstLine="0" w:firstLineChars="0"/>
                    <w:jc w:val="center"/>
                    <w:rPr>
                      <w:sz w:val="18"/>
                      <w:szCs w:val="18"/>
                    </w:rPr>
                  </w:pPr>
                  <w:r>
                    <w:rPr>
                      <w:sz w:val="18"/>
                      <w:szCs w:val="18"/>
                    </w:rPr>
                    <w:t>规划名称</w:t>
                  </w:r>
                </w:p>
              </w:tc>
              <w:tc>
                <w:tcPr>
                  <w:tcW w:w="3415" w:type="pct"/>
                  <w:tcBorders>
                    <w:tl2br w:val="nil"/>
                    <w:tr2bl w:val="nil"/>
                  </w:tcBorders>
                  <w:vAlign w:val="center"/>
                </w:tcPr>
                <w:p>
                  <w:pPr>
                    <w:snapToGrid w:val="0"/>
                    <w:spacing w:line="240" w:lineRule="auto"/>
                    <w:ind w:firstLine="0" w:firstLineChars="0"/>
                    <w:jc w:val="center"/>
                    <w:rPr>
                      <w:sz w:val="18"/>
                      <w:szCs w:val="18"/>
                    </w:rPr>
                  </w:pPr>
                  <w:r>
                    <w:rPr>
                      <w:sz w:val="18"/>
                      <w:szCs w:val="18"/>
                    </w:rPr>
                    <w:t>《河北迁安经济开发区总体规划修编调整(2018-2030年)》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6" w:type="pct"/>
                  <w:tcBorders>
                    <w:tl2br w:val="nil"/>
                    <w:tr2bl w:val="nil"/>
                  </w:tcBorders>
                  <w:vAlign w:val="center"/>
                </w:tcPr>
                <w:p>
                  <w:pPr>
                    <w:snapToGrid w:val="0"/>
                    <w:spacing w:line="240" w:lineRule="auto"/>
                    <w:ind w:firstLine="0" w:firstLineChars="0"/>
                    <w:jc w:val="center"/>
                    <w:rPr>
                      <w:sz w:val="18"/>
                      <w:szCs w:val="18"/>
                    </w:rPr>
                  </w:pPr>
                  <w:r>
                    <w:rPr>
                      <w:sz w:val="18"/>
                      <w:szCs w:val="18"/>
                    </w:rPr>
                    <w:t>2</w:t>
                  </w:r>
                </w:p>
              </w:tc>
              <w:tc>
                <w:tcPr>
                  <w:tcW w:w="1108" w:type="pct"/>
                  <w:tcBorders>
                    <w:tl2br w:val="nil"/>
                    <w:tr2bl w:val="nil"/>
                  </w:tcBorders>
                  <w:vAlign w:val="center"/>
                </w:tcPr>
                <w:p>
                  <w:pPr>
                    <w:snapToGrid w:val="0"/>
                    <w:spacing w:line="240" w:lineRule="auto"/>
                    <w:ind w:firstLine="0" w:firstLineChars="0"/>
                    <w:jc w:val="center"/>
                    <w:rPr>
                      <w:sz w:val="18"/>
                      <w:szCs w:val="18"/>
                    </w:rPr>
                  </w:pPr>
                  <w:r>
                    <w:rPr>
                      <w:sz w:val="18"/>
                      <w:szCs w:val="18"/>
                    </w:rPr>
                    <w:t>审批机关</w:t>
                  </w:r>
                </w:p>
              </w:tc>
              <w:tc>
                <w:tcPr>
                  <w:tcW w:w="3415" w:type="pct"/>
                  <w:tcBorders>
                    <w:tl2br w:val="nil"/>
                    <w:tr2bl w:val="nil"/>
                  </w:tcBorders>
                  <w:vAlign w:val="center"/>
                </w:tcPr>
                <w:p>
                  <w:pPr>
                    <w:snapToGrid w:val="0"/>
                    <w:spacing w:line="240" w:lineRule="auto"/>
                    <w:ind w:firstLine="0" w:firstLineChars="0"/>
                    <w:jc w:val="center"/>
                    <w:rPr>
                      <w:sz w:val="18"/>
                      <w:szCs w:val="18"/>
                    </w:rPr>
                  </w:pPr>
                  <w:r>
                    <w:rPr>
                      <w:sz w:val="18"/>
                      <w:szCs w:val="18"/>
                    </w:rPr>
                    <w:t>迁安市人民政府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6" w:type="pct"/>
                  <w:tcBorders>
                    <w:tl2br w:val="nil"/>
                    <w:tr2bl w:val="nil"/>
                  </w:tcBorders>
                  <w:vAlign w:val="center"/>
                </w:tcPr>
                <w:p>
                  <w:pPr>
                    <w:snapToGrid w:val="0"/>
                    <w:spacing w:line="240" w:lineRule="auto"/>
                    <w:ind w:firstLine="0" w:firstLineChars="0"/>
                    <w:jc w:val="center"/>
                    <w:rPr>
                      <w:sz w:val="18"/>
                      <w:szCs w:val="18"/>
                    </w:rPr>
                  </w:pPr>
                  <w:r>
                    <w:rPr>
                      <w:sz w:val="18"/>
                      <w:szCs w:val="18"/>
                    </w:rPr>
                    <w:t>3</w:t>
                  </w:r>
                </w:p>
              </w:tc>
              <w:tc>
                <w:tcPr>
                  <w:tcW w:w="1108" w:type="pct"/>
                  <w:tcBorders>
                    <w:tl2br w:val="nil"/>
                    <w:tr2bl w:val="nil"/>
                  </w:tcBorders>
                  <w:vAlign w:val="center"/>
                </w:tcPr>
                <w:p>
                  <w:pPr>
                    <w:snapToGrid w:val="0"/>
                    <w:spacing w:line="240" w:lineRule="auto"/>
                    <w:ind w:firstLine="0" w:firstLineChars="0"/>
                    <w:jc w:val="center"/>
                    <w:rPr>
                      <w:sz w:val="18"/>
                      <w:szCs w:val="18"/>
                    </w:rPr>
                  </w:pPr>
                  <w:r>
                    <w:rPr>
                      <w:sz w:val="18"/>
                      <w:szCs w:val="18"/>
                    </w:rPr>
                    <w:t>审批文件名称</w:t>
                  </w:r>
                </w:p>
                <w:p>
                  <w:pPr>
                    <w:snapToGrid w:val="0"/>
                    <w:spacing w:line="240" w:lineRule="auto"/>
                    <w:ind w:firstLine="0" w:firstLineChars="0"/>
                    <w:jc w:val="center"/>
                    <w:rPr>
                      <w:sz w:val="18"/>
                      <w:szCs w:val="18"/>
                    </w:rPr>
                  </w:pPr>
                  <w:r>
                    <w:rPr>
                      <w:sz w:val="18"/>
                      <w:szCs w:val="18"/>
                    </w:rPr>
                    <w:t>及文号</w:t>
                  </w:r>
                </w:p>
              </w:tc>
              <w:tc>
                <w:tcPr>
                  <w:tcW w:w="3415" w:type="pct"/>
                  <w:tcBorders>
                    <w:tl2br w:val="nil"/>
                    <w:tr2bl w:val="nil"/>
                  </w:tcBorders>
                  <w:vAlign w:val="center"/>
                </w:tcPr>
                <w:p>
                  <w:pPr>
                    <w:pStyle w:val="72"/>
                    <w:adjustRightInd w:val="0"/>
                    <w:snapToGrid w:val="0"/>
                    <w:spacing w:before="0" w:beforeAutospacing="0" w:after="0" w:afterAutospacing="0" w:line="240" w:lineRule="auto"/>
                    <w:ind w:firstLine="0" w:firstLineChars="0"/>
                    <w:jc w:val="center"/>
                    <w:rPr>
                      <w:rFonts w:ascii="Times New Roman" w:hAnsi="Times New Roman"/>
                      <w:kern w:val="2"/>
                      <w:sz w:val="18"/>
                      <w:szCs w:val="18"/>
                    </w:rPr>
                  </w:pPr>
                  <w:r>
                    <w:rPr>
                      <w:rFonts w:ascii="Times New Roman" w:hAnsi="Times New Roman"/>
                      <w:sz w:val="18"/>
                      <w:szCs w:val="18"/>
                    </w:rPr>
                    <w:t>《关于批准实施河北迁安经济开发区总体规划修编调整 (2018-2030年)的批复》，</w:t>
                  </w:r>
                  <w:r>
                    <w:rPr>
                      <w:rFonts w:ascii="Times New Roman" w:hAnsi="Times New Roman"/>
                      <w:kern w:val="2"/>
                      <w:sz w:val="18"/>
                      <w:szCs w:val="18"/>
                    </w:rPr>
                    <w:t>迁政发[2019]44号</w:t>
                  </w:r>
                </w:p>
              </w:tc>
            </w:tr>
          </w:tbl>
          <w:p>
            <w:pPr>
              <w:autoSpaceDE w:val="0"/>
              <w:autoSpaceDN w:val="0"/>
              <w:adjustRightInd w:val="0"/>
              <w:snapToGrid w:val="0"/>
              <w:ind w:firstLine="480"/>
              <w:jc w:val="both"/>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698" w:type="dxa"/>
            <w:vAlign w:val="center"/>
          </w:tcPr>
          <w:p>
            <w:pPr>
              <w:autoSpaceDE w:val="0"/>
              <w:autoSpaceDN w:val="0"/>
              <w:adjustRightInd w:val="0"/>
              <w:snapToGrid w:val="0"/>
              <w:spacing w:line="240" w:lineRule="auto"/>
              <w:ind w:firstLine="0" w:firstLineChars="0"/>
              <w:jc w:val="center"/>
              <w:rPr>
                <w:rFonts w:eastAsiaTheme="minorEastAsia"/>
                <w:b/>
                <w:bCs/>
                <w:kern w:val="0"/>
              </w:rPr>
            </w:pPr>
            <w:r>
              <w:rPr>
                <w:rFonts w:eastAsiaTheme="minorEastAsia"/>
                <w:b/>
                <w:bCs/>
                <w:kern w:val="0"/>
              </w:rPr>
              <w:t>规划环境影响评价情况</w:t>
            </w:r>
          </w:p>
        </w:tc>
        <w:tc>
          <w:tcPr>
            <w:tcW w:w="7186" w:type="dxa"/>
            <w:gridSpan w:val="3"/>
            <w:vAlign w:val="center"/>
          </w:tcPr>
          <w:p>
            <w:pPr>
              <w:pStyle w:val="72"/>
              <w:adjustRightInd w:val="0"/>
              <w:snapToGrid w:val="0"/>
              <w:spacing w:before="0" w:beforeAutospacing="0" w:after="0" w:afterAutospacing="0" w:line="440" w:lineRule="exact"/>
              <w:ind w:firstLine="420"/>
              <w:rPr>
                <w:rFonts w:ascii="Times New Roman" w:hAnsi="Times New Roman"/>
                <w:sz w:val="21"/>
                <w:szCs w:val="21"/>
              </w:rPr>
            </w:pPr>
            <w:r>
              <w:rPr>
                <w:rFonts w:ascii="Times New Roman" w:hAnsi="Times New Roman"/>
                <w:sz w:val="21"/>
                <w:szCs w:val="21"/>
              </w:rPr>
              <w:t>规划环境影响评价情况见表</w:t>
            </w:r>
            <w:r>
              <w:rPr>
                <w:rFonts w:hint="eastAsia" w:ascii="Times New Roman" w:hAnsi="Times New Roman"/>
                <w:sz w:val="21"/>
                <w:szCs w:val="21"/>
              </w:rPr>
              <w:t>2</w:t>
            </w:r>
            <w:r>
              <w:rPr>
                <w:rFonts w:ascii="Times New Roman" w:hAnsi="Times New Roman"/>
                <w:sz w:val="21"/>
                <w:szCs w:val="21"/>
              </w:rPr>
              <w:t>。</w:t>
            </w:r>
          </w:p>
          <w:p>
            <w:pPr>
              <w:pStyle w:val="72"/>
              <w:adjustRightInd w:val="0"/>
              <w:snapToGrid w:val="0"/>
              <w:spacing w:before="0" w:beforeAutospacing="0" w:after="0" w:afterAutospacing="0" w:line="440" w:lineRule="exact"/>
              <w:ind w:firstLine="422"/>
              <w:jc w:val="center"/>
              <w:rPr>
                <w:rFonts w:ascii="Times New Roman" w:hAnsi="Times New Roman"/>
                <w:b/>
                <w:sz w:val="21"/>
                <w:szCs w:val="21"/>
              </w:rPr>
            </w:pPr>
          </w:p>
          <w:p>
            <w:pPr>
              <w:pStyle w:val="72"/>
              <w:adjustRightInd w:val="0"/>
              <w:snapToGrid w:val="0"/>
              <w:spacing w:before="0" w:beforeAutospacing="0" w:after="0" w:afterAutospacing="0" w:line="440" w:lineRule="exact"/>
              <w:ind w:firstLine="422"/>
              <w:jc w:val="center"/>
              <w:rPr>
                <w:rFonts w:ascii="Times New Roman" w:hAnsi="Times New Roman"/>
                <w:b/>
                <w:sz w:val="21"/>
                <w:szCs w:val="21"/>
              </w:rPr>
            </w:pPr>
          </w:p>
          <w:p>
            <w:pPr>
              <w:pStyle w:val="72"/>
              <w:adjustRightInd w:val="0"/>
              <w:snapToGrid w:val="0"/>
              <w:spacing w:before="0" w:beforeAutospacing="0" w:after="0" w:afterAutospacing="0" w:line="440" w:lineRule="exact"/>
              <w:ind w:firstLine="422"/>
              <w:jc w:val="center"/>
              <w:rPr>
                <w:rFonts w:ascii="Times New Roman" w:hAnsi="Times New Roman"/>
                <w:sz w:val="21"/>
                <w:szCs w:val="21"/>
              </w:rPr>
            </w:pPr>
            <w:r>
              <w:rPr>
                <w:rFonts w:ascii="Times New Roman" w:hAnsi="Times New Roman"/>
                <w:b/>
                <w:sz w:val="21"/>
                <w:szCs w:val="21"/>
              </w:rPr>
              <w:t>表</w:t>
            </w:r>
            <w:r>
              <w:rPr>
                <w:rFonts w:hint="eastAsia" w:ascii="Times New Roman" w:hAnsi="Times New Roman"/>
                <w:b/>
                <w:sz w:val="21"/>
                <w:szCs w:val="21"/>
              </w:rPr>
              <w:t>2</w:t>
            </w:r>
            <w:r>
              <w:rPr>
                <w:rFonts w:ascii="Times New Roman" w:hAnsi="Times New Roman"/>
                <w:b/>
                <w:sz w:val="21"/>
                <w:szCs w:val="21"/>
              </w:rPr>
              <w:t xml:space="preserve">    规划环境影响评价情况一览表</w:t>
            </w:r>
          </w:p>
          <w:tbl>
            <w:tblPr>
              <w:tblStyle w:val="7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04"/>
              <w:gridCol w:w="1436"/>
              <w:gridCol w:w="5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412" w:type="pct"/>
                  <w:tcBorders>
                    <w:tl2br w:val="nil"/>
                    <w:tr2bl w:val="nil"/>
                  </w:tcBorders>
                  <w:vAlign w:val="center"/>
                </w:tcPr>
                <w:p>
                  <w:pPr>
                    <w:snapToGrid w:val="0"/>
                    <w:spacing w:line="240" w:lineRule="auto"/>
                    <w:ind w:firstLine="0" w:firstLineChars="0"/>
                    <w:jc w:val="center"/>
                    <w:rPr>
                      <w:b/>
                      <w:bCs/>
                      <w:sz w:val="18"/>
                      <w:szCs w:val="18"/>
                    </w:rPr>
                  </w:pPr>
                  <w:r>
                    <w:rPr>
                      <w:b/>
                      <w:bCs/>
                      <w:sz w:val="18"/>
                      <w:szCs w:val="18"/>
                    </w:rPr>
                    <w:t>序号</w:t>
                  </w:r>
                </w:p>
              </w:tc>
              <w:tc>
                <w:tcPr>
                  <w:tcW w:w="980" w:type="pct"/>
                  <w:tcBorders>
                    <w:tl2br w:val="nil"/>
                    <w:tr2bl w:val="nil"/>
                  </w:tcBorders>
                  <w:vAlign w:val="center"/>
                </w:tcPr>
                <w:p>
                  <w:pPr>
                    <w:snapToGrid w:val="0"/>
                    <w:spacing w:line="240" w:lineRule="auto"/>
                    <w:ind w:firstLine="0" w:firstLineChars="0"/>
                    <w:jc w:val="center"/>
                    <w:rPr>
                      <w:b/>
                      <w:bCs/>
                      <w:sz w:val="18"/>
                      <w:szCs w:val="18"/>
                    </w:rPr>
                  </w:pPr>
                  <w:r>
                    <w:rPr>
                      <w:b/>
                      <w:bCs/>
                      <w:sz w:val="18"/>
                      <w:szCs w:val="18"/>
                    </w:rPr>
                    <w:t>项目</w:t>
                  </w:r>
                </w:p>
              </w:tc>
              <w:tc>
                <w:tcPr>
                  <w:tcW w:w="3607" w:type="pct"/>
                  <w:tcBorders>
                    <w:tl2br w:val="nil"/>
                    <w:tr2bl w:val="nil"/>
                  </w:tcBorders>
                  <w:vAlign w:val="center"/>
                </w:tcPr>
                <w:p>
                  <w:pPr>
                    <w:snapToGrid w:val="0"/>
                    <w:spacing w:line="240" w:lineRule="auto"/>
                    <w:ind w:firstLine="0" w:firstLineChars="0"/>
                    <w:jc w:val="center"/>
                    <w:rPr>
                      <w:b/>
                      <w:bCs/>
                      <w:sz w:val="18"/>
                      <w:szCs w:val="18"/>
                    </w:rPr>
                  </w:pPr>
                  <w:r>
                    <w:rPr>
                      <w:b/>
                      <w:bCs/>
                      <w:sz w:val="18"/>
                      <w:szCs w:val="18"/>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412" w:type="pct"/>
                  <w:tcBorders>
                    <w:tl2br w:val="nil"/>
                    <w:tr2bl w:val="nil"/>
                  </w:tcBorders>
                  <w:vAlign w:val="center"/>
                </w:tcPr>
                <w:p>
                  <w:pPr>
                    <w:snapToGrid w:val="0"/>
                    <w:spacing w:line="240" w:lineRule="auto"/>
                    <w:ind w:firstLine="0" w:firstLineChars="0"/>
                    <w:jc w:val="center"/>
                    <w:rPr>
                      <w:sz w:val="18"/>
                      <w:szCs w:val="18"/>
                    </w:rPr>
                  </w:pPr>
                  <w:r>
                    <w:rPr>
                      <w:sz w:val="18"/>
                      <w:szCs w:val="18"/>
                    </w:rPr>
                    <w:t>1</w:t>
                  </w:r>
                </w:p>
              </w:tc>
              <w:tc>
                <w:tcPr>
                  <w:tcW w:w="980" w:type="pct"/>
                  <w:tcBorders>
                    <w:tl2br w:val="nil"/>
                    <w:tr2bl w:val="nil"/>
                  </w:tcBorders>
                  <w:vAlign w:val="center"/>
                </w:tcPr>
                <w:p>
                  <w:pPr>
                    <w:snapToGrid w:val="0"/>
                    <w:spacing w:line="240" w:lineRule="auto"/>
                    <w:ind w:firstLine="0" w:firstLineChars="0"/>
                    <w:jc w:val="center"/>
                    <w:rPr>
                      <w:sz w:val="18"/>
                      <w:szCs w:val="18"/>
                    </w:rPr>
                  </w:pPr>
                  <w:r>
                    <w:rPr>
                      <w:sz w:val="18"/>
                      <w:szCs w:val="18"/>
                    </w:rPr>
                    <w:t>规划环境影响评价文件名称</w:t>
                  </w:r>
                </w:p>
              </w:tc>
              <w:tc>
                <w:tcPr>
                  <w:tcW w:w="3607" w:type="pct"/>
                  <w:tcBorders>
                    <w:tl2br w:val="nil"/>
                    <w:tr2bl w:val="nil"/>
                  </w:tcBorders>
                  <w:vAlign w:val="center"/>
                </w:tcPr>
                <w:p>
                  <w:pPr>
                    <w:snapToGrid w:val="0"/>
                    <w:spacing w:line="240" w:lineRule="auto"/>
                    <w:ind w:firstLine="0" w:firstLineChars="0"/>
                    <w:jc w:val="center"/>
                    <w:rPr>
                      <w:sz w:val="18"/>
                      <w:szCs w:val="18"/>
                    </w:rPr>
                  </w:pPr>
                  <w:r>
                    <w:rPr>
                      <w:sz w:val="18"/>
                      <w:szCs w:val="18"/>
                    </w:rPr>
                    <w:t>《河北迁安经济开发区总体规划修编调整</w:t>
                  </w:r>
                  <w:r>
                    <w:rPr>
                      <w:rFonts w:hint="eastAsia"/>
                      <w:sz w:val="18"/>
                      <w:szCs w:val="18"/>
                    </w:rPr>
                    <w:t>(</w:t>
                  </w:r>
                  <w:r>
                    <w:rPr>
                      <w:sz w:val="18"/>
                      <w:szCs w:val="18"/>
                    </w:rPr>
                    <w:t>2018-2030年</w:t>
                  </w:r>
                  <w:r>
                    <w:rPr>
                      <w:rFonts w:hint="eastAsia"/>
                      <w:sz w:val="18"/>
                      <w:szCs w:val="18"/>
                    </w:rPr>
                    <w:t>)</w:t>
                  </w:r>
                  <w:r>
                    <w:rPr>
                      <w:sz w:val="18"/>
                      <w:szCs w:val="18"/>
                    </w:rPr>
                    <w:t>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412" w:type="pct"/>
                  <w:tcBorders>
                    <w:tl2br w:val="nil"/>
                    <w:tr2bl w:val="nil"/>
                  </w:tcBorders>
                  <w:vAlign w:val="center"/>
                </w:tcPr>
                <w:p>
                  <w:pPr>
                    <w:snapToGrid w:val="0"/>
                    <w:spacing w:line="240" w:lineRule="auto"/>
                    <w:ind w:firstLine="0" w:firstLineChars="0"/>
                    <w:jc w:val="center"/>
                    <w:rPr>
                      <w:sz w:val="18"/>
                      <w:szCs w:val="18"/>
                    </w:rPr>
                  </w:pPr>
                  <w:r>
                    <w:rPr>
                      <w:sz w:val="18"/>
                      <w:szCs w:val="18"/>
                    </w:rPr>
                    <w:t>2</w:t>
                  </w:r>
                </w:p>
              </w:tc>
              <w:tc>
                <w:tcPr>
                  <w:tcW w:w="980" w:type="pct"/>
                  <w:tcBorders>
                    <w:tl2br w:val="nil"/>
                    <w:tr2bl w:val="nil"/>
                  </w:tcBorders>
                  <w:vAlign w:val="center"/>
                </w:tcPr>
                <w:p>
                  <w:pPr>
                    <w:snapToGrid w:val="0"/>
                    <w:spacing w:line="240" w:lineRule="auto"/>
                    <w:ind w:firstLine="0" w:firstLineChars="0"/>
                    <w:jc w:val="center"/>
                    <w:rPr>
                      <w:sz w:val="18"/>
                      <w:szCs w:val="18"/>
                    </w:rPr>
                  </w:pPr>
                  <w:r>
                    <w:rPr>
                      <w:sz w:val="18"/>
                      <w:szCs w:val="18"/>
                    </w:rPr>
                    <w:t>审查机关</w:t>
                  </w:r>
                </w:p>
              </w:tc>
              <w:tc>
                <w:tcPr>
                  <w:tcW w:w="3607" w:type="pct"/>
                  <w:tcBorders>
                    <w:tl2br w:val="nil"/>
                    <w:tr2bl w:val="nil"/>
                  </w:tcBorders>
                  <w:vAlign w:val="center"/>
                </w:tcPr>
                <w:p>
                  <w:pPr>
                    <w:snapToGrid w:val="0"/>
                    <w:spacing w:line="240" w:lineRule="auto"/>
                    <w:ind w:firstLine="0" w:firstLineChars="0"/>
                    <w:jc w:val="center"/>
                    <w:rPr>
                      <w:sz w:val="18"/>
                      <w:szCs w:val="18"/>
                    </w:rPr>
                  </w:pPr>
                  <w:r>
                    <w:rPr>
                      <w:sz w:val="18"/>
                      <w:szCs w:val="18"/>
                    </w:rPr>
                    <w:t>河北省生态环境厅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412" w:type="pct"/>
                  <w:tcBorders>
                    <w:tl2br w:val="nil"/>
                    <w:tr2bl w:val="nil"/>
                  </w:tcBorders>
                  <w:vAlign w:val="center"/>
                </w:tcPr>
                <w:p>
                  <w:pPr>
                    <w:snapToGrid w:val="0"/>
                    <w:spacing w:line="240" w:lineRule="auto"/>
                    <w:ind w:firstLine="0" w:firstLineChars="0"/>
                    <w:jc w:val="center"/>
                    <w:rPr>
                      <w:sz w:val="18"/>
                      <w:szCs w:val="18"/>
                    </w:rPr>
                  </w:pPr>
                  <w:r>
                    <w:rPr>
                      <w:sz w:val="18"/>
                      <w:szCs w:val="18"/>
                    </w:rPr>
                    <w:t>3</w:t>
                  </w:r>
                </w:p>
              </w:tc>
              <w:tc>
                <w:tcPr>
                  <w:tcW w:w="980" w:type="pct"/>
                  <w:tcBorders>
                    <w:tl2br w:val="nil"/>
                    <w:tr2bl w:val="nil"/>
                  </w:tcBorders>
                  <w:vAlign w:val="center"/>
                </w:tcPr>
                <w:p>
                  <w:pPr>
                    <w:snapToGrid w:val="0"/>
                    <w:spacing w:line="240" w:lineRule="auto"/>
                    <w:ind w:firstLine="0" w:firstLineChars="0"/>
                    <w:jc w:val="center"/>
                    <w:rPr>
                      <w:sz w:val="18"/>
                      <w:szCs w:val="18"/>
                    </w:rPr>
                  </w:pPr>
                  <w:r>
                    <w:rPr>
                      <w:sz w:val="18"/>
                      <w:szCs w:val="18"/>
                    </w:rPr>
                    <w:t>审查文件名称及文号</w:t>
                  </w:r>
                </w:p>
              </w:tc>
              <w:tc>
                <w:tcPr>
                  <w:tcW w:w="3607" w:type="pct"/>
                  <w:tcBorders>
                    <w:tl2br w:val="nil"/>
                    <w:tr2bl w:val="nil"/>
                  </w:tcBorders>
                  <w:vAlign w:val="center"/>
                </w:tcPr>
                <w:p>
                  <w:pPr>
                    <w:pStyle w:val="72"/>
                    <w:adjustRightInd w:val="0"/>
                    <w:snapToGrid w:val="0"/>
                    <w:spacing w:before="0" w:beforeAutospacing="0" w:after="0" w:afterAutospacing="0" w:line="240" w:lineRule="auto"/>
                    <w:ind w:firstLine="0" w:firstLineChars="0"/>
                    <w:jc w:val="center"/>
                    <w:rPr>
                      <w:rFonts w:ascii="Times New Roman" w:hAnsi="Times New Roman"/>
                      <w:kern w:val="2"/>
                      <w:sz w:val="18"/>
                      <w:szCs w:val="18"/>
                    </w:rPr>
                  </w:pPr>
                  <w:r>
                    <w:rPr>
                      <w:rFonts w:ascii="Times New Roman" w:hAnsi="Times New Roman"/>
                      <w:kern w:val="2"/>
                      <w:sz w:val="18"/>
                      <w:szCs w:val="18"/>
                    </w:rPr>
                    <w:t>《关于转送河北迁安经济开发区总体规划修编</w:t>
                  </w:r>
                  <w:r>
                    <w:rPr>
                      <w:rFonts w:hint="eastAsia" w:ascii="Times New Roman" w:hAnsi="Times New Roman"/>
                      <w:kern w:val="2"/>
                      <w:sz w:val="18"/>
                      <w:szCs w:val="18"/>
                    </w:rPr>
                    <w:t>(</w:t>
                  </w:r>
                  <w:r>
                    <w:rPr>
                      <w:rFonts w:ascii="Times New Roman" w:hAnsi="Times New Roman"/>
                      <w:kern w:val="2"/>
                      <w:sz w:val="18"/>
                      <w:szCs w:val="18"/>
                    </w:rPr>
                    <w:t>2018年-2030年</w:t>
                  </w:r>
                  <w:r>
                    <w:rPr>
                      <w:rFonts w:hint="eastAsia" w:ascii="Times New Roman" w:hAnsi="Times New Roman"/>
                      <w:kern w:val="2"/>
                      <w:sz w:val="18"/>
                      <w:szCs w:val="18"/>
                    </w:rPr>
                    <w:t>)</w:t>
                  </w:r>
                  <w:r>
                    <w:rPr>
                      <w:rFonts w:ascii="Times New Roman" w:hAnsi="Times New Roman"/>
                      <w:kern w:val="2"/>
                      <w:sz w:val="18"/>
                      <w:szCs w:val="18"/>
                    </w:rPr>
                    <w:t>环境影响报告书审查意见的函》，冀环环评函[2019]1168号</w:t>
                  </w:r>
                </w:p>
              </w:tc>
            </w:tr>
          </w:tbl>
          <w:p>
            <w:pPr>
              <w:autoSpaceDE w:val="0"/>
              <w:autoSpaceDN w:val="0"/>
              <w:adjustRightInd w:val="0"/>
              <w:snapToGrid w:val="0"/>
              <w:ind w:firstLine="480"/>
              <w:jc w:val="both"/>
              <w:rPr>
                <w:rFonts w:eastAsia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1" w:hRule="atLeast"/>
          <w:jc w:val="center"/>
        </w:trPr>
        <w:tc>
          <w:tcPr>
            <w:tcW w:w="1698" w:type="dxa"/>
            <w:vAlign w:val="center"/>
          </w:tcPr>
          <w:p>
            <w:pPr>
              <w:autoSpaceDE w:val="0"/>
              <w:autoSpaceDN w:val="0"/>
              <w:adjustRightInd w:val="0"/>
              <w:snapToGrid w:val="0"/>
              <w:spacing w:line="240" w:lineRule="auto"/>
              <w:ind w:firstLine="0" w:firstLineChars="0"/>
              <w:jc w:val="center"/>
              <w:rPr>
                <w:rFonts w:eastAsiaTheme="minorEastAsia"/>
                <w:b/>
                <w:bCs/>
                <w:color w:val="0000FF"/>
                <w:kern w:val="0"/>
              </w:rPr>
            </w:pPr>
            <w:r>
              <w:rPr>
                <w:rFonts w:eastAsiaTheme="minorEastAsia"/>
                <w:b/>
                <w:bCs/>
                <w:kern w:val="0"/>
              </w:rPr>
              <w:t>规划及规划环境影响评价符合性分析</w:t>
            </w:r>
          </w:p>
        </w:tc>
        <w:tc>
          <w:tcPr>
            <w:tcW w:w="7186" w:type="dxa"/>
            <w:gridSpan w:val="3"/>
            <w:vAlign w:val="center"/>
          </w:tcPr>
          <w:p>
            <w:pPr>
              <w:pStyle w:val="72"/>
              <w:snapToGrid w:val="0"/>
              <w:spacing w:before="0" w:beforeAutospacing="0" w:after="0" w:afterAutospacing="0"/>
              <w:ind w:firstLine="422"/>
              <w:rPr>
                <w:rFonts w:ascii="Times New Roman" w:hAnsi="Times New Roman"/>
                <w:b/>
                <w:sz w:val="21"/>
                <w:szCs w:val="21"/>
              </w:rPr>
            </w:pPr>
            <w:r>
              <w:rPr>
                <w:rFonts w:ascii="Times New Roman" w:hAnsi="Times New Roman"/>
                <w:b/>
                <w:sz w:val="21"/>
                <w:szCs w:val="21"/>
              </w:rPr>
              <w:t>1.与河北迁安经济开发区总体规划符合性分析</w:t>
            </w:r>
          </w:p>
          <w:p>
            <w:pPr>
              <w:snapToGrid w:val="0"/>
              <w:ind w:firstLine="422"/>
              <w:rPr>
                <w:b/>
                <w:kern w:val="0"/>
                <w:sz w:val="21"/>
                <w:szCs w:val="21"/>
              </w:rPr>
            </w:pPr>
            <w:r>
              <w:rPr>
                <w:b/>
                <w:kern w:val="0"/>
                <w:sz w:val="21"/>
                <w:szCs w:val="21"/>
              </w:rPr>
              <w:t>1.1规划概况</w:t>
            </w:r>
          </w:p>
          <w:p>
            <w:pPr>
              <w:snapToGrid w:val="0"/>
              <w:ind w:firstLine="420"/>
              <w:jc w:val="both"/>
              <w:rPr>
                <w:b/>
                <w:kern w:val="0"/>
                <w:sz w:val="21"/>
                <w:szCs w:val="21"/>
              </w:rPr>
            </w:pPr>
            <w:r>
              <w:rPr>
                <w:sz w:val="21"/>
                <w:szCs w:val="21"/>
              </w:rPr>
              <w:t>河北迁安经济开发区位于河北省迁安市域西南，滦河西侧，原名迁安西部工业区，2010年6月，《迁安西部工业区规划环境影响报告书》取得迁安市环境保护局的审查意见(迁环评[2010]17号)，2010年10月9日，河北省环保厅出具了《关于确认迁安西部工业区发展规划环境影响报告书审查意见的函》(冀环评函[2010]609号)。2014年，迁安市西部工业区被省政府批准更名为“河北迁安经济开发区”。2018年12月，河北迁安经济开发区完成对原总体规划的跟踪评价。随后，河北迁安经济开发区启动规划修编工作，2019年4月11日，《河北迁安经济开发区总体规划修编(2018-2030年)环境影响报告书》取得唐山市生态环境局的预审查意见(唐环评函[2019]22号)，2019年4月18日，河北省生态环境厅出具了《关于转送河北迁安经济开发区总体规划修编(2018-2030年)环境影响报告书审查意见的函》(冀环环评函[2019]411号)。2019年5月，河北迁安经济开发区对规划范围内现有企业的实际占地边界进行了全面复核，根据复核后的成果开发区管委会对上一版规划进行调整，调整后的规划区总面积为55.55km</w:t>
            </w:r>
            <w:r>
              <w:rPr>
                <w:sz w:val="21"/>
                <w:szCs w:val="21"/>
                <w:vertAlign w:val="superscript"/>
              </w:rPr>
              <w:t>2</w:t>
            </w:r>
            <w:r>
              <w:rPr>
                <w:sz w:val="21"/>
                <w:szCs w:val="21"/>
              </w:rPr>
              <w:t>，规划年限为2018-2030年，编制了《河北迁安经济开发区总体规划修编调整(2018-2030年)环境影响报告书》，河北省生态环境厅于2019年9月24日出具该环境影响报告书的审查意见(冀环环评函[2019]1168号)。</w:t>
            </w:r>
          </w:p>
          <w:p>
            <w:pPr>
              <w:snapToGrid w:val="0"/>
              <w:ind w:firstLine="422"/>
              <w:rPr>
                <w:sz w:val="21"/>
                <w:szCs w:val="21"/>
              </w:rPr>
            </w:pPr>
            <w:r>
              <w:rPr>
                <w:b/>
                <w:kern w:val="0"/>
                <w:sz w:val="21"/>
                <w:szCs w:val="21"/>
              </w:rPr>
              <w:t>1.2功能分区</w:t>
            </w:r>
          </w:p>
          <w:p>
            <w:pPr>
              <w:snapToGrid w:val="0"/>
              <w:ind w:firstLine="420"/>
              <w:jc w:val="both"/>
              <w:rPr>
                <w:sz w:val="21"/>
                <w:szCs w:val="21"/>
              </w:rPr>
            </w:pPr>
            <w:r>
              <w:rPr>
                <w:kern w:val="0"/>
                <w:sz w:val="21"/>
                <w:szCs w:val="21"/>
              </w:rPr>
              <w:t>根据《河北迁安经济开发区总体规划修编调整</w:t>
            </w:r>
            <w:r>
              <w:rPr>
                <w:rFonts w:hint="eastAsia"/>
                <w:kern w:val="0"/>
                <w:sz w:val="21"/>
                <w:szCs w:val="21"/>
              </w:rPr>
              <w:t>(</w:t>
            </w:r>
            <w:r>
              <w:rPr>
                <w:kern w:val="0"/>
                <w:sz w:val="21"/>
                <w:szCs w:val="21"/>
              </w:rPr>
              <w:t>2018-2030年</w:t>
            </w:r>
            <w:r>
              <w:rPr>
                <w:rFonts w:hint="eastAsia"/>
                <w:kern w:val="0"/>
                <w:sz w:val="21"/>
                <w:szCs w:val="21"/>
              </w:rPr>
              <w:t>)</w:t>
            </w:r>
            <w:r>
              <w:rPr>
                <w:kern w:val="0"/>
                <w:sz w:val="21"/>
                <w:szCs w:val="21"/>
              </w:rPr>
              <w:t>》，功能布局为“五区四园”的功能布局。“五区”指五个特色产业区</w:t>
            </w:r>
            <w:r>
              <w:rPr>
                <w:rFonts w:hint="eastAsia"/>
                <w:kern w:val="0"/>
                <w:sz w:val="21"/>
                <w:szCs w:val="21"/>
              </w:rPr>
              <w:t>(</w:t>
            </w:r>
            <w:r>
              <w:rPr>
                <w:kern w:val="0"/>
                <w:sz w:val="21"/>
                <w:szCs w:val="21"/>
              </w:rPr>
              <w:t>产业集群</w:t>
            </w:r>
            <w:r>
              <w:rPr>
                <w:rFonts w:hint="eastAsia"/>
                <w:kern w:val="0"/>
                <w:sz w:val="21"/>
                <w:szCs w:val="21"/>
              </w:rPr>
              <w:t>)</w:t>
            </w:r>
            <w:r>
              <w:rPr>
                <w:kern w:val="0"/>
                <w:sz w:val="21"/>
                <w:szCs w:val="21"/>
              </w:rPr>
              <w:t>，即钢铁产业区、装备</w:t>
            </w:r>
            <w:r>
              <w:rPr>
                <w:sz w:val="21"/>
                <w:szCs w:val="21"/>
              </w:rPr>
              <w:t>制造产业区、环保产业区、煤化工产业区、煤化工及钢铁建材产业区；“四园”即外围的冶金建材产业园、现代装备及循环产业园、钢铁及节能环保产业园、高端装备制造园。</w:t>
            </w:r>
          </w:p>
          <w:p>
            <w:pPr>
              <w:snapToGrid w:val="0"/>
              <w:ind w:firstLine="420"/>
              <w:jc w:val="both"/>
              <w:rPr>
                <w:sz w:val="21"/>
                <w:szCs w:val="21"/>
              </w:rPr>
            </w:pPr>
            <w:r>
              <w:rPr>
                <w:sz w:val="21"/>
                <w:szCs w:val="21"/>
              </w:rPr>
              <w:t>项目位于河北迁安经济开发区功能分区中钢铁</w:t>
            </w:r>
            <w:r>
              <w:rPr>
                <w:rFonts w:hint="eastAsia"/>
                <w:sz w:val="21"/>
                <w:szCs w:val="21"/>
              </w:rPr>
              <w:t>产业区</w:t>
            </w:r>
            <w:r>
              <w:rPr>
                <w:sz w:val="21"/>
                <w:szCs w:val="21"/>
              </w:rPr>
              <w:t>，其规划重点发展方向或产品：保留原有产业外，大力发展热轧薄板、冷轧薄板、线材、热镀锌板、彩涂板、硅钢板、特种型钢、经济断面型钢等钢铁行业及其上下游产业</w:t>
            </w:r>
            <w:r>
              <w:rPr>
                <w:rFonts w:eastAsiaTheme="minorEastAsia"/>
                <w:sz w:val="21"/>
                <w:szCs w:val="21"/>
              </w:rPr>
              <w:t>。项目为</w:t>
            </w:r>
            <w:r>
              <w:rPr>
                <w:rFonts w:hint="eastAsia" w:eastAsiaTheme="minorEastAsia"/>
                <w:sz w:val="21"/>
                <w:szCs w:val="21"/>
              </w:rPr>
              <w:t>利用转炉煤气和高炉煤气发电</w:t>
            </w:r>
            <w:r>
              <w:rPr>
                <w:rFonts w:hint="eastAsia" w:eastAsiaTheme="minorEastAsia"/>
                <w:kern w:val="0"/>
                <w:sz w:val="21"/>
                <w:szCs w:val="21"/>
              </w:rPr>
              <w:t>项目</w:t>
            </w:r>
            <w:r>
              <w:rPr>
                <w:rFonts w:eastAsiaTheme="minorEastAsia"/>
                <w:sz w:val="21"/>
                <w:szCs w:val="21"/>
              </w:rPr>
              <w:t>，为钢铁行业</w:t>
            </w:r>
            <w:r>
              <w:rPr>
                <w:rFonts w:hint="eastAsia" w:eastAsiaTheme="minorEastAsia"/>
                <w:sz w:val="21"/>
                <w:szCs w:val="21"/>
              </w:rPr>
              <w:t>附属</w:t>
            </w:r>
            <w:r>
              <w:rPr>
                <w:rFonts w:eastAsiaTheme="minorEastAsia"/>
                <w:sz w:val="21"/>
                <w:szCs w:val="21"/>
              </w:rPr>
              <w:t>产业，</w:t>
            </w:r>
            <w:r>
              <w:rPr>
                <w:sz w:val="21"/>
                <w:szCs w:val="21"/>
              </w:rPr>
              <w:t>项目符合开发区定</w:t>
            </w:r>
            <w:r>
              <w:rPr>
                <w:kern w:val="0"/>
                <w:sz w:val="21"/>
                <w:szCs w:val="21"/>
              </w:rPr>
              <w:t>位要求。根据规划环评中</w:t>
            </w:r>
            <w:r>
              <w:rPr>
                <w:rFonts w:hint="eastAsia"/>
                <w:sz w:val="21"/>
                <w:szCs w:val="21"/>
              </w:rPr>
              <w:t>钢铁产业区</w:t>
            </w:r>
            <w:r>
              <w:rPr>
                <w:kern w:val="0"/>
                <w:sz w:val="21"/>
                <w:szCs w:val="21"/>
              </w:rPr>
              <w:t>的负面清单：</w:t>
            </w:r>
            <w:r>
              <w:rPr>
                <w:rFonts w:hint="eastAsia"/>
                <w:sz w:val="21"/>
                <w:szCs w:val="21"/>
              </w:rPr>
              <w:t>1、增加钢铁产能的项目(减量置换除外)；2、铁合金冶炼(产能置换除外)；3、独立热轧项目；4、焦化项目(产能置换除外)；5、涉及重金属重点行业的有重金属排放的项目；6、新建的属于《产业结构调整指导目录(2011年本)(2013年修正)》中的“限制类”和“淘汰类”项目。通过对比分析</w:t>
            </w:r>
            <w:r>
              <w:rPr>
                <w:sz w:val="21"/>
                <w:szCs w:val="21"/>
              </w:rPr>
              <w:t>，本项目不在负面清单内。</w:t>
            </w:r>
          </w:p>
          <w:p>
            <w:pPr>
              <w:snapToGrid w:val="0"/>
              <w:ind w:firstLine="480"/>
              <w:jc w:val="both"/>
            </w:pPr>
            <w:r>
              <w:pict>
                <v:shape id="_x0000_s2076" o:spid="_x0000_s2076" o:spt="61" type="#_x0000_t61" style="position:absolute;left:0pt;margin-left:121.45pt;margin-top:183.55pt;height:20.05pt;width:89pt;z-index:251665408;mso-width-relative:page;mso-height-relative:page;" coordsize="21600,21600" adj="2779,39106">
                  <v:path/>
                  <v:fill focussize="0,0"/>
                  <v:stroke joinstyle="miter"/>
                  <v:imagedata o:title=""/>
                  <o:lock v:ext="edit"/>
                  <v:textbox>
                    <w:txbxContent>
                      <w:p>
                        <w:pPr>
                          <w:spacing w:line="240" w:lineRule="exact"/>
                          <w:ind w:firstLine="0" w:firstLineChars="0"/>
                        </w:pPr>
                        <w:r>
                          <w:rPr>
                            <w:rFonts w:hint="eastAsia"/>
                          </w:rPr>
                          <w:t>项目所在地</w:t>
                        </w:r>
                      </w:p>
                    </w:txbxContent>
                  </v:textbox>
                </v:shape>
              </w:pict>
            </w:r>
            <w:r>
              <w:drawing>
                <wp:inline distT="0" distB="0" distL="114300" distR="114300">
                  <wp:extent cx="3978275" cy="5631180"/>
                  <wp:effectExtent l="12700" t="12700" r="28575" b="13970"/>
                  <wp:docPr id="2" name="图片 7" descr="附图4  产业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附图4  产业布局图"/>
                          <pic:cNvPicPr>
                            <a:picLocks noChangeAspect="1"/>
                          </pic:cNvPicPr>
                        </pic:nvPicPr>
                        <pic:blipFill>
                          <a:blip r:embed="rId10"/>
                          <a:stretch>
                            <a:fillRect/>
                          </a:stretch>
                        </pic:blipFill>
                        <pic:spPr>
                          <a:xfrm>
                            <a:off x="0" y="0"/>
                            <a:ext cx="3978275" cy="5631180"/>
                          </a:xfrm>
                          <a:prstGeom prst="rect">
                            <a:avLst/>
                          </a:prstGeom>
                          <a:noFill/>
                          <a:ln w="12700" cmpd="sng">
                            <a:solidFill>
                              <a:schemeClr val="tx1"/>
                            </a:solidFill>
                            <a:prstDash val="solid"/>
                          </a:ln>
                        </pic:spPr>
                      </pic:pic>
                    </a:graphicData>
                  </a:graphic>
                </wp:inline>
              </w:drawing>
            </w:r>
          </w:p>
          <w:p>
            <w:pPr>
              <w:pStyle w:val="2"/>
              <w:ind w:firstLine="0" w:firstLineChars="0"/>
              <w:jc w:val="center"/>
              <w:rPr>
                <w:b/>
                <w:bCs/>
              </w:rPr>
            </w:pPr>
            <w:r>
              <w:rPr>
                <w:rFonts w:hint="eastAsia"/>
                <w:b/>
                <w:bCs/>
              </w:rPr>
              <w:t>图1  项目在</w:t>
            </w:r>
            <w:r>
              <w:rPr>
                <w:rFonts w:hint="eastAsia"/>
                <w:b/>
                <w:bCs/>
                <w:kern w:val="0"/>
              </w:rPr>
              <w:t>河北迁安经济开发区产业布局规划图</w:t>
            </w:r>
          </w:p>
          <w:p>
            <w:pPr>
              <w:snapToGrid w:val="0"/>
              <w:ind w:firstLine="420"/>
              <w:jc w:val="both"/>
              <w:rPr>
                <w:kern w:val="0"/>
                <w:sz w:val="21"/>
                <w:szCs w:val="21"/>
              </w:rPr>
            </w:pPr>
            <w:r>
              <w:rPr>
                <w:rFonts w:hint="eastAsia"/>
                <w:kern w:val="0"/>
                <w:sz w:val="21"/>
                <w:szCs w:val="21"/>
              </w:rPr>
              <w:t>项目已取得河北迁安经济开发区出具的关于本项目符合规划的意见</w:t>
            </w:r>
            <w:r>
              <w:rPr>
                <w:kern w:val="0"/>
                <w:sz w:val="21"/>
                <w:szCs w:val="21"/>
              </w:rPr>
              <w:t>，符合河北迁安经济开发区总体规划要求。</w:t>
            </w:r>
          </w:p>
          <w:p>
            <w:pPr>
              <w:snapToGrid w:val="0"/>
              <w:ind w:firstLine="422"/>
              <w:rPr>
                <w:b/>
                <w:kern w:val="0"/>
                <w:sz w:val="21"/>
                <w:szCs w:val="21"/>
              </w:rPr>
            </w:pPr>
            <w:r>
              <w:rPr>
                <w:b/>
                <w:kern w:val="0"/>
                <w:sz w:val="21"/>
                <w:szCs w:val="21"/>
              </w:rPr>
              <w:t>1.3土地利用规划</w:t>
            </w:r>
          </w:p>
          <w:p>
            <w:pPr>
              <w:snapToGrid w:val="0"/>
              <w:ind w:firstLine="420"/>
              <w:rPr>
                <w:sz w:val="21"/>
                <w:szCs w:val="21"/>
              </w:rPr>
            </w:pPr>
            <w:r>
              <w:rPr>
                <w:sz w:val="21"/>
                <w:szCs w:val="21"/>
              </w:rPr>
              <w:t>根据《河北迁安经济开发区总体规划修编调整</w:t>
            </w:r>
            <w:r>
              <w:rPr>
                <w:rFonts w:hint="eastAsia"/>
                <w:sz w:val="21"/>
                <w:szCs w:val="21"/>
              </w:rPr>
              <w:t>(</w:t>
            </w:r>
            <w:r>
              <w:rPr>
                <w:sz w:val="21"/>
                <w:szCs w:val="21"/>
              </w:rPr>
              <w:t>2018-2030年</w:t>
            </w:r>
            <w:r>
              <w:rPr>
                <w:rFonts w:hint="eastAsia"/>
                <w:sz w:val="21"/>
                <w:szCs w:val="21"/>
              </w:rPr>
              <w:t>)</w:t>
            </w:r>
            <w:r>
              <w:rPr>
                <w:sz w:val="21"/>
                <w:szCs w:val="21"/>
              </w:rPr>
              <w:t>》，开发区内土地划分为一类工业用地、二类工业用地、三类工业用地、发展备用地、防护绿地、商业用地等，拟建项目位于河北迁安经济开发区</w:t>
            </w:r>
            <w:r>
              <w:rPr>
                <w:rFonts w:hint="eastAsia"/>
                <w:sz w:val="21"/>
                <w:szCs w:val="21"/>
              </w:rPr>
              <w:t>(</w:t>
            </w:r>
            <w:r>
              <w:rPr>
                <w:sz w:val="21"/>
                <w:szCs w:val="21"/>
              </w:rPr>
              <w:t>迁安市木厂口镇</w:t>
            </w:r>
            <w:r>
              <w:rPr>
                <w:rFonts w:hint="eastAsia"/>
                <w:sz w:val="21"/>
                <w:szCs w:val="21"/>
              </w:rPr>
              <w:t>)</w:t>
            </w:r>
            <w:r>
              <w:rPr>
                <w:sz w:val="21"/>
                <w:szCs w:val="21"/>
              </w:rPr>
              <w:t>，公司现有厂区内</w:t>
            </w:r>
            <w:r>
              <w:rPr>
                <w:snapToGrid w:val="0"/>
                <w:kern w:val="0"/>
                <w:sz w:val="21"/>
                <w:szCs w:val="21"/>
              </w:rPr>
              <w:t>，</w:t>
            </w:r>
            <w:r>
              <w:rPr>
                <w:sz w:val="21"/>
                <w:szCs w:val="21"/>
              </w:rPr>
              <w:t>根据开发区用地规划图，迁安市九江线材有限责任公司土地类型为</w:t>
            </w:r>
            <w:r>
              <w:rPr>
                <w:rFonts w:hint="eastAsia"/>
                <w:sz w:val="21"/>
                <w:szCs w:val="21"/>
              </w:rPr>
              <w:t>三类</w:t>
            </w:r>
            <w:r>
              <w:rPr>
                <w:sz w:val="21"/>
                <w:szCs w:val="21"/>
              </w:rPr>
              <w:t>工业用地，符合用地规划要求。</w:t>
            </w:r>
          </w:p>
          <w:p>
            <w:pPr>
              <w:snapToGrid w:val="0"/>
              <w:ind w:firstLine="0" w:firstLineChars="0"/>
              <w:rPr>
                <w:b/>
                <w:kern w:val="0"/>
                <w:sz w:val="21"/>
                <w:szCs w:val="21"/>
              </w:rPr>
            </w:pPr>
            <w:r>
              <w:rPr>
                <w:sz w:val="21"/>
              </w:rPr>
              <w:pict>
                <v:shape id="矩形标注 7" o:spid="_x0000_s2070" o:spt="61" type="#_x0000_t61" style="position:absolute;left:0pt;margin-left:162.8pt;margin-top:272.85pt;height:23.45pt;width:51.9pt;z-index:251662336;mso-width-relative:page;mso-height-relative:page;" coordsize="21600,21600" adj="-14461,-15796">
                  <v:path/>
                  <v:fill focussize="0,0"/>
                  <v:stroke joinstyle="miter"/>
                  <v:imagedata o:title=""/>
                  <o:lock v:ext="edit"/>
                  <v:textbox>
                    <w:txbxContent>
                      <w:p>
                        <w:pPr>
                          <w:ind w:firstLine="0" w:firstLineChars="0"/>
                        </w:pPr>
                        <w:r>
                          <w:rPr>
                            <w:rFonts w:hint="eastAsia"/>
                            <w:sz w:val="18"/>
                            <w:szCs w:val="18"/>
                          </w:rPr>
                          <w:t>项目位置</w:t>
                        </w:r>
                      </w:p>
                    </w:txbxContent>
                  </v:textbox>
                </v:shape>
              </w:pict>
            </w:r>
            <w:r>
              <w:rPr>
                <w:sz w:val="21"/>
              </w:rPr>
              <w:pict>
                <v:rect id="矩形 11" o:spid="_x0000_s2071" o:spt="1" style="position:absolute;left:0pt;margin-left:122.5pt;margin-top:248.95pt;height:5.95pt;width:5.95pt;z-index:251661312;mso-width-relative:page;mso-height-relative:page;" fillcolor="#000000" filled="t" coordsize="21600,21600" o:gfxdata="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tgZ+NoAAAALAQAADwAAAAAAAAABACAAAAAiAAAAZHJzL2Rvd25yZXYueG1sUEsBAhQA&#10;FAAAAAgAh07iQEyoQ2vwAQAAHQQAAA4AAAAAAAAAAQAgAAAAKQEAAGRycy9lMm9Eb2MueG1sUEsF&#10;BgAAAAAGAAYAWQEAAIsFAAAAAA==&#10;">
                  <v:path/>
                  <v:fill on="t" focussize="0,0"/>
                  <v:stroke/>
                  <v:imagedata o:title=""/>
                  <o:lock v:ext="edit"/>
                </v:rect>
              </w:pict>
            </w:r>
            <w:r>
              <w:rPr>
                <w:b/>
                <w:kern w:val="0"/>
                <w:sz w:val="21"/>
                <w:szCs w:val="21"/>
              </w:rPr>
              <w:drawing>
                <wp:inline distT="0" distB="0" distL="114300" distR="114300">
                  <wp:extent cx="4555490" cy="6448425"/>
                  <wp:effectExtent l="12700" t="12700" r="16510" b="15875"/>
                  <wp:docPr id="11" name="图片 11" descr="微信图片_2021112614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1126141045"/>
                          <pic:cNvPicPr>
                            <a:picLocks noChangeAspect="1"/>
                          </pic:cNvPicPr>
                        </pic:nvPicPr>
                        <pic:blipFill>
                          <a:blip r:embed="rId11"/>
                          <a:stretch>
                            <a:fillRect/>
                          </a:stretch>
                        </pic:blipFill>
                        <pic:spPr>
                          <a:xfrm>
                            <a:off x="0" y="0"/>
                            <a:ext cx="4555490" cy="6448425"/>
                          </a:xfrm>
                          <a:prstGeom prst="rect">
                            <a:avLst/>
                          </a:prstGeom>
                          <a:ln w="12700" cmpd="sng">
                            <a:solidFill>
                              <a:schemeClr val="tx1"/>
                            </a:solidFill>
                            <a:prstDash val="solid"/>
                          </a:ln>
                        </pic:spPr>
                      </pic:pic>
                    </a:graphicData>
                  </a:graphic>
                </wp:inline>
              </w:drawing>
            </w:r>
          </w:p>
          <w:p>
            <w:pPr>
              <w:pStyle w:val="2"/>
              <w:ind w:firstLine="0" w:firstLineChars="0"/>
              <w:jc w:val="center"/>
              <w:rPr>
                <w:b/>
                <w:bCs/>
              </w:rPr>
            </w:pPr>
            <w:r>
              <w:rPr>
                <w:rFonts w:hint="eastAsia"/>
                <w:b/>
                <w:bCs/>
              </w:rPr>
              <w:t>图2</w:t>
            </w:r>
            <w:r>
              <w:rPr>
                <w:b/>
                <w:bCs/>
              </w:rPr>
              <w:t xml:space="preserve">  </w:t>
            </w:r>
            <w:r>
              <w:rPr>
                <w:rFonts w:hint="eastAsia"/>
                <w:b/>
                <w:bCs/>
              </w:rPr>
              <w:t>土地利用规划图</w:t>
            </w:r>
          </w:p>
          <w:p>
            <w:pPr>
              <w:snapToGrid w:val="0"/>
              <w:ind w:firstLine="422"/>
              <w:rPr>
                <w:b/>
                <w:kern w:val="0"/>
                <w:sz w:val="21"/>
                <w:szCs w:val="21"/>
              </w:rPr>
            </w:pPr>
            <w:r>
              <w:rPr>
                <w:b/>
                <w:kern w:val="0"/>
                <w:sz w:val="21"/>
                <w:szCs w:val="21"/>
              </w:rPr>
              <w:t>1.4基础设施建设情况</w:t>
            </w:r>
          </w:p>
          <w:p>
            <w:pPr>
              <w:pStyle w:val="128"/>
              <w:tabs>
                <w:tab w:val="center" w:pos="4153"/>
                <w:tab w:val="right" w:pos="8306"/>
              </w:tabs>
              <w:adjustRightInd/>
              <w:spacing w:beforeLines="0" w:afterLines="0" w:line="360" w:lineRule="auto"/>
              <w:jc w:val="both"/>
              <w:rPr>
                <w:rFonts w:ascii="Times New Roman"/>
                <w:szCs w:val="21"/>
              </w:rPr>
            </w:pPr>
            <w:r>
              <w:rPr>
                <w:rFonts w:ascii="Times New Roman"/>
                <w:szCs w:val="21"/>
              </w:rPr>
              <w:fldChar w:fldCharType="begin"/>
            </w:r>
            <w:r>
              <w:rPr>
                <w:rFonts w:ascii="Times New Roman"/>
                <w:szCs w:val="21"/>
              </w:rPr>
              <w:instrText xml:space="preserve"> = 1 \* GB3 </w:instrText>
            </w:r>
            <w:r>
              <w:rPr>
                <w:rFonts w:ascii="Times New Roman"/>
                <w:szCs w:val="21"/>
              </w:rPr>
              <w:fldChar w:fldCharType="separate"/>
            </w:r>
            <w:r>
              <w:rPr>
                <w:rFonts w:ascii="Times New Roman"/>
                <w:szCs w:val="21"/>
              </w:rPr>
              <w:t>①</w:t>
            </w:r>
            <w:r>
              <w:rPr>
                <w:rFonts w:ascii="Times New Roman"/>
                <w:szCs w:val="21"/>
              </w:rPr>
              <w:fldChar w:fldCharType="end"/>
            </w:r>
            <w:r>
              <w:rPr>
                <w:rFonts w:ascii="Times New Roman"/>
                <w:szCs w:val="21"/>
              </w:rPr>
              <w:t>给水工程</w:t>
            </w:r>
          </w:p>
          <w:p>
            <w:pPr>
              <w:pStyle w:val="128"/>
              <w:tabs>
                <w:tab w:val="center" w:pos="4153"/>
                <w:tab w:val="right" w:pos="8306"/>
              </w:tabs>
              <w:adjustRightInd/>
              <w:spacing w:beforeLines="0" w:afterLines="0" w:line="360" w:lineRule="auto"/>
              <w:jc w:val="both"/>
              <w:rPr>
                <w:rFonts w:ascii="Times New Roman"/>
                <w:szCs w:val="21"/>
              </w:rPr>
            </w:pPr>
            <w:r>
              <w:rPr>
                <w:rFonts w:ascii="Times New Roman"/>
                <w:szCs w:val="21"/>
              </w:rPr>
              <w:t>现状：开发区中的装备制造产业区和环保产业区给水管网已建设完毕，钢铁产业区的西沙河东部地块给水管网也建设完毕。钢铁产业区的西沙河西部分布的首钢迁钢、首钢矿业和迁安中化三家企业均为首钢集团下属公司，给水管线已由企业自建形成完善的配套给水管线，三家在滦河西岸共同建有水源地和输水管线。目前首钢迁钢等三家供水站能力尚有充足余量，未来作为智能创新产业园的供水水源地和供水站，接管完成后将取缔该区内的其他自备水井，实行统一供水。</w:t>
            </w:r>
          </w:p>
          <w:p>
            <w:pPr>
              <w:snapToGrid w:val="0"/>
              <w:ind w:firstLine="420"/>
              <w:rPr>
                <w:sz w:val="21"/>
                <w:szCs w:val="21"/>
              </w:rPr>
            </w:pPr>
            <w:r>
              <w:rPr>
                <w:sz w:val="21"/>
                <w:szCs w:val="21"/>
              </w:rPr>
              <w:t>规划：开发区内不设给水厂，考虑现状情况，近期保留大型独立工矿企业自备供水管线及供水设施，并辅助区域内中小企业供水。开发区远期给水纳入迁安市中心城区给水系统，供水水源为滦河地下水。开发区内城市生活用水纳入迁安市中心城区供水系统，依托迁安市第一水厂、第二水厂、第三水厂提供居民生产生活用水。4#河西水厂(钢城西路和经十三路交口，供水规模15万m³/d)、6#河西备用水厂(平杨路以南、卑水铁路以西，供水规模16万m³/d)。</w:t>
            </w:r>
          </w:p>
          <w:p>
            <w:pPr>
              <w:pStyle w:val="128"/>
              <w:tabs>
                <w:tab w:val="center" w:pos="4153"/>
                <w:tab w:val="right" w:pos="8306"/>
              </w:tabs>
              <w:adjustRightInd/>
              <w:spacing w:beforeLines="0" w:afterLines="0" w:line="360" w:lineRule="auto"/>
              <w:jc w:val="both"/>
              <w:rPr>
                <w:rFonts w:ascii="Times New Roman"/>
                <w:szCs w:val="21"/>
              </w:rPr>
            </w:pPr>
            <w:r>
              <w:rPr>
                <w:rFonts w:ascii="Times New Roman"/>
                <w:szCs w:val="21"/>
              </w:rPr>
              <w:t>本项目用水由迁安市九江线材有限责任公司统一供给，接自厂区东南侧现有生产生活给水管道。</w:t>
            </w:r>
          </w:p>
          <w:p>
            <w:pPr>
              <w:pStyle w:val="128"/>
              <w:tabs>
                <w:tab w:val="center" w:pos="4153"/>
                <w:tab w:val="right" w:pos="8306"/>
              </w:tabs>
              <w:adjustRightInd/>
              <w:spacing w:beforeLines="0" w:afterLines="0" w:line="360" w:lineRule="auto"/>
              <w:jc w:val="both"/>
              <w:rPr>
                <w:rFonts w:ascii="Times New Roman"/>
                <w:szCs w:val="21"/>
              </w:rPr>
            </w:pPr>
            <w:r>
              <w:rPr>
                <w:rFonts w:ascii="Times New Roman"/>
                <w:szCs w:val="21"/>
              </w:rPr>
              <w:fldChar w:fldCharType="begin"/>
            </w:r>
            <w:r>
              <w:rPr>
                <w:rFonts w:ascii="Times New Roman"/>
                <w:szCs w:val="21"/>
              </w:rPr>
              <w:instrText xml:space="preserve"> = 2 \* GB3 </w:instrText>
            </w:r>
            <w:r>
              <w:rPr>
                <w:rFonts w:ascii="Times New Roman"/>
                <w:szCs w:val="21"/>
              </w:rPr>
              <w:fldChar w:fldCharType="separate"/>
            </w:r>
            <w:r>
              <w:rPr>
                <w:rFonts w:ascii="Times New Roman"/>
                <w:szCs w:val="21"/>
              </w:rPr>
              <w:t>②</w:t>
            </w:r>
            <w:r>
              <w:rPr>
                <w:rFonts w:ascii="Times New Roman"/>
                <w:szCs w:val="21"/>
              </w:rPr>
              <w:fldChar w:fldCharType="end"/>
            </w:r>
            <w:r>
              <w:rPr>
                <w:rFonts w:ascii="Times New Roman"/>
                <w:szCs w:val="21"/>
              </w:rPr>
              <w:t>排水工程</w:t>
            </w:r>
          </w:p>
          <w:p>
            <w:pPr>
              <w:pStyle w:val="128"/>
              <w:tabs>
                <w:tab w:val="center" w:pos="4153"/>
                <w:tab w:val="right" w:pos="8306"/>
              </w:tabs>
              <w:adjustRightInd/>
              <w:spacing w:beforeLines="0" w:afterLines="0" w:line="360" w:lineRule="auto"/>
              <w:jc w:val="both"/>
              <w:rPr>
                <w:rFonts w:ascii="Times New Roman"/>
                <w:szCs w:val="24"/>
              </w:rPr>
            </w:pPr>
            <w:r>
              <w:rPr>
                <w:rFonts w:ascii="Times New Roman"/>
                <w:szCs w:val="21"/>
              </w:rPr>
              <w:t>开发区规划依托现有2座污水处理厂，迁安市大西区建设开发有限公司污水处理厂和迁安市沙河驿镇污水厂。迁安市大西区建设开发有限公司污水处理厂，位于纬十七街南、经十一路东，收水范围是迁安经济开发区内纬十七街以北，东、西、北至规划边界的工业废水和生活污水。目前污水厂一期工程已建成投产并验收通过，处理规模0.5万m³/d，预留二期建设规模1.5万m³/d，二期建设待入本污水厂收水量稳定在0.4~0.5万m³/d时启动。目前，收水范围内配套管网工程已投入使用。污水处理厂采用较为先进的改良A</w:t>
            </w:r>
            <w:r>
              <w:rPr>
                <w:rFonts w:ascii="Times New Roman"/>
                <w:szCs w:val="21"/>
                <w:vertAlign w:val="superscript"/>
              </w:rPr>
              <w:t>2</w:t>
            </w:r>
            <w:r>
              <w:rPr>
                <w:rFonts w:ascii="Times New Roman"/>
                <w:szCs w:val="21"/>
              </w:rPr>
              <w:t>/O+深度处理污水处理工艺，一期工程实际处理规模约1500m³/d，尚有</w:t>
            </w:r>
            <w:r>
              <w:rPr>
                <w:rFonts w:ascii="Times New Roman"/>
                <w:szCs w:val="24"/>
              </w:rPr>
              <w:t>富余接纳能力。</w:t>
            </w:r>
          </w:p>
          <w:p>
            <w:pPr>
              <w:pStyle w:val="128"/>
              <w:tabs>
                <w:tab w:val="center" w:pos="4153"/>
                <w:tab w:val="right" w:pos="8306"/>
              </w:tabs>
              <w:adjustRightInd/>
              <w:spacing w:beforeLines="0" w:afterLines="0" w:line="360" w:lineRule="auto"/>
              <w:jc w:val="both"/>
              <w:rPr>
                <w:rFonts w:ascii="Times New Roman"/>
                <w:szCs w:val="24"/>
              </w:rPr>
            </w:pPr>
            <w:r>
              <w:rPr>
                <w:rFonts w:hint="eastAsia" w:ascii="Times New Roman"/>
                <w:szCs w:val="24"/>
              </w:rPr>
              <w:t>本项目</w:t>
            </w:r>
            <w:r>
              <w:rPr>
                <w:rFonts w:ascii="Times New Roman"/>
                <w:szCs w:val="24"/>
              </w:rPr>
              <w:t>混床再生产生的酸、碱废水经地沟排至机组排水槽内，并加入少量酸、碱进行调节后与其他生产废水排入迁安市九江线材有限责任公司厂区综合污水处理站，处理后回用于生产。</w:t>
            </w:r>
          </w:p>
          <w:p>
            <w:pPr>
              <w:pStyle w:val="128"/>
              <w:tabs>
                <w:tab w:val="center" w:pos="4153"/>
                <w:tab w:val="right" w:pos="8306"/>
              </w:tabs>
              <w:adjustRightInd/>
              <w:spacing w:beforeLines="0" w:afterLines="0" w:line="360" w:lineRule="auto"/>
              <w:jc w:val="both"/>
              <w:rPr>
                <w:rFonts w:ascii="Times New Roman"/>
                <w:szCs w:val="21"/>
              </w:rPr>
            </w:pPr>
            <w:r>
              <w:rPr>
                <w:rFonts w:ascii="Times New Roman"/>
                <w:szCs w:val="21"/>
              </w:rPr>
              <w:fldChar w:fldCharType="begin"/>
            </w:r>
            <w:r>
              <w:rPr>
                <w:rFonts w:ascii="Times New Roman"/>
                <w:szCs w:val="21"/>
              </w:rPr>
              <w:instrText xml:space="preserve"> = 3 \* GB3 </w:instrText>
            </w:r>
            <w:r>
              <w:rPr>
                <w:rFonts w:ascii="Times New Roman"/>
                <w:szCs w:val="21"/>
              </w:rPr>
              <w:fldChar w:fldCharType="separate"/>
            </w:r>
            <w:r>
              <w:rPr>
                <w:rFonts w:ascii="Times New Roman"/>
                <w:szCs w:val="21"/>
              </w:rPr>
              <w:t>③</w:t>
            </w:r>
            <w:r>
              <w:rPr>
                <w:rFonts w:ascii="Times New Roman"/>
                <w:szCs w:val="21"/>
              </w:rPr>
              <w:fldChar w:fldCharType="end"/>
            </w:r>
            <w:r>
              <w:rPr>
                <w:rFonts w:ascii="Times New Roman"/>
                <w:szCs w:val="21"/>
              </w:rPr>
              <w:t>供热工程</w:t>
            </w:r>
          </w:p>
          <w:p>
            <w:pPr>
              <w:pStyle w:val="128"/>
              <w:tabs>
                <w:tab w:val="center" w:pos="4153"/>
                <w:tab w:val="right" w:pos="8306"/>
              </w:tabs>
              <w:adjustRightInd/>
              <w:spacing w:beforeLines="0" w:afterLines="0" w:line="360" w:lineRule="auto"/>
              <w:jc w:val="both"/>
              <w:rPr>
                <w:rFonts w:ascii="Times New Roman"/>
                <w:szCs w:val="21"/>
              </w:rPr>
            </w:pPr>
            <w:r>
              <w:rPr>
                <w:rFonts w:ascii="Times New Roman"/>
                <w:szCs w:val="21"/>
              </w:rPr>
              <w:t>开发区内各区域近期以内部工厂生产余热供热，采用热水和蒸汽两种介质。</w:t>
            </w:r>
          </w:p>
          <w:p>
            <w:pPr>
              <w:widowControl/>
              <w:ind w:firstLine="420"/>
            </w:pPr>
            <w:r>
              <w:rPr>
                <w:rFonts w:hint="eastAsia"/>
                <w:kern w:val="0"/>
                <w:sz w:val="21"/>
                <w:lang w:bidi="ar"/>
              </w:rPr>
              <w:t>迁安市九江线材有限责任公司采用回收余热进行办公、生活采暖，由公司统一供给。</w:t>
            </w:r>
          </w:p>
          <w:p>
            <w:pPr>
              <w:pStyle w:val="128"/>
              <w:tabs>
                <w:tab w:val="center" w:pos="4153"/>
                <w:tab w:val="right" w:pos="8306"/>
              </w:tabs>
              <w:adjustRightInd/>
              <w:spacing w:beforeLines="0" w:afterLines="0" w:line="360" w:lineRule="auto"/>
              <w:jc w:val="both"/>
              <w:rPr>
                <w:rFonts w:ascii="Times New Roman"/>
                <w:szCs w:val="21"/>
              </w:rPr>
            </w:pPr>
            <w:r>
              <w:rPr>
                <w:rFonts w:ascii="Times New Roman"/>
                <w:szCs w:val="21"/>
              </w:rPr>
              <w:fldChar w:fldCharType="begin"/>
            </w:r>
            <w:r>
              <w:rPr>
                <w:rFonts w:ascii="Times New Roman"/>
                <w:szCs w:val="21"/>
              </w:rPr>
              <w:instrText xml:space="preserve"> = 4 \* GB3 </w:instrText>
            </w:r>
            <w:r>
              <w:rPr>
                <w:rFonts w:ascii="Times New Roman"/>
                <w:szCs w:val="21"/>
              </w:rPr>
              <w:fldChar w:fldCharType="separate"/>
            </w:r>
            <w:r>
              <w:rPr>
                <w:rFonts w:ascii="Times New Roman"/>
                <w:szCs w:val="21"/>
              </w:rPr>
              <w:t>④</w:t>
            </w:r>
            <w:r>
              <w:rPr>
                <w:rFonts w:ascii="Times New Roman"/>
                <w:szCs w:val="21"/>
              </w:rPr>
              <w:fldChar w:fldCharType="end"/>
            </w:r>
            <w:r>
              <w:rPr>
                <w:rFonts w:ascii="Times New Roman"/>
                <w:szCs w:val="21"/>
              </w:rPr>
              <w:t>燃气设施</w:t>
            </w:r>
          </w:p>
          <w:p>
            <w:pPr>
              <w:pStyle w:val="128"/>
              <w:tabs>
                <w:tab w:val="center" w:pos="4153"/>
                <w:tab w:val="right" w:pos="8306"/>
              </w:tabs>
              <w:adjustRightInd/>
              <w:spacing w:beforeLines="0" w:afterLines="0" w:line="360" w:lineRule="auto"/>
              <w:jc w:val="both"/>
              <w:rPr>
                <w:rFonts w:ascii="Times New Roman"/>
                <w:szCs w:val="21"/>
              </w:rPr>
            </w:pPr>
            <w:r>
              <w:rPr>
                <w:rFonts w:ascii="Times New Roman"/>
                <w:szCs w:val="21"/>
              </w:rPr>
              <w:t>气源为冀东油田气、永-唐-秦天然气。保留首钢天然气高中压调压站，新建1座天然气汽车加气母站，与现状九江加油站合建。本项目生产</w:t>
            </w:r>
            <w:r>
              <w:rPr>
                <w:rFonts w:hint="eastAsia" w:ascii="Times New Roman"/>
                <w:szCs w:val="21"/>
              </w:rPr>
              <w:t>的原料为本厂的转炉煤气和高炉煤气，</w:t>
            </w:r>
            <w:r>
              <w:rPr>
                <w:rFonts w:ascii="Times New Roman"/>
                <w:szCs w:val="21"/>
              </w:rPr>
              <w:t>不使用</w:t>
            </w:r>
            <w:r>
              <w:rPr>
                <w:rFonts w:hint="eastAsia" w:ascii="Times New Roman"/>
                <w:szCs w:val="21"/>
              </w:rPr>
              <w:t>天然气</w:t>
            </w:r>
            <w:r>
              <w:rPr>
                <w:rFonts w:ascii="Times New Roman"/>
                <w:szCs w:val="21"/>
              </w:rPr>
              <w:t>。</w:t>
            </w:r>
          </w:p>
          <w:p>
            <w:pPr>
              <w:pStyle w:val="72"/>
              <w:spacing w:before="0" w:beforeAutospacing="0" w:after="0" w:afterAutospacing="0"/>
              <w:ind w:firstLine="422"/>
              <w:rPr>
                <w:rFonts w:ascii="Times New Roman" w:hAnsi="Times New Roman"/>
                <w:b/>
                <w:sz w:val="21"/>
                <w:szCs w:val="21"/>
              </w:rPr>
            </w:pPr>
            <w:r>
              <w:rPr>
                <w:rFonts w:ascii="Times New Roman" w:hAnsi="Times New Roman"/>
                <w:b/>
                <w:sz w:val="21"/>
                <w:szCs w:val="21"/>
              </w:rPr>
              <w:t>2.与园区规划环评结论的符合性分析</w:t>
            </w:r>
          </w:p>
          <w:p>
            <w:pPr>
              <w:spacing w:line="240" w:lineRule="auto"/>
              <w:ind w:firstLine="422"/>
              <w:jc w:val="center"/>
            </w:pPr>
            <w:r>
              <w:rPr>
                <w:b/>
                <w:bCs/>
                <w:sz w:val="21"/>
                <w:szCs w:val="21"/>
              </w:rPr>
              <w:t>表</w:t>
            </w:r>
            <w:r>
              <w:rPr>
                <w:rFonts w:hint="eastAsia"/>
                <w:b/>
                <w:bCs/>
                <w:sz w:val="21"/>
                <w:szCs w:val="21"/>
              </w:rPr>
              <w:t>3</w:t>
            </w:r>
            <w:r>
              <w:rPr>
                <w:b/>
                <w:bCs/>
                <w:sz w:val="21"/>
                <w:szCs w:val="21"/>
              </w:rPr>
              <w:t xml:space="preserve">    园区规划环评结论符合性分析一览表</w:t>
            </w:r>
          </w:p>
          <w:tbl>
            <w:tblPr>
              <w:tblStyle w:val="79"/>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3"/>
              <w:gridCol w:w="4064"/>
              <w:gridCol w:w="2351"/>
              <w:gridCol w:w="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478"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序号</w:t>
                  </w:r>
                </w:p>
              </w:tc>
              <w:tc>
                <w:tcPr>
                  <w:tcW w:w="3859" w:type="dxa"/>
                  <w:tcBorders>
                    <w:tl2br w:val="nil"/>
                    <w:tr2bl w:val="nil"/>
                  </w:tcBorders>
                  <w:tcMar>
                    <w:left w:w="0" w:type="dxa"/>
                    <w:right w:w="0" w:type="dxa"/>
                  </w:tcMar>
                  <w:vAlign w:val="center"/>
                </w:tcPr>
                <w:p>
                  <w:pPr>
                    <w:adjustRightInd w:val="0"/>
                    <w:snapToGrid w:val="0"/>
                    <w:spacing w:line="240" w:lineRule="auto"/>
                    <w:ind w:firstLine="0" w:firstLineChars="0"/>
                    <w:jc w:val="center"/>
                    <w:rPr>
                      <w:bCs/>
                      <w:sz w:val="18"/>
                      <w:szCs w:val="18"/>
                    </w:rPr>
                  </w:pPr>
                  <w:r>
                    <w:rPr>
                      <w:bCs/>
                      <w:sz w:val="18"/>
                      <w:szCs w:val="18"/>
                    </w:rPr>
                    <w:t>园区规划环评结论</w:t>
                  </w:r>
                </w:p>
              </w:tc>
              <w:tc>
                <w:tcPr>
                  <w:tcW w:w="2233" w:type="dxa"/>
                  <w:tcBorders>
                    <w:tl2br w:val="nil"/>
                    <w:tr2bl w:val="nil"/>
                  </w:tcBorders>
                  <w:tcMar>
                    <w:left w:w="0" w:type="dxa"/>
                    <w:right w:w="0" w:type="dxa"/>
                  </w:tcMar>
                  <w:vAlign w:val="center"/>
                </w:tcPr>
                <w:p>
                  <w:pPr>
                    <w:adjustRightInd w:val="0"/>
                    <w:snapToGrid w:val="0"/>
                    <w:spacing w:line="240" w:lineRule="auto"/>
                    <w:ind w:firstLine="0" w:firstLineChars="0"/>
                    <w:jc w:val="center"/>
                    <w:rPr>
                      <w:bCs/>
                      <w:sz w:val="18"/>
                      <w:szCs w:val="18"/>
                    </w:rPr>
                  </w:pPr>
                  <w:r>
                    <w:rPr>
                      <w:bCs/>
                      <w:sz w:val="18"/>
                      <w:szCs w:val="18"/>
                    </w:rPr>
                    <w:t>本项目</w:t>
                  </w:r>
                </w:p>
              </w:tc>
              <w:tc>
                <w:tcPr>
                  <w:tcW w:w="390" w:type="dxa"/>
                  <w:tcBorders>
                    <w:tl2br w:val="nil"/>
                    <w:tr2bl w:val="nil"/>
                  </w:tcBorders>
                  <w:tcMar>
                    <w:left w:w="0" w:type="dxa"/>
                    <w:right w:w="0" w:type="dxa"/>
                  </w:tcMar>
                  <w:vAlign w:val="center"/>
                </w:tcPr>
                <w:p>
                  <w:pPr>
                    <w:adjustRightInd w:val="0"/>
                    <w:snapToGrid w:val="0"/>
                    <w:spacing w:line="240" w:lineRule="auto"/>
                    <w:ind w:firstLine="0" w:firstLineChars="0"/>
                    <w:jc w:val="center"/>
                    <w:rPr>
                      <w:bCs/>
                      <w:sz w:val="18"/>
                      <w:szCs w:val="18"/>
                    </w:rPr>
                  </w:pPr>
                  <w:r>
                    <w:rPr>
                      <w:bCs/>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8"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1</w:t>
                  </w:r>
                </w:p>
              </w:tc>
              <w:tc>
                <w:tcPr>
                  <w:tcW w:w="3859" w:type="dxa"/>
                  <w:tcBorders>
                    <w:tl2br w:val="nil"/>
                    <w:tr2bl w:val="nil"/>
                  </w:tcBorders>
                  <w:tcMar>
                    <w:left w:w="0" w:type="dxa"/>
                    <w:right w:w="0" w:type="dxa"/>
                  </w:tcMar>
                  <w:vAlign w:val="center"/>
                </w:tcPr>
                <w:p>
                  <w:pPr>
                    <w:adjustRightInd w:val="0"/>
                    <w:snapToGrid w:val="0"/>
                    <w:spacing w:line="240" w:lineRule="auto"/>
                    <w:ind w:firstLine="0" w:firstLineChars="0"/>
                    <w:jc w:val="center"/>
                    <w:rPr>
                      <w:sz w:val="18"/>
                      <w:szCs w:val="18"/>
                    </w:rPr>
                  </w:pPr>
                  <w:r>
                    <w:rPr>
                      <w:sz w:val="18"/>
                      <w:szCs w:val="18"/>
                    </w:rPr>
                    <w:t>主体功能区划：根据《全国主体功能区规划》及《河北省主体功能区规划》，河北迁安经济开发区所在区域为优化开发区，该区域规划发展方向为：积极发展装备制造、石油化工、精品钢铁、新型建材、电子信息等先进制造业，大力发展现代物流、休闲旅游等服务业等。</w:t>
                  </w:r>
                </w:p>
              </w:tc>
              <w:tc>
                <w:tcPr>
                  <w:tcW w:w="2233" w:type="dxa"/>
                  <w:tcBorders>
                    <w:tl2br w:val="nil"/>
                    <w:tr2bl w:val="nil"/>
                  </w:tcBorders>
                  <w:tcMar>
                    <w:left w:w="0" w:type="dxa"/>
                    <w:right w:w="0" w:type="dxa"/>
                  </w:tcMar>
                  <w:vAlign w:val="center"/>
                </w:tcPr>
                <w:p>
                  <w:pPr>
                    <w:adjustRightInd w:val="0"/>
                    <w:snapToGrid w:val="0"/>
                    <w:spacing w:line="240" w:lineRule="auto"/>
                    <w:ind w:firstLine="0" w:firstLineChars="0"/>
                    <w:jc w:val="center"/>
                    <w:rPr>
                      <w:sz w:val="18"/>
                      <w:szCs w:val="18"/>
                    </w:rPr>
                  </w:pPr>
                  <w:r>
                    <w:rPr>
                      <w:sz w:val="18"/>
                      <w:szCs w:val="18"/>
                    </w:rPr>
                    <w:t>项目为钢铁行业</w:t>
                  </w:r>
                  <w:r>
                    <w:rPr>
                      <w:rFonts w:hint="eastAsia"/>
                      <w:sz w:val="18"/>
                      <w:szCs w:val="18"/>
                    </w:rPr>
                    <w:t>配套资源综合利用项目</w:t>
                  </w:r>
                  <w:r>
                    <w:rPr>
                      <w:sz w:val="18"/>
                      <w:szCs w:val="18"/>
                    </w:rPr>
                    <w:t>。</w:t>
                  </w:r>
                </w:p>
              </w:tc>
              <w:tc>
                <w:tcPr>
                  <w:tcW w:w="390"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8"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2</w:t>
                  </w:r>
                </w:p>
              </w:tc>
              <w:tc>
                <w:tcPr>
                  <w:tcW w:w="3859" w:type="dxa"/>
                  <w:tcBorders>
                    <w:tl2br w:val="nil"/>
                    <w:tr2bl w:val="nil"/>
                  </w:tcBorders>
                  <w:tcMar>
                    <w:left w:w="0" w:type="dxa"/>
                    <w:right w:w="0" w:type="dxa"/>
                  </w:tcMar>
                  <w:vAlign w:val="center"/>
                </w:tcPr>
                <w:p>
                  <w:pPr>
                    <w:adjustRightInd w:val="0"/>
                    <w:snapToGrid w:val="0"/>
                    <w:spacing w:line="240" w:lineRule="auto"/>
                    <w:ind w:firstLine="0" w:firstLineChars="0"/>
                    <w:jc w:val="center"/>
                    <w:rPr>
                      <w:bCs/>
                      <w:kern w:val="0"/>
                      <w:sz w:val="18"/>
                      <w:szCs w:val="18"/>
                    </w:rPr>
                  </w:pPr>
                  <w:r>
                    <w:rPr>
                      <w:bCs/>
                      <w:kern w:val="0"/>
                      <w:sz w:val="18"/>
                      <w:szCs w:val="18"/>
                    </w:rPr>
                    <w:t>生态功能区划：开发区建设与区域生态功能区划不冲突。</w:t>
                  </w:r>
                </w:p>
              </w:tc>
              <w:tc>
                <w:tcPr>
                  <w:tcW w:w="2233"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both"/>
                    <w:rPr>
                      <w:rFonts w:ascii="Times New Roman" w:hAnsi="Times New Roman"/>
                      <w:color w:val="auto"/>
                      <w:sz w:val="18"/>
                      <w:szCs w:val="18"/>
                    </w:rPr>
                  </w:pPr>
                  <w:r>
                    <w:rPr>
                      <w:rFonts w:ascii="Times New Roman" w:hAnsi="Times New Roman"/>
                      <w:bCs w:val="0"/>
                      <w:color w:val="auto"/>
                      <w:kern w:val="2"/>
                      <w:sz w:val="18"/>
                      <w:szCs w:val="18"/>
                    </w:rPr>
                    <w:t>本项目位于</w:t>
                  </w:r>
                  <w:r>
                    <w:rPr>
                      <w:rFonts w:hint="eastAsia" w:ascii="Times New Roman" w:hAnsi="Times New Roman"/>
                      <w:bCs w:val="0"/>
                      <w:color w:val="auto"/>
                      <w:kern w:val="2"/>
                      <w:sz w:val="18"/>
                      <w:szCs w:val="18"/>
                    </w:rPr>
                    <w:t>公司现有厂区内，</w:t>
                  </w:r>
                  <w:r>
                    <w:rPr>
                      <w:rFonts w:ascii="Times New Roman" w:hAnsi="Times New Roman"/>
                      <w:color w:val="auto"/>
                      <w:sz w:val="18"/>
                      <w:szCs w:val="18"/>
                    </w:rPr>
                    <w:t>河</w:t>
                  </w:r>
                  <w:r>
                    <w:rPr>
                      <w:rFonts w:ascii="Times New Roman" w:hAnsi="Times New Roman"/>
                      <w:bCs w:val="0"/>
                      <w:color w:val="auto"/>
                      <w:kern w:val="2"/>
                      <w:sz w:val="18"/>
                      <w:szCs w:val="18"/>
                    </w:rPr>
                    <w:t>北迁安经济开发区钢铁产业区</w:t>
                  </w:r>
                  <w:r>
                    <w:rPr>
                      <w:rFonts w:ascii="Times New Roman" w:hAnsi="Times New Roman"/>
                      <w:color w:val="auto"/>
                      <w:sz w:val="18"/>
                      <w:szCs w:val="18"/>
                    </w:rPr>
                    <w:t>，用地类型为</w:t>
                  </w:r>
                  <w:r>
                    <w:rPr>
                      <w:rFonts w:hint="eastAsia" w:ascii="Times New Roman" w:hAnsi="Times New Roman"/>
                      <w:color w:val="auto"/>
                      <w:sz w:val="18"/>
                      <w:szCs w:val="18"/>
                    </w:rPr>
                    <w:t>三类</w:t>
                  </w:r>
                  <w:r>
                    <w:rPr>
                      <w:rFonts w:ascii="Times New Roman" w:hAnsi="Times New Roman"/>
                      <w:color w:val="auto"/>
                      <w:sz w:val="18"/>
                      <w:szCs w:val="18"/>
                    </w:rPr>
                    <w:t>工业用地。</w:t>
                  </w:r>
                </w:p>
              </w:tc>
              <w:tc>
                <w:tcPr>
                  <w:tcW w:w="390"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8"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3</w:t>
                  </w:r>
                </w:p>
              </w:tc>
              <w:tc>
                <w:tcPr>
                  <w:tcW w:w="3859" w:type="dxa"/>
                  <w:tcBorders>
                    <w:tl2br w:val="nil"/>
                    <w:tr2bl w:val="nil"/>
                  </w:tcBorders>
                  <w:tcMar>
                    <w:left w:w="0" w:type="dxa"/>
                    <w:right w:w="0" w:type="dxa"/>
                  </w:tcMar>
                  <w:vAlign w:val="center"/>
                </w:tcPr>
                <w:p>
                  <w:pPr>
                    <w:pStyle w:val="1706"/>
                    <w:adjustRightInd w:val="0"/>
                    <w:snapToGrid w:val="0"/>
                    <w:spacing w:line="240" w:lineRule="auto"/>
                    <w:ind w:firstLine="0" w:firstLineChars="0"/>
                    <w:jc w:val="center"/>
                    <w:rPr>
                      <w:color w:val="auto"/>
                      <w:sz w:val="18"/>
                      <w:szCs w:val="18"/>
                    </w:rPr>
                  </w:pPr>
                  <w:r>
                    <w:rPr>
                      <w:color w:val="auto"/>
                      <w:sz w:val="18"/>
                      <w:szCs w:val="18"/>
                    </w:rPr>
                    <w:t>城市规划：经济开发区总体规划在用地布局方面符合城乡总体规划要求，开发区以发展精品钢铁、装备制造、煤化工建材等产业为主的经济开发区，符合城乡总体规划。</w:t>
                  </w:r>
                </w:p>
              </w:tc>
              <w:tc>
                <w:tcPr>
                  <w:tcW w:w="2233"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both"/>
                    <w:rPr>
                      <w:rFonts w:ascii="Times New Roman" w:hAnsi="Times New Roman"/>
                      <w:color w:val="auto"/>
                      <w:sz w:val="18"/>
                      <w:szCs w:val="18"/>
                    </w:rPr>
                  </w:pPr>
                  <w:r>
                    <w:rPr>
                      <w:rFonts w:ascii="Times New Roman" w:hAnsi="Times New Roman"/>
                      <w:bCs w:val="0"/>
                      <w:color w:val="auto"/>
                      <w:kern w:val="2"/>
                      <w:sz w:val="18"/>
                      <w:szCs w:val="18"/>
                    </w:rPr>
                    <w:t>本项目位于</w:t>
                  </w:r>
                  <w:r>
                    <w:rPr>
                      <w:rFonts w:hint="eastAsia" w:ascii="Times New Roman" w:hAnsi="Times New Roman"/>
                      <w:bCs w:val="0"/>
                      <w:color w:val="auto"/>
                      <w:kern w:val="2"/>
                      <w:sz w:val="18"/>
                      <w:szCs w:val="18"/>
                    </w:rPr>
                    <w:t>公司现有厂区内，</w:t>
                  </w:r>
                  <w:r>
                    <w:rPr>
                      <w:rFonts w:ascii="Times New Roman" w:hAnsi="Times New Roman"/>
                      <w:color w:val="auto"/>
                      <w:sz w:val="18"/>
                      <w:szCs w:val="18"/>
                    </w:rPr>
                    <w:t>河</w:t>
                  </w:r>
                  <w:r>
                    <w:rPr>
                      <w:rFonts w:ascii="Times New Roman" w:hAnsi="Times New Roman"/>
                      <w:bCs w:val="0"/>
                      <w:color w:val="auto"/>
                      <w:kern w:val="2"/>
                      <w:sz w:val="18"/>
                      <w:szCs w:val="18"/>
                    </w:rPr>
                    <w:t>北迁安经济开发区钢铁产业区</w:t>
                  </w:r>
                  <w:r>
                    <w:rPr>
                      <w:rFonts w:ascii="Times New Roman" w:hAnsi="Times New Roman"/>
                      <w:color w:val="auto"/>
                      <w:sz w:val="18"/>
                      <w:szCs w:val="18"/>
                    </w:rPr>
                    <w:t>，用地类型为</w:t>
                  </w:r>
                  <w:r>
                    <w:rPr>
                      <w:rFonts w:hint="eastAsia" w:ascii="Times New Roman" w:hAnsi="Times New Roman"/>
                      <w:color w:val="auto"/>
                      <w:sz w:val="18"/>
                      <w:szCs w:val="18"/>
                    </w:rPr>
                    <w:t>三类</w:t>
                  </w:r>
                  <w:r>
                    <w:rPr>
                      <w:rFonts w:ascii="Times New Roman" w:hAnsi="Times New Roman"/>
                      <w:color w:val="auto"/>
                      <w:sz w:val="18"/>
                      <w:szCs w:val="18"/>
                    </w:rPr>
                    <w:t>工业用地，符合规划。</w:t>
                  </w:r>
                </w:p>
              </w:tc>
              <w:tc>
                <w:tcPr>
                  <w:tcW w:w="390"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8"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4</w:t>
                  </w:r>
                </w:p>
              </w:tc>
              <w:tc>
                <w:tcPr>
                  <w:tcW w:w="3859" w:type="dxa"/>
                  <w:tcBorders>
                    <w:tl2br w:val="nil"/>
                    <w:tr2bl w:val="nil"/>
                  </w:tcBorders>
                  <w:tcMar>
                    <w:left w:w="0" w:type="dxa"/>
                    <w:right w:w="0" w:type="dxa"/>
                  </w:tcMar>
                  <w:vAlign w:val="center"/>
                </w:tcPr>
                <w:p>
                  <w:pPr>
                    <w:pStyle w:val="1706"/>
                    <w:adjustRightInd w:val="0"/>
                    <w:snapToGrid w:val="0"/>
                    <w:spacing w:line="240" w:lineRule="auto"/>
                    <w:ind w:firstLine="0" w:firstLineChars="0"/>
                    <w:jc w:val="center"/>
                    <w:rPr>
                      <w:color w:val="auto"/>
                      <w:sz w:val="18"/>
                      <w:szCs w:val="18"/>
                    </w:rPr>
                  </w:pPr>
                  <w:r>
                    <w:rPr>
                      <w:color w:val="auto"/>
                      <w:sz w:val="18"/>
                      <w:szCs w:val="18"/>
                    </w:rPr>
                    <w:t>规划布局：规划根据产业定位划定主体功能区和外围产业园。主体功能区包括南北两部分，外围产业园包括4个产业园。其中，冶金建材产业园位于主体功能区北侧，现代装备及循环产业园位于主体功能区西北侧，高端装备制造园位于主体功能区南区的东侧，综合考虑《重点工业行业用水效率指南》(工信部联节[2013]367号)、《唐山市水污染防治工作方案》(唐发[2016]6号)确定水资源利用效率及总量控制线等相关要求。</w:t>
                  </w:r>
                </w:p>
              </w:tc>
              <w:tc>
                <w:tcPr>
                  <w:tcW w:w="2233"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both"/>
                    <w:rPr>
                      <w:rFonts w:ascii="Times New Roman" w:hAnsi="Times New Roman"/>
                      <w:color w:val="auto"/>
                      <w:sz w:val="18"/>
                      <w:szCs w:val="18"/>
                    </w:rPr>
                  </w:pPr>
                  <w:r>
                    <w:rPr>
                      <w:rFonts w:ascii="Times New Roman" w:hAnsi="Times New Roman"/>
                      <w:bCs w:val="0"/>
                      <w:color w:val="auto"/>
                      <w:kern w:val="2"/>
                      <w:sz w:val="18"/>
                      <w:szCs w:val="18"/>
                    </w:rPr>
                    <w:t>本项目位于</w:t>
                  </w:r>
                  <w:r>
                    <w:rPr>
                      <w:rFonts w:hint="eastAsia" w:ascii="Times New Roman" w:hAnsi="Times New Roman"/>
                      <w:bCs w:val="0"/>
                      <w:color w:val="auto"/>
                      <w:kern w:val="2"/>
                      <w:sz w:val="18"/>
                      <w:szCs w:val="18"/>
                    </w:rPr>
                    <w:t>公司现有厂区内，</w:t>
                  </w:r>
                  <w:r>
                    <w:rPr>
                      <w:rFonts w:ascii="Times New Roman" w:hAnsi="Times New Roman"/>
                      <w:color w:val="auto"/>
                      <w:sz w:val="18"/>
                      <w:szCs w:val="18"/>
                    </w:rPr>
                    <w:t>河</w:t>
                  </w:r>
                  <w:r>
                    <w:rPr>
                      <w:rFonts w:ascii="Times New Roman" w:hAnsi="Times New Roman"/>
                      <w:bCs w:val="0"/>
                      <w:color w:val="auto"/>
                      <w:kern w:val="2"/>
                      <w:sz w:val="18"/>
                      <w:szCs w:val="18"/>
                    </w:rPr>
                    <w:t>北迁安经济开发区钢铁产业区</w:t>
                  </w:r>
                  <w:r>
                    <w:rPr>
                      <w:rFonts w:ascii="Times New Roman" w:hAnsi="Times New Roman"/>
                      <w:color w:val="auto"/>
                      <w:sz w:val="18"/>
                      <w:szCs w:val="18"/>
                    </w:rPr>
                    <w:t>，符合园区产业定位要求；项目</w:t>
                  </w:r>
                  <w:r>
                    <w:rPr>
                      <w:rFonts w:hint="eastAsia" w:ascii="Times New Roman" w:hAnsi="Times New Roman"/>
                      <w:color w:val="auto"/>
                      <w:sz w:val="18"/>
                      <w:szCs w:val="18"/>
                    </w:rPr>
                    <w:t>无</w:t>
                  </w:r>
                  <w:r>
                    <w:rPr>
                      <w:rFonts w:ascii="Times New Roman" w:hAnsi="Times New Roman"/>
                      <w:color w:val="auto"/>
                      <w:sz w:val="18"/>
                      <w:szCs w:val="18"/>
                    </w:rPr>
                    <w:t>废水外排。</w:t>
                  </w:r>
                </w:p>
              </w:tc>
              <w:tc>
                <w:tcPr>
                  <w:tcW w:w="390"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8"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5</w:t>
                  </w:r>
                </w:p>
              </w:tc>
              <w:tc>
                <w:tcPr>
                  <w:tcW w:w="3859" w:type="dxa"/>
                  <w:tcBorders>
                    <w:tl2br w:val="nil"/>
                    <w:tr2bl w:val="nil"/>
                  </w:tcBorders>
                  <w:tcMar>
                    <w:left w:w="0" w:type="dxa"/>
                    <w:right w:w="0" w:type="dxa"/>
                  </w:tcMar>
                  <w:vAlign w:val="center"/>
                </w:tcPr>
                <w:p>
                  <w:pPr>
                    <w:pStyle w:val="1706"/>
                    <w:adjustRightInd w:val="0"/>
                    <w:snapToGrid w:val="0"/>
                    <w:spacing w:line="240" w:lineRule="auto"/>
                    <w:ind w:firstLine="0" w:firstLineChars="0"/>
                    <w:jc w:val="center"/>
                    <w:rPr>
                      <w:color w:val="auto"/>
                      <w:sz w:val="18"/>
                      <w:szCs w:val="18"/>
                    </w:rPr>
                  </w:pPr>
                  <w:r>
                    <w:rPr>
                      <w:color w:val="auto"/>
                      <w:sz w:val="18"/>
                      <w:szCs w:val="18"/>
                    </w:rPr>
                    <w:t>“三线一单”符合性分析：本次评价建议增加禁止建设区范围。建议将区内涉及的少量基本农田地块划定为禁止建设区。采取上述管控措施后，开发区建设满足生态保护红线要求；SO</w:t>
                  </w:r>
                  <w:r>
                    <w:rPr>
                      <w:color w:val="auto"/>
                      <w:sz w:val="18"/>
                      <w:szCs w:val="18"/>
                      <w:vertAlign w:val="subscript"/>
                    </w:rPr>
                    <w:t>2</w:t>
                  </w:r>
                  <w:r>
                    <w:rPr>
                      <w:color w:val="auto"/>
                      <w:sz w:val="18"/>
                      <w:szCs w:val="18"/>
                    </w:rPr>
                    <w:t>可以满足环境容量要求，NO</w:t>
                  </w:r>
                  <w:r>
                    <w:rPr>
                      <w:color w:val="auto"/>
                      <w:sz w:val="18"/>
                      <w:szCs w:val="18"/>
                      <w:vertAlign w:val="subscript"/>
                    </w:rPr>
                    <w:t>2</w:t>
                  </w:r>
                  <w:r>
                    <w:rPr>
                      <w:color w:val="auto"/>
                      <w:sz w:val="18"/>
                      <w:szCs w:val="18"/>
                    </w:rPr>
                    <w:t xml:space="preserve"> 和PM</w:t>
                  </w:r>
                  <w:r>
                    <w:rPr>
                      <w:color w:val="auto"/>
                      <w:sz w:val="18"/>
                      <w:szCs w:val="18"/>
                      <w:vertAlign w:val="subscript"/>
                    </w:rPr>
                    <w:t>2.5</w:t>
                  </w:r>
                  <w:r>
                    <w:rPr>
                      <w:color w:val="auto"/>
                      <w:sz w:val="18"/>
                      <w:szCs w:val="18"/>
                    </w:rPr>
                    <w:t>均不满足环境容量要求，需要继续削减。按照优先削减前体物的原则，需要优先削减NO</w:t>
                  </w:r>
                  <w:r>
                    <w:rPr>
                      <w:color w:val="auto"/>
                      <w:sz w:val="18"/>
                      <w:szCs w:val="18"/>
                      <w:vertAlign w:val="subscript"/>
                    </w:rPr>
                    <w:t>2</w:t>
                  </w:r>
                  <w:r>
                    <w:rPr>
                      <w:color w:val="auto"/>
                      <w:sz w:val="18"/>
                      <w:szCs w:val="18"/>
                    </w:rPr>
                    <w:t>到允许排放量，再将SO</w:t>
                  </w:r>
                  <w:r>
                    <w:rPr>
                      <w:color w:val="auto"/>
                      <w:sz w:val="18"/>
                      <w:szCs w:val="18"/>
                      <w:vertAlign w:val="subscript"/>
                    </w:rPr>
                    <w:t>2</w:t>
                  </w:r>
                  <w:r>
                    <w:rPr>
                      <w:color w:val="auto"/>
                      <w:sz w:val="18"/>
                      <w:szCs w:val="18"/>
                    </w:rPr>
                    <w:t>、NO</w:t>
                  </w:r>
                  <w:r>
                    <w:rPr>
                      <w:color w:val="auto"/>
                      <w:sz w:val="18"/>
                      <w:szCs w:val="18"/>
                      <w:vertAlign w:val="subscript"/>
                    </w:rPr>
                    <w:t>2</w:t>
                  </w:r>
                  <w:r>
                    <w:rPr>
                      <w:color w:val="auto"/>
                      <w:sz w:val="18"/>
                      <w:szCs w:val="18"/>
                    </w:rPr>
                    <w:t>、一次PM</w:t>
                  </w:r>
                  <w:r>
                    <w:rPr>
                      <w:color w:val="auto"/>
                      <w:sz w:val="18"/>
                      <w:szCs w:val="18"/>
                      <w:vertAlign w:val="subscript"/>
                    </w:rPr>
                    <w:t>2.5</w:t>
                  </w:r>
                  <w:r>
                    <w:rPr>
                      <w:color w:val="auto"/>
                      <w:sz w:val="18"/>
                      <w:szCs w:val="18"/>
                    </w:rPr>
                    <w:t>一同削减，直至总PM</w:t>
                  </w:r>
                  <w:r>
                    <w:rPr>
                      <w:color w:val="auto"/>
                      <w:sz w:val="18"/>
                      <w:szCs w:val="18"/>
                      <w:vertAlign w:val="subscript"/>
                    </w:rPr>
                    <w:t>2.5</w:t>
                  </w:r>
                  <w:r>
                    <w:rPr>
                      <w:color w:val="auto"/>
                      <w:sz w:val="18"/>
                      <w:szCs w:val="18"/>
                    </w:rPr>
                    <w:t>满足环境容量要求，经计算，SO</w:t>
                  </w:r>
                  <w:r>
                    <w:rPr>
                      <w:color w:val="auto"/>
                      <w:sz w:val="18"/>
                      <w:szCs w:val="18"/>
                      <w:vertAlign w:val="subscript"/>
                    </w:rPr>
                    <w:t>2</w:t>
                  </w:r>
                  <w:r>
                    <w:rPr>
                      <w:color w:val="auto"/>
                      <w:sz w:val="18"/>
                      <w:szCs w:val="18"/>
                    </w:rPr>
                    <w:t>、NO</w:t>
                  </w:r>
                  <w:r>
                    <w:rPr>
                      <w:color w:val="auto"/>
                      <w:sz w:val="18"/>
                      <w:szCs w:val="18"/>
                      <w:vertAlign w:val="subscript"/>
                    </w:rPr>
                    <w:t>2</w:t>
                  </w:r>
                  <w:r>
                    <w:rPr>
                      <w:color w:val="auto"/>
                      <w:sz w:val="18"/>
                      <w:szCs w:val="18"/>
                    </w:rPr>
                    <w:t>、一次PM</w:t>
                  </w:r>
                  <w:r>
                    <w:rPr>
                      <w:color w:val="auto"/>
                      <w:sz w:val="18"/>
                      <w:szCs w:val="18"/>
                      <w:vertAlign w:val="subscript"/>
                    </w:rPr>
                    <w:t>2.5</w:t>
                  </w:r>
                  <w:r>
                    <w:rPr>
                      <w:color w:val="auto"/>
                      <w:sz w:val="18"/>
                      <w:szCs w:val="18"/>
                    </w:rPr>
                    <w:t>削减量分别为4201.39t/a、11121.87t/a、2359.90t/a；迁安经济开发区到规划远期2030年，即使52.5526km²范围内全部落满工业企业，最大需增加耕地转工业用地1145.47公顷，占迁安市新增建设用地规模指标7516.87公顷的15.24%。迁安市2015-2020年通过土地复垦、土地开发补充耕地指标6618.64公顷，完全满足迁安经济开发区发展需要。迁安经济开发区具有较强的土地资源承载力；进入开发区的项目应符合国家、河北省、唐山市各项产业政策。严禁各项产业政策明令淘汰或禁止的产业、生产工艺及装备进入开发区。生产工艺或污染防治技术不成熟的项目不得进入本开发区。</w:t>
                  </w:r>
                </w:p>
              </w:tc>
              <w:tc>
                <w:tcPr>
                  <w:tcW w:w="2233"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bCs w:val="0"/>
                      <w:color w:val="auto"/>
                      <w:kern w:val="2"/>
                      <w:sz w:val="18"/>
                      <w:szCs w:val="18"/>
                    </w:rPr>
                    <w:t>本项目位于</w:t>
                  </w:r>
                  <w:r>
                    <w:rPr>
                      <w:rFonts w:hint="eastAsia" w:ascii="Times New Roman" w:hAnsi="Times New Roman"/>
                      <w:bCs w:val="0"/>
                      <w:color w:val="auto"/>
                      <w:kern w:val="2"/>
                      <w:sz w:val="18"/>
                      <w:szCs w:val="18"/>
                    </w:rPr>
                    <w:t>公司现有厂区内，</w:t>
                  </w:r>
                  <w:r>
                    <w:rPr>
                      <w:rFonts w:ascii="Times New Roman" w:hAnsi="Times New Roman"/>
                      <w:color w:val="auto"/>
                      <w:sz w:val="18"/>
                      <w:szCs w:val="18"/>
                    </w:rPr>
                    <w:t>河</w:t>
                  </w:r>
                  <w:r>
                    <w:rPr>
                      <w:rFonts w:ascii="Times New Roman" w:hAnsi="Times New Roman"/>
                      <w:bCs w:val="0"/>
                      <w:color w:val="auto"/>
                      <w:kern w:val="2"/>
                      <w:sz w:val="18"/>
                      <w:szCs w:val="18"/>
                    </w:rPr>
                    <w:t>北迁安经济开发区钢铁产业区</w:t>
                  </w:r>
                  <w:r>
                    <w:rPr>
                      <w:rFonts w:ascii="Times New Roman" w:hAnsi="Times New Roman"/>
                      <w:color w:val="auto"/>
                      <w:sz w:val="18"/>
                      <w:szCs w:val="18"/>
                    </w:rPr>
                    <w:t>，用地类型为</w:t>
                  </w:r>
                  <w:r>
                    <w:rPr>
                      <w:rFonts w:hint="eastAsia" w:ascii="Times New Roman" w:hAnsi="Times New Roman"/>
                      <w:color w:val="auto"/>
                      <w:sz w:val="18"/>
                      <w:szCs w:val="18"/>
                    </w:rPr>
                    <w:t>三类</w:t>
                  </w:r>
                  <w:r>
                    <w:rPr>
                      <w:rFonts w:ascii="Times New Roman" w:hAnsi="Times New Roman"/>
                      <w:color w:val="auto"/>
                      <w:sz w:val="18"/>
                      <w:szCs w:val="18"/>
                    </w:rPr>
                    <w:t>工业用地</w:t>
                  </w:r>
                  <w:r>
                    <w:rPr>
                      <w:rFonts w:hint="eastAsia" w:ascii="Times New Roman" w:hAnsi="Times New Roman"/>
                      <w:color w:val="auto"/>
                      <w:sz w:val="18"/>
                      <w:szCs w:val="18"/>
                    </w:rPr>
                    <w:t>，符合规划</w:t>
                  </w:r>
                  <w:r>
                    <w:rPr>
                      <w:rFonts w:ascii="Times New Roman" w:hAnsi="Times New Roman"/>
                      <w:color w:val="auto"/>
                      <w:sz w:val="18"/>
                      <w:szCs w:val="18"/>
                    </w:rPr>
                    <w:t>；本项目符合“三线一单”要求，且不在园区“负面准入清单”中；项目为钢铁行业</w:t>
                  </w:r>
                  <w:r>
                    <w:rPr>
                      <w:rFonts w:hint="eastAsia"/>
                      <w:color w:val="auto"/>
                      <w:sz w:val="18"/>
                      <w:szCs w:val="18"/>
                    </w:rPr>
                    <w:t>配</w:t>
                  </w:r>
                  <w:r>
                    <w:rPr>
                      <w:rFonts w:hint="eastAsia" w:ascii="Times New Roman" w:hAnsi="Times New Roman"/>
                      <w:color w:val="auto"/>
                      <w:sz w:val="18"/>
                      <w:szCs w:val="18"/>
                    </w:rPr>
                    <w:t>套资源综合利用项目</w:t>
                  </w:r>
                  <w:r>
                    <w:rPr>
                      <w:rFonts w:ascii="Times New Roman" w:hAnsi="Times New Roman"/>
                      <w:color w:val="auto"/>
                      <w:sz w:val="18"/>
                      <w:szCs w:val="18"/>
                    </w:rPr>
                    <w:t>，不属于各项产业政策明令淘汰或禁止的产业、生产工艺及装备，生产工艺或污染防治技术成熟，项目符合国家、河北省、唐山市各项产业政策。</w:t>
                  </w:r>
                </w:p>
              </w:tc>
              <w:tc>
                <w:tcPr>
                  <w:tcW w:w="390" w:type="dxa"/>
                  <w:tcBorders>
                    <w:tl2br w:val="nil"/>
                    <w:tr2bl w:val="nil"/>
                  </w:tcBorders>
                  <w:tcMar>
                    <w:left w:w="0" w:type="dxa"/>
                    <w:right w:w="0" w:type="dxa"/>
                  </w:tcMar>
                  <w:vAlign w:val="center"/>
                </w:tcPr>
                <w:p>
                  <w:pPr>
                    <w:pStyle w:val="37"/>
                    <w:widowControl w:val="0"/>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bl>
          <w:p>
            <w:pPr>
              <w:ind w:firstLine="422"/>
              <w:rPr>
                <w:b/>
                <w:bCs/>
                <w:kern w:val="0"/>
                <w:sz w:val="21"/>
                <w:szCs w:val="21"/>
              </w:rPr>
            </w:pPr>
            <w:r>
              <w:rPr>
                <w:b/>
                <w:bCs/>
                <w:kern w:val="0"/>
                <w:sz w:val="21"/>
                <w:szCs w:val="21"/>
              </w:rPr>
              <w:t>3与园区规划环评审查意见的符合性分析</w:t>
            </w:r>
          </w:p>
          <w:p>
            <w:pPr>
              <w:snapToGrid w:val="0"/>
              <w:ind w:firstLine="420"/>
              <w:jc w:val="both"/>
              <w:rPr>
                <w:rFonts w:eastAsia="黑体"/>
                <w:b/>
                <w:bCs/>
                <w:sz w:val="21"/>
                <w:szCs w:val="21"/>
              </w:rPr>
            </w:pPr>
            <w:r>
              <w:rPr>
                <w:sz w:val="21"/>
                <w:szCs w:val="21"/>
              </w:rPr>
              <w:t>河北省生态环境厅2019年4月13日出具了《关于转送河北迁安经济开发区总体规划修编</w:t>
            </w:r>
            <w:r>
              <w:rPr>
                <w:rFonts w:hint="eastAsia"/>
                <w:sz w:val="21"/>
                <w:szCs w:val="21"/>
              </w:rPr>
              <w:t>(</w:t>
            </w:r>
            <w:r>
              <w:rPr>
                <w:sz w:val="21"/>
                <w:szCs w:val="21"/>
              </w:rPr>
              <w:t>2018年-2030年</w:t>
            </w:r>
            <w:r>
              <w:rPr>
                <w:rFonts w:hint="eastAsia"/>
                <w:sz w:val="21"/>
                <w:szCs w:val="21"/>
              </w:rPr>
              <w:t>)</w:t>
            </w:r>
            <w:r>
              <w:rPr>
                <w:sz w:val="21"/>
                <w:szCs w:val="21"/>
              </w:rPr>
              <w:t>环境影响报告书审查意见的函(冀环环评函[2019]411号)。</w:t>
            </w:r>
          </w:p>
          <w:p>
            <w:pPr>
              <w:spacing w:before="120" w:beforeLines="50" w:line="240" w:lineRule="auto"/>
              <w:ind w:firstLine="0" w:firstLineChars="0"/>
              <w:jc w:val="center"/>
              <w:rPr>
                <w:b/>
                <w:bCs/>
                <w:sz w:val="21"/>
                <w:szCs w:val="21"/>
              </w:rPr>
            </w:pPr>
            <w:r>
              <w:rPr>
                <w:b/>
                <w:bCs/>
                <w:sz w:val="21"/>
                <w:szCs w:val="21"/>
              </w:rPr>
              <w:t>表</w:t>
            </w:r>
            <w:r>
              <w:rPr>
                <w:rFonts w:hint="eastAsia"/>
                <w:b/>
                <w:bCs/>
                <w:sz w:val="21"/>
                <w:szCs w:val="21"/>
              </w:rPr>
              <w:t>4</w:t>
            </w:r>
            <w:r>
              <w:rPr>
                <w:b/>
                <w:bCs/>
                <w:sz w:val="21"/>
                <w:szCs w:val="21"/>
              </w:rPr>
              <w:t xml:space="preserve">    与河北迁安经济开发区总体规划修编</w:t>
            </w:r>
            <w:r>
              <w:rPr>
                <w:rFonts w:hint="eastAsia"/>
                <w:b/>
                <w:bCs/>
                <w:sz w:val="21"/>
                <w:szCs w:val="21"/>
              </w:rPr>
              <w:t>(</w:t>
            </w:r>
            <w:r>
              <w:rPr>
                <w:b/>
                <w:bCs/>
                <w:sz w:val="21"/>
                <w:szCs w:val="21"/>
              </w:rPr>
              <w:t>2018年-2030年</w:t>
            </w:r>
            <w:r>
              <w:rPr>
                <w:rFonts w:hint="eastAsia"/>
                <w:b/>
                <w:bCs/>
                <w:sz w:val="21"/>
                <w:szCs w:val="21"/>
              </w:rPr>
              <w:t>)</w:t>
            </w:r>
          </w:p>
          <w:p>
            <w:pPr>
              <w:spacing w:line="240" w:lineRule="auto"/>
              <w:ind w:firstLine="0" w:firstLineChars="0"/>
              <w:jc w:val="center"/>
              <w:rPr>
                <w:b/>
                <w:bCs/>
                <w:sz w:val="21"/>
                <w:szCs w:val="21"/>
              </w:rPr>
            </w:pPr>
            <w:r>
              <w:rPr>
                <w:b/>
                <w:bCs/>
                <w:sz w:val="21"/>
                <w:szCs w:val="21"/>
              </w:rPr>
              <w:t>环境影响报告书审查意见的函符合性分析</w:t>
            </w:r>
          </w:p>
          <w:tbl>
            <w:tblPr>
              <w:tblStyle w:val="79"/>
              <w:tblW w:w="5000"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8"/>
              <w:gridCol w:w="4608"/>
              <w:gridCol w:w="1879"/>
              <w:gridCol w:w="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trPr>
              <w:tc>
                <w:tcPr>
                  <w:tcW w:w="46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序号</w:t>
                  </w:r>
                </w:p>
              </w:tc>
              <w:tc>
                <w:tcPr>
                  <w:tcW w:w="437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审查意见的函要求</w:t>
                  </w:r>
                </w:p>
              </w:tc>
              <w:tc>
                <w:tcPr>
                  <w:tcW w:w="178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本项目实施情况</w:t>
                  </w:r>
                </w:p>
              </w:tc>
              <w:tc>
                <w:tcPr>
                  <w:tcW w:w="33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1</w:t>
                  </w:r>
                </w:p>
              </w:tc>
              <w:tc>
                <w:tcPr>
                  <w:tcW w:w="437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一</w:t>
                  </w:r>
                  <w:r>
                    <w:rPr>
                      <w:rFonts w:hint="eastAsia" w:ascii="Times New Roman" w:hAnsi="Times New Roman"/>
                      <w:color w:val="auto"/>
                      <w:sz w:val="18"/>
                      <w:szCs w:val="18"/>
                    </w:rPr>
                    <w:t>)</w:t>
                  </w:r>
                  <w:r>
                    <w:rPr>
                      <w:rFonts w:ascii="Times New Roman" w:hAnsi="Times New Roman"/>
                      <w:color w:val="auto"/>
                      <w:sz w:val="18"/>
                      <w:szCs w:val="18"/>
                    </w:rPr>
                    <w:t>强化循环经济和低碳经济理念，贯彻清洁生产、达标排放、总量控制原则，坚持开发区建设与环境建设同步规划、同步实施、同步发展，确保产业发展方向与循环经济产业链延伸相协调。结合当地区域经济、社会和资源环境状况，以推进生态质量改善及推动产业转型升级为目标，在环境保护与发展中贯彻保护优先的要求。</w:t>
                  </w:r>
                </w:p>
              </w:tc>
              <w:tc>
                <w:tcPr>
                  <w:tcW w:w="178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本项目各污染物均达标排放。</w:t>
                  </w:r>
                </w:p>
              </w:tc>
              <w:tc>
                <w:tcPr>
                  <w:tcW w:w="33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2</w:t>
                  </w:r>
                </w:p>
              </w:tc>
              <w:tc>
                <w:tcPr>
                  <w:tcW w:w="437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二</w:t>
                  </w:r>
                  <w:r>
                    <w:rPr>
                      <w:rFonts w:hint="eastAsia" w:ascii="Times New Roman" w:hAnsi="Times New Roman"/>
                      <w:color w:val="auto"/>
                      <w:sz w:val="18"/>
                      <w:szCs w:val="18"/>
                    </w:rPr>
                    <w:t>)</w:t>
                  </w:r>
                  <w:r>
                    <w:rPr>
                      <w:rFonts w:ascii="Times New Roman" w:hAnsi="Times New Roman"/>
                      <w:color w:val="auto"/>
                      <w:sz w:val="18"/>
                      <w:szCs w:val="18"/>
                    </w:rPr>
                    <w:t>加强环境准入，推动产业转型升级和绿色发展。入区企业应符合《关于促进京津冀地区经济社会与生态环境保护协调发展的指导意见》</w:t>
                  </w:r>
                  <w:r>
                    <w:rPr>
                      <w:rFonts w:hint="eastAsia" w:ascii="Times New Roman" w:hAnsi="Times New Roman"/>
                      <w:color w:val="auto"/>
                      <w:sz w:val="18"/>
                      <w:szCs w:val="18"/>
                    </w:rPr>
                    <w:t>(</w:t>
                  </w:r>
                  <w:r>
                    <w:rPr>
                      <w:rFonts w:ascii="Times New Roman" w:hAnsi="Times New Roman"/>
                      <w:color w:val="auto"/>
                      <w:sz w:val="18"/>
                      <w:szCs w:val="18"/>
                    </w:rPr>
                    <w:t>环办环评[2018]24号</w:t>
                  </w:r>
                  <w:r>
                    <w:rPr>
                      <w:rFonts w:hint="eastAsia" w:ascii="Times New Roman" w:hAnsi="Times New Roman"/>
                      <w:color w:val="auto"/>
                      <w:sz w:val="18"/>
                      <w:szCs w:val="18"/>
                    </w:rPr>
                    <w:t>)</w:t>
                  </w:r>
                  <w:r>
                    <w:rPr>
                      <w:rFonts w:ascii="Times New Roman" w:hAnsi="Times New Roman"/>
                      <w:color w:val="auto"/>
                      <w:sz w:val="18"/>
                      <w:szCs w:val="18"/>
                    </w:rPr>
                    <w:t>、《产业结构调整指导目录(2011年本)》</w:t>
                  </w:r>
                  <w:r>
                    <w:rPr>
                      <w:rFonts w:hint="eastAsia" w:ascii="Times New Roman" w:hAnsi="Times New Roman"/>
                      <w:color w:val="auto"/>
                      <w:sz w:val="18"/>
                      <w:szCs w:val="18"/>
                    </w:rPr>
                    <w:t>(</w:t>
                  </w:r>
                  <w:r>
                    <w:rPr>
                      <w:rFonts w:ascii="Times New Roman" w:hAnsi="Times New Roman"/>
                      <w:color w:val="auto"/>
                      <w:sz w:val="18"/>
                      <w:szCs w:val="18"/>
                    </w:rPr>
                    <w:t>2013年修订</w:t>
                  </w:r>
                  <w:r>
                    <w:rPr>
                      <w:rFonts w:hint="eastAsia" w:ascii="Times New Roman" w:hAnsi="Times New Roman"/>
                      <w:color w:val="auto"/>
                      <w:sz w:val="18"/>
                      <w:szCs w:val="18"/>
                    </w:rPr>
                    <w:t>)</w:t>
                  </w:r>
                  <w:r>
                    <w:rPr>
                      <w:rFonts w:ascii="Times New Roman" w:hAnsi="Times New Roman"/>
                      <w:color w:val="auto"/>
                      <w:sz w:val="18"/>
                      <w:szCs w:val="18"/>
                    </w:rPr>
                    <w:t>、《河北省新增限制和淘汰类产业目录</w:t>
                  </w:r>
                  <w:r>
                    <w:rPr>
                      <w:rFonts w:hint="eastAsia" w:ascii="Times New Roman" w:hAnsi="Times New Roman"/>
                      <w:color w:val="auto"/>
                      <w:sz w:val="18"/>
                      <w:szCs w:val="18"/>
                    </w:rPr>
                    <w:t>(</w:t>
                  </w:r>
                  <w:r>
                    <w:rPr>
                      <w:rFonts w:ascii="Times New Roman" w:hAnsi="Times New Roman"/>
                      <w:color w:val="auto"/>
                      <w:sz w:val="18"/>
                      <w:szCs w:val="18"/>
                    </w:rPr>
                    <w:t>2015年版</w:t>
                  </w:r>
                  <w:r>
                    <w:rPr>
                      <w:rFonts w:hint="eastAsia" w:ascii="Times New Roman" w:hAnsi="Times New Roman"/>
                      <w:color w:val="auto"/>
                      <w:sz w:val="18"/>
                      <w:szCs w:val="18"/>
                    </w:rPr>
                    <w:t>)</w:t>
                  </w:r>
                  <w:r>
                    <w:rPr>
                      <w:rFonts w:ascii="Times New Roman" w:hAnsi="Times New Roman"/>
                      <w:color w:val="auto"/>
                      <w:sz w:val="18"/>
                      <w:szCs w:val="18"/>
                    </w:rPr>
                    <w:t>》、《关于促进焦化行业结构调整高质量发展的若干政策措施》等文件规定要求，严格落实环评报告中生态环境准入清单的要求。开发区钢铁、焦化、平板玻璃等行业不得突破规划产能上限，落实省政府及有关部门关于地下水开采政策，开发区逐步减少地下水用量，增加地表水和中水回用量，限制高耗水行业入区。</w:t>
                  </w:r>
                </w:p>
              </w:tc>
              <w:tc>
                <w:tcPr>
                  <w:tcW w:w="1784" w:type="dxa"/>
                  <w:tcBorders>
                    <w:tl2br w:val="nil"/>
                    <w:tr2bl w:val="nil"/>
                  </w:tcBorders>
                  <w:vAlign w:val="center"/>
                </w:tcPr>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本项目不属于限制类及淘汰类产业，项目用</w:t>
                  </w:r>
                  <w:r>
                    <w:rPr>
                      <w:rFonts w:hint="eastAsia" w:ascii="Times New Roman" w:hAnsi="Times New Roman"/>
                      <w:color w:val="auto"/>
                      <w:sz w:val="18"/>
                      <w:szCs w:val="18"/>
                    </w:rPr>
                    <w:t>水由迁安市九江线材有限</w:t>
                  </w:r>
                  <w:r>
                    <w:rPr>
                      <w:rFonts w:hint="eastAsia"/>
                      <w:bCs w:val="0"/>
                      <w:color w:val="auto"/>
                      <w:kern w:val="2"/>
                      <w:sz w:val="18"/>
                      <w:szCs w:val="18"/>
                    </w:rPr>
                    <w:t>责任公司</w:t>
                  </w:r>
                  <w:r>
                    <w:rPr>
                      <w:rFonts w:hint="eastAsia"/>
                      <w:color w:val="auto"/>
                      <w:kern w:val="2"/>
                      <w:sz w:val="18"/>
                      <w:szCs w:val="18"/>
                    </w:rPr>
                    <w:t>统一供给，接自厂区东南侧现有生产生活给水管道</w:t>
                  </w:r>
                  <w:r>
                    <w:rPr>
                      <w:color w:val="auto"/>
                      <w:kern w:val="2"/>
                      <w:sz w:val="18"/>
                      <w:szCs w:val="18"/>
                    </w:rPr>
                    <w:t>。</w:t>
                  </w:r>
                </w:p>
              </w:tc>
              <w:tc>
                <w:tcPr>
                  <w:tcW w:w="336" w:type="dxa"/>
                  <w:tcBorders>
                    <w:tl2br w:val="nil"/>
                    <w:tr2bl w:val="nil"/>
                  </w:tcBorders>
                  <w:vAlign w:val="center"/>
                </w:tcPr>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3</w:t>
                  </w:r>
                </w:p>
              </w:tc>
              <w:tc>
                <w:tcPr>
                  <w:tcW w:w="437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三</w:t>
                  </w:r>
                  <w:r>
                    <w:rPr>
                      <w:rFonts w:hint="eastAsia" w:ascii="Times New Roman" w:hAnsi="Times New Roman"/>
                      <w:color w:val="auto"/>
                      <w:sz w:val="18"/>
                      <w:szCs w:val="18"/>
                    </w:rPr>
                    <w:t>)</w:t>
                  </w:r>
                  <w:r>
                    <w:rPr>
                      <w:rFonts w:ascii="Times New Roman" w:hAnsi="Times New Roman"/>
                      <w:color w:val="auto"/>
                      <w:sz w:val="18"/>
                      <w:szCs w:val="18"/>
                    </w:rPr>
                    <w:t>加强空间管制，优化生产空间和生活空间。严格落实环评报告中空间管控要求，控制开发区边界外居民点向工业区方向发展，按照修编规划及环境影响报告书中的搬迁要求和相关方案尽快完成搬迁任务，减少突发事件可能对居民区产生的影响。</w:t>
                  </w:r>
                </w:p>
              </w:tc>
              <w:tc>
                <w:tcPr>
                  <w:tcW w:w="178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本项目周边不涉及搬迁任务，距离</w:t>
                  </w:r>
                  <w:r>
                    <w:rPr>
                      <w:rFonts w:hint="eastAsia" w:ascii="Times New Roman" w:hAnsi="Times New Roman"/>
                      <w:color w:val="auto"/>
                      <w:sz w:val="18"/>
                      <w:szCs w:val="18"/>
                    </w:rPr>
                    <w:t>本项目</w:t>
                  </w:r>
                  <w:r>
                    <w:rPr>
                      <w:rFonts w:ascii="Times New Roman" w:hAnsi="Times New Roman"/>
                      <w:color w:val="auto"/>
                      <w:sz w:val="18"/>
                      <w:szCs w:val="18"/>
                    </w:rPr>
                    <w:t>最近敏感点为</w:t>
                  </w:r>
                  <w:r>
                    <w:rPr>
                      <w:rFonts w:hint="eastAsia" w:ascii="Times New Roman" w:hAnsi="Times New Roman"/>
                      <w:color w:val="auto"/>
                      <w:sz w:val="18"/>
                      <w:szCs w:val="18"/>
                    </w:rPr>
                    <w:t>北</w:t>
                  </w:r>
                  <w:r>
                    <w:rPr>
                      <w:rFonts w:ascii="Times New Roman" w:hAnsi="Times New Roman"/>
                      <w:color w:val="auto"/>
                      <w:sz w:val="18"/>
                      <w:szCs w:val="18"/>
                    </w:rPr>
                    <w:t>侧</w:t>
                  </w:r>
                  <w:r>
                    <w:rPr>
                      <w:rFonts w:hint="eastAsia" w:ascii="Times New Roman" w:hAnsi="Times New Roman"/>
                      <w:color w:val="auto"/>
                      <w:sz w:val="18"/>
                      <w:szCs w:val="18"/>
                    </w:rPr>
                    <w:t>840</w:t>
                  </w:r>
                  <w:r>
                    <w:rPr>
                      <w:rFonts w:ascii="Times New Roman" w:hAnsi="Times New Roman"/>
                      <w:color w:val="auto"/>
                      <w:sz w:val="18"/>
                      <w:szCs w:val="18"/>
                    </w:rPr>
                    <w:t>m处的</w:t>
                  </w:r>
                  <w:r>
                    <w:rPr>
                      <w:rFonts w:hint="eastAsia" w:ascii="Times New Roman" w:hAnsi="Times New Roman"/>
                      <w:color w:val="auto"/>
                      <w:sz w:val="18"/>
                      <w:szCs w:val="18"/>
                    </w:rPr>
                    <w:t>松汀村</w:t>
                  </w:r>
                  <w:r>
                    <w:rPr>
                      <w:rFonts w:ascii="Times New Roman" w:hAnsi="Times New Roman"/>
                      <w:color w:val="auto"/>
                      <w:sz w:val="18"/>
                      <w:szCs w:val="18"/>
                    </w:rPr>
                    <w:t>。</w:t>
                  </w:r>
                </w:p>
              </w:tc>
              <w:tc>
                <w:tcPr>
                  <w:tcW w:w="33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4</w:t>
                  </w:r>
                </w:p>
              </w:tc>
              <w:tc>
                <w:tcPr>
                  <w:tcW w:w="437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四</w:t>
                  </w:r>
                  <w:r>
                    <w:rPr>
                      <w:rFonts w:hint="eastAsia" w:ascii="Times New Roman" w:hAnsi="Times New Roman"/>
                      <w:color w:val="auto"/>
                      <w:sz w:val="18"/>
                      <w:szCs w:val="18"/>
                    </w:rPr>
                    <w:t>)</w:t>
                  </w:r>
                  <w:r>
                    <w:rPr>
                      <w:rFonts w:ascii="Times New Roman" w:hAnsi="Times New Roman"/>
                      <w:color w:val="auto"/>
                      <w:sz w:val="18"/>
                      <w:szCs w:val="18"/>
                    </w:rPr>
                    <w:t>加强总量管控，推进环境质量改善。按照最不利条件并预留一定安全余量的原则，环评中提出的污染物排放总量控制上线作为开发区污染物排放总量管控限值。严格落实区域污染物削减方案，并不断提升技术工艺及节能节水控污水平，推动环境质量改善。</w:t>
                  </w:r>
                </w:p>
              </w:tc>
              <w:tc>
                <w:tcPr>
                  <w:tcW w:w="1784" w:type="dxa"/>
                  <w:tcBorders>
                    <w:tl2br w:val="nil"/>
                    <w:tr2bl w:val="nil"/>
                  </w:tcBorders>
                  <w:vAlign w:val="center"/>
                </w:tcPr>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highlight w:val="none"/>
                    </w:rPr>
                    <w:t>各污染物均能达标排放，</w:t>
                  </w:r>
                  <w:r>
                    <w:rPr>
                      <w:rFonts w:hint="eastAsia" w:ascii="Times New Roman" w:hAnsi="Times New Roman"/>
                      <w:color w:val="auto"/>
                      <w:sz w:val="18"/>
                      <w:szCs w:val="18"/>
                      <w:highlight w:val="none"/>
                    </w:rPr>
                    <w:t>项目取得了污染物倍量削减方案，</w:t>
                  </w:r>
                  <w:r>
                    <w:rPr>
                      <w:rFonts w:hint="eastAsia" w:ascii="Times New Roman" w:hAnsi="Times New Roman"/>
                      <w:color w:val="auto"/>
                      <w:sz w:val="18"/>
                      <w:szCs w:val="18"/>
                    </w:rPr>
                    <w:t>有利于区域环境质量改善</w:t>
                  </w:r>
                  <w:r>
                    <w:rPr>
                      <w:rFonts w:ascii="Times New Roman" w:hAnsi="Times New Roman"/>
                      <w:color w:val="auto"/>
                      <w:sz w:val="18"/>
                      <w:szCs w:val="18"/>
                    </w:rPr>
                    <w:t>，不会对周围环境质量造成冲击性影响。</w:t>
                  </w:r>
                </w:p>
              </w:tc>
              <w:tc>
                <w:tcPr>
                  <w:tcW w:w="336" w:type="dxa"/>
                  <w:tcBorders>
                    <w:tl2br w:val="nil"/>
                    <w:tr2bl w:val="nil"/>
                  </w:tcBorders>
                  <w:vAlign w:val="center"/>
                </w:tcPr>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5</w:t>
                  </w:r>
                </w:p>
              </w:tc>
              <w:tc>
                <w:tcPr>
                  <w:tcW w:w="437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五</w:t>
                  </w:r>
                  <w:r>
                    <w:rPr>
                      <w:rFonts w:hint="eastAsia" w:ascii="Times New Roman" w:hAnsi="Times New Roman"/>
                      <w:color w:val="auto"/>
                      <w:sz w:val="18"/>
                      <w:szCs w:val="18"/>
                    </w:rPr>
                    <w:t>)</w:t>
                  </w:r>
                  <w:r>
                    <w:rPr>
                      <w:rFonts w:ascii="Times New Roman" w:hAnsi="Times New Roman"/>
                      <w:color w:val="auto"/>
                      <w:sz w:val="18"/>
                      <w:szCs w:val="18"/>
                    </w:rPr>
                    <w:t>加强规划环评与项目环评联动。切实发挥规划环评和项目环评预防环境污染和生态破坏的作用，项目环评文件应落实规划环评提出的各项要求，选址符合性分析、区域大气环境容量及总量控制、配套基础设施可行性可适当简化。同时，应重点开展项目准入条件符合性、工程分析、布局合理性、环保措施的可行性论证、污染物排放量与总量控制指标、大气环境防护距离符合性、清洁生产水平分析，并关注开发区基础设施及应急体系保障能力建设，强化环境监测和环境保护相关措施的落实。</w:t>
                  </w:r>
                </w:p>
              </w:tc>
              <w:tc>
                <w:tcPr>
                  <w:tcW w:w="178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本项目建设符合规划环评规划要求，对重点环节进行了分析，提出环境监测和环境保护“三同时”。</w:t>
                  </w:r>
                </w:p>
              </w:tc>
              <w:tc>
                <w:tcPr>
                  <w:tcW w:w="336" w:type="dxa"/>
                  <w:tcBorders>
                    <w:tl2br w:val="nil"/>
                    <w:tr2bl w:val="nil"/>
                  </w:tcBorders>
                  <w:vAlign w:val="center"/>
                </w:tcPr>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6</w:t>
                  </w:r>
                </w:p>
              </w:tc>
              <w:tc>
                <w:tcPr>
                  <w:tcW w:w="437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六</w:t>
                  </w:r>
                  <w:r>
                    <w:rPr>
                      <w:rFonts w:hint="eastAsia" w:ascii="Times New Roman" w:hAnsi="Times New Roman"/>
                      <w:color w:val="auto"/>
                      <w:sz w:val="18"/>
                      <w:szCs w:val="18"/>
                    </w:rPr>
                    <w:t>)</w:t>
                  </w:r>
                  <w:r>
                    <w:rPr>
                      <w:rFonts w:ascii="Times New Roman" w:hAnsi="Times New Roman"/>
                      <w:color w:val="auto"/>
                      <w:sz w:val="18"/>
                      <w:szCs w:val="18"/>
                    </w:rPr>
                    <w:t>注重开发区发展与区域资源承载力相协调，统筹规划建设开发区配套的基础设施。开发区供水依托现有供水管网，依托现有供水厂供水，取缔无证自备水井；再生水由开发区污水厂和沙河驿污水处理厂提供；废水由开发区污水厂和沙河驿污水处理厂处理，并应尽快完成深度处理工艺的提升改造，确保开发区污水排放满足地表水Ⅳ类标准要求；供热由迁安市翅翼热力有限公司和各钢铁企业利用余热提供。落实土地占补平衡要求，合理调整土地利用规划。</w:t>
                  </w:r>
                </w:p>
              </w:tc>
              <w:tc>
                <w:tcPr>
                  <w:tcW w:w="178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本项目用水由迁安市九江线材有限责任公司统一供给，接自厂区东南侧现有生产生活给水管道；</w:t>
                  </w:r>
                  <w:r>
                    <w:rPr>
                      <w:rFonts w:ascii="Times New Roman" w:hAnsi="Times New Roman"/>
                      <w:color w:val="auto"/>
                      <w:sz w:val="18"/>
                      <w:szCs w:val="18"/>
                    </w:rPr>
                    <w:t>项目无废水外排。</w:t>
                  </w:r>
                </w:p>
              </w:tc>
              <w:tc>
                <w:tcPr>
                  <w:tcW w:w="336" w:type="dxa"/>
                  <w:tcBorders>
                    <w:tl2br w:val="nil"/>
                    <w:tr2bl w:val="nil"/>
                  </w:tcBorders>
                  <w:vAlign w:val="center"/>
                </w:tcPr>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p>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p>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7</w:t>
                  </w:r>
                </w:p>
              </w:tc>
              <w:tc>
                <w:tcPr>
                  <w:tcW w:w="4376"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七</w:t>
                  </w:r>
                  <w:r>
                    <w:rPr>
                      <w:rFonts w:hint="eastAsia" w:ascii="Times New Roman" w:hAnsi="Times New Roman"/>
                      <w:color w:val="auto"/>
                      <w:sz w:val="18"/>
                      <w:szCs w:val="18"/>
                    </w:rPr>
                    <w:t>)</w:t>
                  </w:r>
                  <w:r>
                    <w:rPr>
                      <w:rFonts w:ascii="Times New Roman" w:hAnsi="Times New Roman"/>
                      <w:color w:val="auto"/>
                      <w:sz w:val="18"/>
                      <w:szCs w:val="18"/>
                    </w:rPr>
                    <w:t>加强区域环境污染防治和应急措施。开发区需严格落实各项环境风险防范措施，强化区内危险源管控，加强风险事故情况下的环境污染防范措施和应急处置，防止对区域周边环境敏感点造成影响。</w:t>
                  </w:r>
                </w:p>
              </w:tc>
              <w:tc>
                <w:tcPr>
                  <w:tcW w:w="1784" w:type="dxa"/>
                  <w:tcBorders>
                    <w:tl2br w:val="nil"/>
                    <w:tr2bl w:val="nil"/>
                  </w:tcBorders>
                  <w:vAlign w:val="center"/>
                </w:tcPr>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2022年1月20日编制并签署发布了《迁安市九江线材有限责任公司突发环境事件应急预案》，同时在唐山市生态环境局迁安市分局备案130283-2022-009-H；针对可能出现的突发环境事件制定了完善的风险防范措施，实现与园区应急预案联动。</w:t>
                  </w:r>
                </w:p>
              </w:tc>
              <w:tc>
                <w:tcPr>
                  <w:tcW w:w="336" w:type="dxa"/>
                  <w:tcBorders>
                    <w:tl2br w:val="nil"/>
                    <w:tr2bl w:val="nil"/>
                  </w:tcBorders>
                  <w:vAlign w:val="center"/>
                </w:tcPr>
                <w:p>
                  <w:pPr>
                    <w:pStyle w:val="37"/>
                    <w:widowControl w:val="0"/>
                    <w:tabs>
                      <w:tab w:val="left" w:pos="642"/>
                    </w:tabs>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bl>
          <w:p>
            <w:pPr>
              <w:snapToGrid w:val="0"/>
              <w:ind w:firstLine="420"/>
              <w:rPr>
                <w:sz w:val="21"/>
                <w:szCs w:val="21"/>
              </w:rPr>
            </w:pPr>
            <w:r>
              <w:rPr>
                <w:sz w:val="21"/>
                <w:szCs w:val="21"/>
              </w:rPr>
              <w:t>河北省生态环境厅2019年9月24日出具了《关于转送河北迁安经济开发区总体规划修编调整</w:t>
            </w:r>
            <w:r>
              <w:rPr>
                <w:rFonts w:hint="eastAsia"/>
                <w:sz w:val="21"/>
                <w:szCs w:val="21"/>
              </w:rPr>
              <w:t>(</w:t>
            </w:r>
            <w:r>
              <w:rPr>
                <w:sz w:val="21"/>
                <w:szCs w:val="21"/>
              </w:rPr>
              <w:t>2018年-2030年</w:t>
            </w:r>
            <w:r>
              <w:rPr>
                <w:rFonts w:hint="eastAsia"/>
                <w:sz w:val="21"/>
                <w:szCs w:val="21"/>
              </w:rPr>
              <w:t>)</w:t>
            </w:r>
            <w:r>
              <w:rPr>
                <w:sz w:val="21"/>
                <w:szCs w:val="21"/>
              </w:rPr>
              <w:t>环境影响报告书审查意见的函 (冀环环评函[2019]1168号)。</w:t>
            </w:r>
          </w:p>
          <w:p>
            <w:pPr>
              <w:spacing w:line="240" w:lineRule="auto"/>
              <w:ind w:firstLine="0" w:firstLineChars="0"/>
              <w:jc w:val="center"/>
              <w:rPr>
                <w:b/>
                <w:bCs/>
                <w:sz w:val="21"/>
                <w:szCs w:val="21"/>
              </w:rPr>
            </w:pPr>
            <w:r>
              <w:rPr>
                <w:b/>
                <w:bCs/>
                <w:sz w:val="21"/>
                <w:szCs w:val="21"/>
              </w:rPr>
              <w:t>表</w:t>
            </w:r>
            <w:r>
              <w:rPr>
                <w:rFonts w:hint="eastAsia"/>
                <w:b/>
                <w:bCs/>
                <w:sz w:val="21"/>
                <w:szCs w:val="21"/>
              </w:rPr>
              <w:t>5</w:t>
            </w:r>
            <w:r>
              <w:rPr>
                <w:b/>
                <w:bCs/>
                <w:sz w:val="21"/>
                <w:szCs w:val="21"/>
              </w:rPr>
              <w:t xml:space="preserve">    本项目与河北迁安经济开发区总体规划修编调整</w:t>
            </w:r>
            <w:r>
              <w:rPr>
                <w:rFonts w:hint="eastAsia"/>
                <w:b/>
                <w:bCs/>
                <w:sz w:val="21"/>
                <w:szCs w:val="21"/>
              </w:rPr>
              <w:t>(</w:t>
            </w:r>
            <w:r>
              <w:rPr>
                <w:b/>
                <w:bCs/>
                <w:sz w:val="21"/>
                <w:szCs w:val="21"/>
              </w:rPr>
              <w:t>2018年-2030年</w:t>
            </w:r>
            <w:r>
              <w:rPr>
                <w:rFonts w:hint="eastAsia"/>
                <w:b/>
                <w:bCs/>
                <w:sz w:val="21"/>
                <w:szCs w:val="21"/>
              </w:rPr>
              <w:t>)</w:t>
            </w:r>
            <w:r>
              <w:rPr>
                <w:b/>
                <w:bCs/>
                <w:sz w:val="21"/>
                <w:szCs w:val="21"/>
              </w:rPr>
              <w:t>环境影响报告书审查意见的函符合性分析</w:t>
            </w:r>
          </w:p>
          <w:tbl>
            <w:tblPr>
              <w:tblStyle w:val="79"/>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0"/>
              <w:gridCol w:w="3671"/>
              <w:gridCol w:w="2816"/>
              <w:gridCol w:w="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422"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序号</w:t>
                  </w:r>
                </w:p>
              </w:tc>
              <w:tc>
                <w:tcPr>
                  <w:tcW w:w="359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审查意见的函要求</w:t>
                  </w:r>
                </w:p>
              </w:tc>
              <w:tc>
                <w:tcPr>
                  <w:tcW w:w="2757"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本项目实施情况</w:t>
                  </w:r>
                </w:p>
              </w:tc>
              <w:tc>
                <w:tcPr>
                  <w:tcW w:w="403"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2"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1</w:t>
                  </w:r>
                </w:p>
              </w:tc>
              <w:tc>
                <w:tcPr>
                  <w:tcW w:w="359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一</w:t>
                  </w:r>
                  <w:r>
                    <w:rPr>
                      <w:rFonts w:hint="eastAsia" w:ascii="Times New Roman" w:hAnsi="Times New Roman"/>
                      <w:color w:val="auto"/>
                      <w:sz w:val="18"/>
                      <w:szCs w:val="18"/>
                    </w:rPr>
                    <w:t>)</w:t>
                  </w:r>
                  <w:r>
                    <w:rPr>
                      <w:rFonts w:ascii="Times New Roman" w:hAnsi="Times New Roman"/>
                      <w:color w:val="auto"/>
                      <w:sz w:val="18"/>
                      <w:szCs w:val="18"/>
                    </w:rPr>
                    <w:t>加强环境准入，推动产业转型升级和绿色发展。开发区新增地块内企业应严格落实环评报告中空间管制和生态环境准入清单的要求，调整后开发区钢铁、焦化、平板玻璃等行业不得突破规划产能上限。</w:t>
                  </w:r>
                </w:p>
              </w:tc>
              <w:tc>
                <w:tcPr>
                  <w:tcW w:w="2757"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项目为钢铁行业</w:t>
                  </w:r>
                  <w:r>
                    <w:rPr>
                      <w:rFonts w:hint="eastAsia"/>
                      <w:color w:val="auto"/>
                      <w:sz w:val="18"/>
                      <w:szCs w:val="18"/>
                    </w:rPr>
                    <w:t>配</w:t>
                  </w:r>
                  <w:r>
                    <w:rPr>
                      <w:rFonts w:hint="eastAsia" w:ascii="Times New Roman" w:hAnsi="Times New Roman"/>
                      <w:color w:val="auto"/>
                      <w:sz w:val="18"/>
                      <w:szCs w:val="18"/>
                    </w:rPr>
                    <w:t>套资源综合利用项目</w:t>
                  </w:r>
                  <w:r>
                    <w:rPr>
                      <w:rFonts w:ascii="Times New Roman" w:hAnsi="Times New Roman"/>
                      <w:color w:val="auto"/>
                      <w:sz w:val="18"/>
                      <w:szCs w:val="18"/>
                    </w:rPr>
                    <w:t>，不涉及新增钢铁产能。</w:t>
                  </w:r>
                </w:p>
              </w:tc>
              <w:tc>
                <w:tcPr>
                  <w:tcW w:w="403"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2"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2</w:t>
                  </w:r>
                </w:p>
              </w:tc>
              <w:tc>
                <w:tcPr>
                  <w:tcW w:w="359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二</w:t>
                  </w:r>
                  <w:r>
                    <w:rPr>
                      <w:rFonts w:hint="eastAsia" w:ascii="Times New Roman" w:hAnsi="Times New Roman"/>
                      <w:color w:val="auto"/>
                      <w:sz w:val="18"/>
                      <w:szCs w:val="18"/>
                    </w:rPr>
                    <w:t>)</w:t>
                  </w:r>
                  <w:r>
                    <w:rPr>
                      <w:rFonts w:ascii="Times New Roman" w:hAnsi="Times New Roman"/>
                      <w:color w:val="auto"/>
                      <w:sz w:val="18"/>
                      <w:szCs w:val="18"/>
                    </w:rPr>
                    <w:t>加强空间管制，优化生产空间和生活空间。控制开发区边界外居民点向开发区方向发展，确保开发区新增地块内企业与敏感点保持足够的环境防护距离。</w:t>
                  </w:r>
                </w:p>
              </w:tc>
              <w:tc>
                <w:tcPr>
                  <w:tcW w:w="2757"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本项目周边不涉及搬迁任务，距离</w:t>
                  </w:r>
                  <w:r>
                    <w:rPr>
                      <w:rFonts w:hint="eastAsia" w:ascii="Times New Roman" w:hAnsi="Times New Roman"/>
                      <w:color w:val="auto"/>
                      <w:sz w:val="18"/>
                      <w:szCs w:val="18"/>
                    </w:rPr>
                    <w:t>本项目</w:t>
                  </w:r>
                  <w:r>
                    <w:rPr>
                      <w:rFonts w:ascii="Times New Roman" w:hAnsi="Times New Roman"/>
                      <w:color w:val="auto"/>
                      <w:sz w:val="18"/>
                      <w:szCs w:val="18"/>
                    </w:rPr>
                    <w:t>最近敏感点为</w:t>
                  </w:r>
                  <w:r>
                    <w:rPr>
                      <w:rFonts w:hint="eastAsia" w:ascii="Times New Roman" w:hAnsi="Times New Roman"/>
                      <w:color w:val="auto"/>
                      <w:sz w:val="18"/>
                      <w:szCs w:val="18"/>
                    </w:rPr>
                    <w:t>北</w:t>
                  </w:r>
                  <w:r>
                    <w:rPr>
                      <w:rFonts w:ascii="Times New Roman" w:hAnsi="Times New Roman"/>
                      <w:color w:val="auto"/>
                      <w:sz w:val="18"/>
                      <w:szCs w:val="18"/>
                    </w:rPr>
                    <w:t>侧</w:t>
                  </w:r>
                  <w:r>
                    <w:rPr>
                      <w:rFonts w:hint="eastAsia" w:ascii="Times New Roman" w:hAnsi="Times New Roman"/>
                      <w:color w:val="auto"/>
                      <w:sz w:val="18"/>
                      <w:szCs w:val="18"/>
                    </w:rPr>
                    <w:t>840</w:t>
                  </w:r>
                  <w:r>
                    <w:rPr>
                      <w:rFonts w:ascii="Times New Roman" w:hAnsi="Times New Roman"/>
                      <w:color w:val="auto"/>
                      <w:sz w:val="18"/>
                      <w:szCs w:val="18"/>
                    </w:rPr>
                    <w:t>m处的</w:t>
                  </w:r>
                  <w:r>
                    <w:rPr>
                      <w:rFonts w:hint="eastAsia" w:ascii="Times New Roman" w:hAnsi="Times New Roman"/>
                      <w:color w:val="auto"/>
                      <w:sz w:val="18"/>
                      <w:szCs w:val="18"/>
                    </w:rPr>
                    <w:t>松汀村</w:t>
                  </w:r>
                  <w:r>
                    <w:rPr>
                      <w:rFonts w:ascii="Times New Roman" w:hAnsi="Times New Roman"/>
                      <w:color w:val="auto"/>
                      <w:sz w:val="18"/>
                      <w:szCs w:val="18"/>
                    </w:rPr>
                    <w:t>。</w:t>
                  </w:r>
                </w:p>
              </w:tc>
              <w:tc>
                <w:tcPr>
                  <w:tcW w:w="403"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2"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3</w:t>
                  </w:r>
                </w:p>
              </w:tc>
              <w:tc>
                <w:tcPr>
                  <w:tcW w:w="359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三</w:t>
                  </w:r>
                  <w:r>
                    <w:rPr>
                      <w:rFonts w:hint="eastAsia" w:ascii="Times New Roman" w:hAnsi="Times New Roman"/>
                      <w:color w:val="auto"/>
                      <w:sz w:val="18"/>
                      <w:szCs w:val="18"/>
                    </w:rPr>
                    <w:t>)</w:t>
                  </w:r>
                  <w:r>
                    <w:rPr>
                      <w:rFonts w:ascii="Times New Roman" w:hAnsi="Times New Roman"/>
                      <w:color w:val="auto"/>
                      <w:sz w:val="18"/>
                      <w:szCs w:val="18"/>
                    </w:rPr>
                    <w:t>加强总量管控，推进环境质量改善。严格落实区域污染削减方案，不断提升技术工艺及节能节水控污水平。进一步推动“公转铁”，大宗物料和产品采用铁路、管道或管状带式输送机等清洁方式运输比例不低于80%，汽车运输部分应采用新能源汽车或达到国六排放标准的汽车，禁止使用柴油车及国五标准以下汽车。</w:t>
                  </w:r>
                </w:p>
              </w:tc>
              <w:tc>
                <w:tcPr>
                  <w:tcW w:w="2757"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汽车运输部分要求均采用新能源汽车或达到国六排放标准的汽车</w:t>
                  </w:r>
                </w:p>
              </w:tc>
              <w:tc>
                <w:tcPr>
                  <w:tcW w:w="403"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2"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4</w:t>
                  </w:r>
                </w:p>
              </w:tc>
              <w:tc>
                <w:tcPr>
                  <w:tcW w:w="3594"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hint="eastAsia" w:ascii="Times New Roman" w:hAnsi="Times New Roman"/>
                      <w:color w:val="auto"/>
                      <w:sz w:val="18"/>
                      <w:szCs w:val="18"/>
                    </w:rPr>
                    <w:t>(</w:t>
                  </w:r>
                  <w:r>
                    <w:rPr>
                      <w:rFonts w:ascii="Times New Roman" w:hAnsi="Times New Roman"/>
                      <w:color w:val="auto"/>
                      <w:sz w:val="18"/>
                      <w:szCs w:val="18"/>
                    </w:rPr>
                    <w:t>四</w:t>
                  </w:r>
                  <w:r>
                    <w:rPr>
                      <w:rFonts w:hint="eastAsia" w:ascii="Times New Roman" w:hAnsi="Times New Roman"/>
                      <w:color w:val="auto"/>
                      <w:sz w:val="18"/>
                      <w:szCs w:val="18"/>
                    </w:rPr>
                    <w:t>)</w:t>
                  </w:r>
                  <w:r>
                    <w:rPr>
                      <w:rFonts w:ascii="Times New Roman" w:hAnsi="Times New Roman"/>
                      <w:color w:val="auto"/>
                      <w:sz w:val="18"/>
                      <w:szCs w:val="18"/>
                    </w:rPr>
                    <w:t>加强区域环境污染防治和应急措施。严格落实环境影响报告书及开发区突发环境事件应急预案中提出的各项环境风险防范措施，加强开发区新增地块内企业在风险事故情况下的环境污染防范、应急响应和协同处置。</w:t>
                  </w:r>
                </w:p>
              </w:tc>
              <w:tc>
                <w:tcPr>
                  <w:tcW w:w="2757"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企业在实际生产过程中应加强区域环境污染防治和应急措施；严格落实环境影响报告表及开发区突发环境事件应急预案中提出的各项环境风险防范措施，加强企业在风险事故情况下的环境污染防范、应急响应和协同处置。</w:t>
                  </w:r>
                </w:p>
              </w:tc>
              <w:tc>
                <w:tcPr>
                  <w:tcW w:w="403" w:type="dxa"/>
                  <w:tcBorders>
                    <w:tl2br w:val="nil"/>
                    <w:tr2bl w:val="nil"/>
                  </w:tcBorders>
                  <w:vAlign w:val="center"/>
                </w:tcPr>
                <w:p>
                  <w:pPr>
                    <w:pStyle w:val="37"/>
                    <w:widowControl w:val="0"/>
                    <w:tabs>
                      <w:tab w:val="left" w:pos="642"/>
                    </w:tabs>
                    <w:adjustRightInd w:val="0"/>
                    <w:snapToGrid w:val="0"/>
                    <w:spacing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符合</w:t>
                  </w:r>
                </w:p>
              </w:tc>
            </w:tr>
          </w:tbl>
          <w:p>
            <w:pPr>
              <w:autoSpaceDE w:val="0"/>
              <w:autoSpaceDN w:val="0"/>
              <w:adjustRightInd w:val="0"/>
              <w:snapToGrid w:val="0"/>
              <w:spacing w:line="240" w:lineRule="auto"/>
              <w:ind w:firstLine="0" w:firstLineChars="0"/>
              <w:jc w:val="center"/>
              <w:rPr>
                <w:rFonts w:eastAsiaTheme="minorEastAsia"/>
                <w:color w:val="0000FF"/>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98" w:type="dxa"/>
            <w:vAlign w:val="center"/>
          </w:tcPr>
          <w:p>
            <w:pPr>
              <w:autoSpaceDE w:val="0"/>
              <w:autoSpaceDN w:val="0"/>
              <w:adjustRightInd w:val="0"/>
              <w:snapToGrid w:val="0"/>
              <w:ind w:firstLine="0" w:firstLineChars="0"/>
              <w:jc w:val="center"/>
              <w:rPr>
                <w:rFonts w:eastAsiaTheme="minorEastAsia"/>
                <w:color w:val="0000FF"/>
                <w:kern w:val="0"/>
                <w:sz w:val="32"/>
              </w:rPr>
            </w:pPr>
            <w:r>
              <w:rPr>
                <w:rFonts w:eastAsiaTheme="minorEastAsia"/>
                <w:kern w:val="0"/>
              </w:rPr>
              <w:t>其他符合性分析</w:t>
            </w:r>
          </w:p>
        </w:tc>
        <w:tc>
          <w:tcPr>
            <w:tcW w:w="7186" w:type="dxa"/>
            <w:gridSpan w:val="3"/>
            <w:vAlign w:val="center"/>
          </w:tcPr>
          <w:p>
            <w:pPr>
              <w:autoSpaceDE w:val="0"/>
              <w:autoSpaceDN w:val="0"/>
              <w:adjustRightInd w:val="0"/>
              <w:snapToGrid w:val="0"/>
              <w:ind w:firstLine="422"/>
              <w:rPr>
                <w:rFonts w:eastAsiaTheme="minorEastAsia"/>
                <w:b/>
                <w:bCs/>
                <w:kern w:val="0"/>
                <w:sz w:val="21"/>
                <w:szCs w:val="21"/>
              </w:rPr>
            </w:pPr>
            <w:r>
              <w:rPr>
                <w:rFonts w:eastAsiaTheme="minorEastAsia"/>
                <w:b/>
                <w:bCs/>
                <w:kern w:val="0"/>
                <w:sz w:val="21"/>
                <w:szCs w:val="21"/>
              </w:rPr>
              <w:t>一、产业政策符合性</w:t>
            </w:r>
          </w:p>
          <w:p>
            <w:pPr>
              <w:autoSpaceDE w:val="0"/>
              <w:autoSpaceDN w:val="0"/>
              <w:adjustRightInd w:val="0"/>
              <w:snapToGrid w:val="0"/>
              <w:ind w:firstLine="420"/>
              <w:jc w:val="both"/>
              <w:rPr>
                <w:rFonts w:eastAsiaTheme="minorEastAsia"/>
                <w:kern w:val="0"/>
                <w:sz w:val="21"/>
                <w:szCs w:val="21"/>
              </w:rPr>
            </w:pPr>
            <w:r>
              <w:rPr>
                <w:rFonts w:eastAsiaTheme="minorEastAsia"/>
                <w:kern w:val="0"/>
                <w:sz w:val="21"/>
                <w:szCs w:val="21"/>
              </w:rPr>
              <w:t>项目为</w:t>
            </w:r>
            <w:r>
              <w:rPr>
                <w:rFonts w:hint="eastAsia" w:eastAsiaTheme="minorEastAsia"/>
                <w:kern w:val="0"/>
                <w:sz w:val="21"/>
                <w:szCs w:val="21"/>
              </w:rPr>
              <w:t>燃气发电项目(</w:t>
            </w:r>
            <w:r>
              <w:rPr>
                <w:rFonts w:eastAsiaTheme="minorEastAsia"/>
                <w:kern w:val="0"/>
                <w:sz w:val="21"/>
                <w:szCs w:val="21"/>
              </w:rPr>
              <w:t>配套资源综合利用项目</w:t>
            </w:r>
            <w:r>
              <w:rPr>
                <w:rFonts w:hint="eastAsia" w:eastAsiaTheme="minorEastAsia"/>
                <w:kern w:val="0"/>
                <w:sz w:val="21"/>
                <w:szCs w:val="21"/>
              </w:rPr>
              <w:t>)</w:t>
            </w:r>
            <w:r>
              <w:rPr>
                <w:rFonts w:eastAsiaTheme="minorEastAsia"/>
                <w:kern w:val="0"/>
                <w:sz w:val="21"/>
                <w:szCs w:val="21"/>
              </w:rPr>
              <w:t>，根据《产业结构调整指导目录</w:t>
            </w:r>
            <w:r>
              <w:rPr>
                <w:rFonts w:hint="eastAsia" w:eastAsiaTheme="minorEastAsia"/>
                <w:kern w:val="0"/>
                <w:sz w:val="21"/>
                <w:szCs w:val="21"/>
              </w:rPr>
              <w:t>(</w:t>
            </w:r>
            <w:r>
              <w:rPr>
                <w:rFonts w:eastAsiaTheme="minorEastAsia"/>
                <w:kern w:val="0"/>
                <w:sz w:val="21"/>
                <w:szCs w:val="21"/>
              </w:rPr>
              <w:t>2019年本</w:t>
            </w:r>
            <w:r>
              <w:rPr>
                <w:rFonts w:hint="eastAsia" w:eastAsiaTheme="minorEastAsia"/>
                <w:kern w:val="0"/>
                <w:sz w:val="21"/>
                <w:szCs w:val="21"/>
              </w:rPr>
              <w:t>)</w:t>
            </w:r>
            <w:r>
              <w:rPr>
                <w:rFonts w:eastAsiaTheme="minorEastAsia"/>
                <w:kern w:val="0"/>
                <w:sz w:val="21"/>
                <w:szCs w:val="21"/>
              </w:rPr>
              <w:t>》</w:t>
            </w:r>
            <w:r>
              <w:rPr>
                <w:rFonts w:hint="eastAsia" w:eastAsiaTheme="minorEastAsia"/>
                <w:kern w:val="0"/>
                <w:sz w:val="21"/>
                <w:szCs w:val="21"/>
              </w:rPr>
              <w:t>，项目属于鼓励类、第四十三项“环境保护与资源节约综合利用”中第22条：“节能、节水、节材环保及资源综合利用等技术开发、应用及设备制造”；根据《河北省新增限制和淘汰类产业目录(2015年版)》(冀政办发[2015]7号)，项目不属于限制和淘汰类。迁安市九江线材有限责任公司</w:t>
            </w:r>
            <w:r>
              <w:rPr>
                <w:rFonts w:eastAsiaTheme="minorEastAsia"/>
                <w:kern w:val="0"/>
                <w:sz w:val="21"/>
                <w:szCs w:val="21"/>
              </w:rPr>
              <w:t>已</w:t>
            </w:r>
            <w:r>
              <w:rPr>
                <w:rFonts w:hint="eastAsia" w:eastAsiaTheme="minorEastAsia"/>
                <w:kern w:val="0"/>
                <w:sz w:val="21"/>
                <w:szCs w:val="21"/>
              </w:rPr>
              <w:t>获得唐山市行政审批局关于本项目核准的批复</w:t>
            </w:r>
            <w:r>
              <w:rPr>
                <w:rFonts w:eastAsiaTheme="minorEastAsia"/>
                <w:kern w:val="0"/>
                <w:sz w:val="21"/>
                <w:szCs w:val="21"/>
              </w:rPr>
              <w:t>，</w:t>
            </w:r>
            <w:r>
              <w:rPr>
                <w:rFonts w:hint="eastAsia" w:eastAsiaTheme="minorEastAsia"/>
                <w:kern w:val="0"/>
                <w:sz w:val="21"/>
                <w:szCs w:val="21"/>
              </w:rPr>
              <w:t>批复号</w:t>
            </w:r>
            <w:r>
              <w:rPr>
                <w:rFonts w:eastAsiaTheme="minorEastAsia"/>
                <w:kern w:val="0"/>
                <w:sz w:val="21"/>
                <w:szCs w:val="21"/>
              </w:rPr>
              <w:t>为</w:t>
            </w:r>
            <w:r>
              <w:rPr>
                <w:rFonts w:hint="eastAsia" w:eastAsiaTheme="minorEastAsia"/>
                <w:kern w:val="0"/>
                <w:sz w:val="21"/>
                <w:szCs w:val="21"/>
              </w:rPr>
              <w:t>唐审投资核字[2022]29号</w:t>
            </w:r>
            <w:r>
              <w:rPr>
                <w:rFonts w:eastAsiaTheme="minorEastAsia"/>
                <w:kern w:val="0"/>
                <w:sz w:val="21"/>
                <w:szCs w:val="21"/>
              </w:rPr>
              <w:t>。</w:t>
            </w:r>
          </w:p>
          <w:p>
            <w:pPr>
              <w:pStyle w:val="72"/>
              <w:adjustRightInd w:val="0"/>
              <w:snapToGrid w:val="0"/>
              <w:spacing w:before="0" w:beforeAutospacing="0" w:after="0" w:afterAutospacing="0"/>
              <w:ind w:firstLine="482"/>
              <w:rPr>
                <w:rFonts w:ascii="Times New Roman" w:hAnsi="Times New Roman"/>
                <w:b/>
                <w:sz w:val="21"/>
                <w:szCs w:val="21"/>
              </w:rPr>
            </w:pPr>
            <w:r>
              <w:rPr>
                <w:rFonts w:eastAsiaTheme="minorEastAsia"/>
                <w:b/>
                <w:bCs/>
              </w:rPr>
              <w:t>二、</w:t>
            </w:r>
            <w:r>
              <w:rPr>
                <w:rFonts w:ascii="Times New Roman" w:hAnsi="Times New Roman"/>
                <w:b/>
                <w:snapToGrid w:val="0"/>
                <w:sz w:val="21"/>
                <w:szCs w:val="21"/>
              </w:rPr>
              <w:t>与</w:t>
            </w:r>
            <w:r>
              <w:rPr>
                <w:rFonts w:ascii="Times New Roman" w:hAnsi="Times New Roman"/>
                <w:b/>
                <w:sz w:val="21"/>
                <w:szCs w:val="21"/>
              </w:rPr>
              <w:t>“三线一单”符合性分析</w:t>
            </w:r>
          </w:p>
          <w:p>
            <w:pPr>
              <w:snapToGrid w:val="0"/>
              <w:ind w:firstLine="420"/>
              <w:jc w:val="both"/>
              <w:rPr>
                <w:kern w:val="0"/>
                <w:sz w:val="21"/>
                <w:szCs w:val="21"/>
              </w:rPr>
            </w:pPr>
            <w:r>
              <w:rPr>
                <w:kern w:val="0"/>
                <w:sz w:val="21"/>
                <w:szCs w:val="21"/>
              </w:rPr>
              <w:t>根据《关于以改善环境质量为核心加强环境影响评价管理的通知》</w:t>
            </w:r>
            <w:r>
              <w:rPr>
                <w:rFonts w:hint="eastAsia"/>
                <w:kern w:val="0"/>
                <w:sz w:val="21"/>
                <w:szCs w:val="21"/>
              </w:rPr>
              <w:t>(</w:t>
            </w:r>
            <w:r>
              <w:rPr>
                <w:kern w:val="0"/>
                <w:sz w:val="21"/>
                <w:szCs w:val="21"/>
              </w:rPr>
              <w:t>环环评[2016]150号</w:t>
            </w:r>
            <w:r>
              <w:rPr>
                <w:rFonts w:hint="eastAsia"/>
                <w:kern w:val="0"/>
                <w:sz w:val="21"/>
                <w:szCs w:val="21"/>
              </w:rPr>
              <w:t>)</w:t>
            </w:r>
            <w:r>
              <w:rPr>
                <w:kern w:val="0"/>
                <w:sz w:val="21"/>
                <w:szCs w:val="21"/>
              </w:rPr>
              <w:t>，要求以生态保护红线、环境质量底线、资源利用上线和环境准入负面清单</w:t>
            </w:r>
            <w:r>
              <w:rPr>
                <w:rFonts w:hint="eastAsia"/>
                <w:kern w:val="0"/>
                <w:sz w:val="21"/>
                <w:szCs w:val="21"/>
              </w:rPr>
              <w:t>(</w:t>
            </w:r>
            <w:r>
              <w:rPr>
                <w:kern w:val="0"/>
                <w:sz w:val="21"/>
                <w:szCs w:val="21"/>
              </w:rPr>
              <w:t>以下简称“三线一单”</w:t>
            </w:r>
            <w:r>
              <w:rPr>
                <w:rFonts w:hint="eastAsia"/>
                <w:kern w:val="0"/>
                <w:sz w:val="21"/>
                <w:szCs w:val="21"/>
              </w:rPr>
              <w:t>)</w:t>
            </w:r>
            <w:r>
              <w:rPr>
                <w:kern w:val="0"/>
                <w:sz w:val="21"/>
                <w:szCs w:val="21"/>
              </w:rPr>
              <w:t>为手段，强化空间、总量和准入环境管理。本项目建设与上述要求的符合性分析如下：</w:t>
            </w:r>
          </w:p>
          <w:p>
            <w:pPr>
              <w:snapToGrid w:val="0"/>
              <w:ind w:firstLine="420"/>
              <w:rPr>
                <w:kern w:val="0"/>
                <w:sz w:val="21"/>
                <w:szCs w:val="21"/>
              </w:rPr>
            </w:pPr>
            <w:r>
              <w:rPr>
                <w:rFonts w:hint="eastAsia"/>
                <w:kern w:val="0"/>
                <w:sz w:val="21"/>
                <w:szCs w:val="21"/>
              </w:rPr>
              <w:t>(</w:t>
            </w:r>
            <w:r>
              <w:rPr>
                <w:kern w:val="0"/>
                <w:sz w:val="21"/>
                <w:szCs w:val="21"/>
              </w:rPr>
              <w:t>1</w:t>
            </w:r>
            <w:r>
              <w:rPr>
                <w:rFonts w:hint="eastAsia"/>
                <w:kern w:val="0"/>
                <w:sz w:val="21"/>
                <w:szCs w:val="21"/>
              </w:rPr>
              <w:t>)</w:t>
            </w:r>
            <w:r>
              <w:rPr>
                <w:kern w:val="0"/>
                <w:sz w:val="21"/>
                <w:szCs w:val="21"/>
              </w:rPr>
              <w:t>生态保护红线</w:t>
            </w:r>
          </w:p>
          <w:p>
            <w:pPr>
              <w:snapToGrid w:val="0"/>
              <w:ind w:firstLine="420"/>
              <w:rPr>
                <w:kern w:val="0"/>
                <w:sz w:val="21"/>
                <w:szCs w:val="21"/>
              </w:rPr>
            </w:pPr>
            <w:r>
              <w:rPr>
                <w:kern w:val="0"/>
                <w:sz w:val="21"/>
                <w:szCs w:val="21"/>
              </w:rPr>
              <w:t>生态保护红线包括重点生态功能区保护红线、生态敏感脆弱区保护红线和禁止开发区保护红线。根据《河北省生态保护红线》，迁安市生态保护红线区面积为138.56km</w:t>
            </w:r>
            <w:r>
              <w:rPr>
                <w:kern w:val="0"/>
                <w:sz w:val="21"/>
                <w:szCs w:val="21"/>
                <w:vertAlign w:val="superscript"/>
              </w:rPr>
              <w:t>2</w:t>
            </w:r>
            <w:r>
              <w:rPr>
                <w:kern w:val="0"/>
                <w:sz w:val="21"/>
                <w:szCs w:val="21"/>
              </w:rPr>
              <w:t>，占迁安市国土面积的11.29%。共划分4个红线区：迁安市青山关水源涵养土壤保持功能红线区、迁安市青龙山水源涵养土壤保持功能红线区、迁安市滦河下游水源涵养功能红线区、迁安市沙河河滨岸带敏感红线区。项目位于</w:t>
            </w:r>
            <w:r>
              <w:rPr>
                <w:rFonts w:eastAsiaTheme="minorEastAsia"/>
                <w:kern w:val="0"/>
                <w:sz w:val="21"/>
                <w:szCs w:val="21"/>
              </w:rPr>
              <w:t>河北迁安经济开发区，</w:t>
            </w:r>
            <w:r>
              <w:rPr>
                <w:rFonts w:hint="eastAsia" w:eastAsiaTheme="minorEastAsia"/>
                <w:kern w:val="0"/>
                <w:sz w:val="21"/>
                <w:szCs w:val="21"/>
              </w:rPr>
              <w:t>公司</w:t>
            </w:r>
            <w:r>
              <w:rPr>
                <w:rFonts w:eastAsiaTheme="minorEastAsia"/>
                <w:kern w:val="0"/>
                <w:sz w:val="21"/>
                <w:szCs w:val="21"/>
              </w:rPr>
              <w:t>现有</w:t>
            </w:r>
            <w:r>
              <w:rPr>
                <w:rFonts w:hint="eastAsia" w:eastAsiaTheme="minorEastAsia"/>
                <w:kern w:val="0"/>
                <w:sz w:val="21"/>
                <w:szCs w:val="21"/>
              </w:rPr>
              <w:t>厂区</w:t>
            </w:r>
            <w:r>
              <w:rPr>
                <w:rFonts w:eastAsiaTheme="minorEastAsia"/>
                <w:kern w:val="0"/>
                <w:sz w:val="21"/>
                <w:szCs w:val="21"/>
              </w:rPr>
              <w:t>内</w:t>
            </w:r>
            <w:r>
              <w:rPr>
                <w:rFonts w:hint="eastAsia" w:eastAsiaTheme="minorEastAsia"/>
                <w:kern w:val="0"/>
                <w:sz w:val="21"/>
                <w:szCs w:val="21"/>
              </w:rPr>
              <w:t>。</w:t>
            </w:r>
            <w:r>
              <w:rPr>
                <w:kern w:val="0"/>
                <w:sz w:val="21"/>
                <w:szCs w:val="21"/>
              </w:rPr>
              <w:t>距离迁安市沙河河滨岸带敏感红线区的最近距离为</w:t>
            </w:r>
            <w:r>
              <w:rPr>
                <w:rFonts w:hint="eastAsia"/>
                <w:kern w:val="0"/>
                <w:sz w:val="21"/>
                <w:szCs w:val="21"/>
              </w:rPr>
              <w:t>382</w:t>
            </w:r>
            <w:r>
              <w:rPr>
                <w:kern w:val="0"/>
                <w:sz w:val="21"/>
                <w:szCs w:val="21"/>
              </w:rPr>
              <w:t>m</w:t>
            </w:r>
            <w:r>
              <w:rPr>
                <w:rFonts w:hint="eastAsia"/>
                <w:kern w:val="0"/>
                <w:sz w:val="21"/>
                <w:szCs w:val="21"/>
              </w:rPr>
              <w:t>，</w:t>
            </w:r>
            <w:r>
              <w:rPr>
                <w:kern w:val="0"/>
                <w:sz w:val="21"/>
                <w:szCs w:val="21"/>
              </w:rPr>
              <w:t>项目不在迁安市4个红线区范围内。迁安市生态保护红线分布</w:t>
            </w:r>
            <w:r>
              <w:rPr>
                <w:sz w:val="21"/>
                <w:szCs w:val="21"/>
              </w:rPr>
              <w:t>图见图</w:t>
            </w:r>
            <w:r>
              <w:rPr>
                <w:rFonts w:hint="eastAsia"/>
                <w:sz w:val="21"/>
                <w:szCs w:val="21"/>
              </w:rPr>
              <w:t>3</w:t>
            </w:r>
            <w:r>
              <w:rPr>
                <w:sz w:val="21"/>
                <w:szCs w:val="21"/>
              </w:rPr>
              <w:t>。</w:t>
            </w: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napToGrid w:val="0"/>
              <w:ind w:firstLine="420"/>
              <w:rPr>
                <w:kern w:val="0"/>
                <w:sz w:val="21"/>
                <w:szCs w:val="21"/>
              </w:rPr>
            </w:pPr>
          </w:p>
          <w:p>
            <w:pPr>
              <w:spacing w:line="240" w:lineRule="auto"/>
              <w:ind w:firstLine="0" w:firstLineChars="0"/>
              <w:rPr>
                <w:kern w:val="0"/>
                <w:sz w:val="21"/>
                <w:szCs w:val="21"/>
              </w:rPr>
            </w:pPr>
            <w:r>
              <w:rPr>
                <w:kern w:val="0"/>
                <w:sz w:val="21"/>
                <w:szCs w:val="21"/>
              </w:rPr>
              <w:object>
                <v:shape id="_x0000_i1025" o:spt="75" type="#_x0000_t75" style="height:515.25pt;width:348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r:id="rId12">
                  <o:LockedField>false</o:LockedField>
                </o:OLEObject>
              </w:object>
            </w:r>
          </w:p>
          <w:p>
            <w:pPr>
              <w:ind w:firstLine="422"/>
              <w:jc w:val="center"/>
              <w:rPr>
                <w:b/>
                <w:bCs/>
                <w:sz w:val="21"/>
                <w:szCs w:val="21"/>
              </w:rPr>
            </w:pPr>
            <w:r>
              <w:rPr>
                <w:b/>
                <w:bCs/>
                <w:sz w:val="21"/>
                <w:szCs w:val="21"/>
              </w:rPr>
              <w:t>图</w:t>
            </w:r>
            <w:r>
              <w:rPr>
                <w:rFonts w:hint="eastAsia"/>
                <w:b/>
                <w:bCs/>
                <w:sz w:val="21"/>
                <w:szCs w:val="21"/>
              </w:rPr>
              <w:t>3</w:t>
            </w:r>
            <w:r>
              <w:rPr>
                <w:b/>
                <w:bCs/>
                <w:sz w:val="21"/>
                <w:szCs w:val="21"/>
              </w:rPr>
              <w:t xml:space="preserve">    迁安市生态保护红线</w:t>
            </w:r>
          </w:p>
          <w:p>
            <w:pPr>
              <w:snapToGrid w:val="0"/>
              <w:ind w:firstLine="420"/>
              <w:rPr>
                <w:kern w:val="0"/>
                <w:sz w:val="21"/>
                <w:szCs w:val="21"/>
                <w:highlight w:val="green"/>
              </w:rPr>
            </w:pPr>
            <w:r>
              <w:rPr>
                <w:rFonts w:hint="eastAsia"/>
                <w:kern w:val="0"/>
                <w:sz w:val="21"/>
                <w:szCs w:val="21"/>
              </w:rPr>
              <w:t>(</w:t>
            </w:r>
            <w:r>
              <w:rPr>
                <w:kern w:val="0"/>
                <w:sz w:val="21"/>
                <w:szCs w:val="21"/>
              </w:rPr>
              <w:t>2</w:t>
            </w:r>
            <w:r>
              <w:rPr>
                <w:rFonts w:hint="eastAsia"/>
                <w:kern w:val="0"/>
                <w:sz w:val="21"/>
                <w:szCs w:val="21"/>
              </w:rPr>
              <w:t>)</w:t>
            </w:r>
            <w:r>
              <w:rPr>
                <w:kern w:val="0"/>
                <w:sz w:val="21"/>
                <w:szCs w:val="21"/>
              </w:rPr>
              <w:t>环境质量底线</w:t>
            </w:r>
          </w:p>
          <w:p>
            <w:pPr>
              <w:pStyle w:val="78"/>
              <w:snapToGrid w:val="0"/>
              <w:spacing w:after="0"/>
              <w:ind w:left="0" w:leftChars="0"/>
              <w:rPr>
                <w:szCs w:val="21"/>
              </w:rPr>
            </w:pPr>
            <w:r>
              <w:rPr>
                <w:kern w:val="0"/>
                <w:szCs w:val="21"/>
              </w:rPr>
              <w:t>①环境空气：项目区域大气环境为二类区，根据</w:t>
            </w:r>
            <w:r>
              <w:rPr>
                <w:rFonts w:hint="eastAsia"/>
                <w:kern w:val="0"/>
                <w:szCs w:val="21"/>
              </w:rPr>
              <w:t>唐山</w:t>
            </w:r>
            <w:r>
              <w:rPr>
                <w:kern w:val="0"/>
                <w:szCs w:val="21"/>
              </w:rPr>
              <w:t>市环境</w:t>
            </w:r>
            <w:r>
              <w:t>状况公报</w:t>
            </w:r>
            <w:r>
              <w:rPr>
                <w:kern w:val="0"/>
                <w:szCs w:val="21"/>
              </w:rPr>
              <w:t>，项目所在区域为不达标区域，</w:t>
            </w:r>
            <w:r>
              <w:rPr>
                <w:szCs w:val="21"/>
              </w:rPr>
              <w:t>超标原因为：随着唐山市工业的快速发展、能源消耗和机动车保有量的快速增长，排放的大量二氧化硫、氮氧化物与挥发性有机物导致细颗粒物等二次污染呈加剧态势。项目实施后，废气全部达标排放</w:t>
            </w:r>
            <w:r>
              <w:rPr>
                <w:rFonts w:hint="eastAsia"/>
                <w:szCs w:val="21"/>
              </w:rPr>
              <w:t>，</w:t>
            </w:r>
            <w:r>
              <w:rPr>
                <w:szCs w:val="21"/>
              </w:rPr>
              <w:t>对周边环境影响很小。</w:t>
            </w:r>
          </w:p>
          <w:p>
            <w:pPr>
              <w:snapToGrid w:val="0"/>
              <w:ind w:firstLine="420"/>
              <w:rPr>
                <w:sz w:val="21"/>
                <w:szCs w:val="21"/>
              </w:rPr>
            </w:pPr>
            <w:r>
              <w:rPr>
                <w:kern w:val="0"/>
                <w:sz w:val="21"/>
                <w:szCs w:val="21"/>
              </w:rPr>
              <w:t>②水环境：</w:t>
            </w:r>
            <w:r>
              <w:rPr>
                <w:rFonts w:hint="eastAsia"/>
                <w:sz w:val="21"/>
                <w:szCs w:val="21"/>
              </w:rPr>
              <w:t>项目无废水外排。</w:t>
            </w:r>
            <w:r>
              <w:rPr>
                <w:sz w:val="21"/>
                <w:szCs w:val="21"/>
              </w:rPr>
              <w:t>不与地表水发生联系，项目根据防渗需要采取相应等级的防渗措施，不会对地下水造成影响，因此，不会对周边水环境产生影响。</w:t>
            </w:r>
          </w:p>
          <w:p>
            <w:pPr>
              <w:snapToGrid w:val="0"/>
              <w:ind w:firstLine="420"/>
              <w:rPr>
                <w:kern w:val="0"/>
                <w:sz w:val="21"/>
                <w:szCs w:val="21"/>
              </w:rPr>
            </w:pPr>
            <w:r>
              <w:rPr>
                <w:kern w:val="0"/>
                <w:sz w:val="21"/>
                <w:szCs w:val="21"/>
              </w:rPr>
              <w:t>③声环境：项目</w:t>
            </w:r>
            <w:r>
              <w:rPr>
                <w:kern w:val="0"/>
                <w:sz w:val="21"/>
                <w:szCs w:val="21"/>
                <w:lang w:val="zh-CN"/>
              </w:rPr>
              <w:t>区域环境噪声符合《声环境质量标准》(GB3096-2008)中3类标准。项目采取了完善的噪声控制措施，经预测，</w:t>
            </w:r>
            <w:r>
              <w:rPr>
                <w:kern w:val="0"/>
                <w:sz w:val="21"/>
                <w:szCs w:val="21"/>
              </w:rPr>
              <w:t>厂界噪声</w:t>
            </w:r>
            <w:r>
              <w:rPr>
                <w:rFonts w:hint="eastAsia"/>
                <w:kern w:val="0"/>
                <w:sz w:val="21"/>
                <w:szCs w:val="21"/>
              </w:rPr>
              <w:t>预测</w:t>
            </w:r>
            <w:r>
              <w:rPr>
                <w:kern w:val="0"/>
                <w:sz w:val="21"/>
                <w:szCs w:val="21"/>
              </w:rPr>
              <w:t>值满足《工业企业厂界环境噪声排放标准》(GB13248-2008)3类标准要求。</w:t>
            </w:r>
          </w:p>
          <w:p>
            <w:pPr>
              <w:snapToGrid w:val="0"/>
              <w:ind w:firstLine="420"/>
              <w:rPr>
                <w:kern w:val="0"/>
                <w:sz w:val="21"/>
                <w:szCs w:val="21"/>
              </w:rPr>
            </w:pPr>
            <w:r>
              <w:rPr>
                <w:rFonts w:hint="eastAsia"/>
                <w:kern w:val="0"/>
                <w:sz w:val="21"/>
                <w:szCs w:val="21"/>
              </w:rPr>
              <w:t>(</w:t>
            </w:r>
            <w:r>
              <w:rPr>
                <w:kern w:val="0"/>
                <w:sz w:val="21"/>
                <w:szCs w:val="21"/>
              </w:rPr>
              <w:t>3</w:t>
            </w:r>
            <w:r>
              <w:rPr>
                <w:rFonts w:hint="eastAsia"/>
                <w:kern w:val="0"/>
                <w:sz w:val="21"/>
                <w:szCs w:val="21"/>
              </w:rPr>
              <w:t>)</w:t>
            </w:r>
            <w:r>
              <w:rPr>
                <w:kern w:val="0"/>
                <w:sz w:val="21"/>
                <w:szCs w:val="21"/>
              </w:rPr>
              <w:t>资源利用上线</w:t>
            </w:r>
          </w:p>
          <w:p>
            <w:pPr>
              <w:snapToGrid w:val="0"/>
              <w:ind w:firstLine="420"/>
              <w:rPr>
                <w:kern w:val="0"/>
                <w:sz w:val="21"/>
                <w:szCs w:val="21"/>
              </w:rPr>
            </w:pPr>
            <w:r>
              <w:rPr>
                <w:kern w:val="0"/>
                <w:sz w:val="21"/>
                <w:szCs w:val="21"/>
              </w:rPr>
              <w:t>本项目所在园区规划的资源利用上线为：</w:t>
            </w:r>
          </w:p>
          <w:p>
            <w:pPr>
              <w:snapToGrid w:val="0"/>
              <w:ind w:firstLine="420"/>
              <w:rPr>
                <w:kern w:val="0"/>
                <w:sz w:val="21"/>
                <w:szCs w:val="21"/>
              </w:rPr>
            </w:pPr>
            <w:r>
              <w:rPr>
                <w:kern w:val="0"/>
                <w:sz w:val="21"/>
                <w:szCs w:val="21"/>
              </w:rPr>
              <w:t>①水资源</w:t>
            </w:r>
          </w:p>
          <w:p>
            <w:pPr>
              <w:snapToGrid w:val="0"/>
              <w:ind w:firstLine="420"/>
              <w:rPr>
                <w:kern w:val="0"/>
                <w:sz w:val="21"/>
                <w:szCs w:val="21"/>
              </w:rPr>
            </w:pPr>
            <w:r>
              <w:rPr>
                <w:kern w:val="0"/>
                <w:sz w:val="21"/>
                <w:szCs w:val="21"/>
              </w:rPr>
              <w:t>综合考虑《重点工业行业用水效率指南》(工信部联节[2013]367号)、《唐山市水污染防治工作方案》(唐发[2016]6号)确定水资源利用效率及总量控制线等相关要求。</w:t>
            </w:r>
          </w:p>
          <w:p>
            <w:pPr>
              <w:snapToGrid w:val="0"/>
              <w:ind w:firstLine="420"/>
              <w:rPr>
                <w:kern w:val="0"/>
                <w:sz w:val="21"/>
                <w:szCs w:val="21"/>
              </w:rPr>
            </w:pPr>
            <w:r>
              <w:rPr>
                <w:kern w:val="0"/>
                <w:sz w:val="21"/>
                <w:szCs w:val="21"/>
              </w:rPr>
              <w:t>钢铁行业普通钢厂吨钢产品取水限定额为4.9m³，迁安经济开发区内7家钢铁企业炼钢产能3544万吨，取水上限为17365.6万m³。目前现状所有企业及未来增加的用水量合计为15769.5万m³。</w:t>
            </w:r>
          </w:p>
          <w:p>
            <w:pPr>
              <w:snapToGrid w:val="0"/>
              <w:ind w:firstLine="420"/>
              <w:rPr>
                <w:kern w:val="0"/>
                <w:sz w:val="21"/>
                <w:szCs w:val="21"/>
              </w:rPr>
            </w:pPr>
            <w:r>
              <w:rPr>
                <w:kern w:val="0"/>
                <w:sz w:val="21"/>
                <w:szCs w:val="21"/>
              </w:rPr>
              <w:t>根据迁安经济开发区制定的供水方案，规划期内傍河取水水源井供水能力达到12019万m³/a，滦河地表水供水能力达到9000万m³/a，开发区总供水能力达到21000万m³/a。</w:t>
            </w:r>
          </w:p>
          <w:p>
            <w:pPr>
              <w:snapToGrid w:val="0"/>
              <w:ind w:firstLine="420"/>
              <w:rPr>
                <w:kern w:val="0"/>
                <w:sz w:val="21"/>
                <w:szCs w:val="21"/>
              </w:rPr>
            </w:pPr>
            <w:r>
              <w:rPr>
                <w:kern w:val="0"/>
                <w:sz w:val="21"/>
                <w:szCs w:val="21"/>
              </w:rPr>
              <w:t>因此，确定河北迁安经济开发区水资源上限为15770万m³；地表水利用上限为9000万m³/a；地下水水资源开发上限为12000万m³/a</w:t>
            </w:r>
            <w:r>
              <w:rPr>
                <w:rFonts w:hint="eastAsia"/>
                <w:kern w:val="0"/>
                <w:sz w:val="21"/>
                <w:szCs w:val="21"/>
              </w:rPr>
              <w:t>。</w:t>
            </w:r>
          </w:p>
          <w:p>
            <w:pPr>
              <w:snapToGrid w:val="0"/>
              <w:ind w:firstLine="420"/>
              <w:rPr>
                <w:kern w:val="0"/>
                <w:sz w:val="21"/>
                <w:szCs w:val="21"/>
              </w:rPr>
            </w:pPr>
            <w:r>
              <w:rPr>
                <w:kern w:val="0"/>
                <w:sz w:val="21"/>
                <w:szCs w:val="21"/>
              </w:rPr>
              <w:t>②土地资源</w:t>
            </w:r>
          </w:p>
          <w:p>
            <w:pPr>
              <w:snapToGrid w:val="0"/>
              <w:ind w:firstLine="420"/>
              <w:rPr>
                <w:kern w:val="0"/>
                <w:sz w:val="21"/>
                <w:szCs w:val="21"/>
              </w:rPr>
            </w:pPr>
            <w:r>
              <w:rPr>
                <w:kern w:val="0"/>
                <w:sz w:val="21"/>
                <w:szCs w:val="21"/>
              </w:rPr>
              <w:t>根据《河北迁安经济开发区总体规划修编调整》(2018-2030年)，规划总面积55.55km²，其中有基本农田2.86km²，其余范围内土地原则上办理相关手续后均可以加以利用，或为工业用地、或为水域、或为绿地等。项目落地严格控制在规划指标范围内，不得占用基本农田、河道等禁止建设区。</w:t>
            </w:r>
          </w:p>
          <w:p>
            <w:pPr>
              <w:snapToGrid w:val="0"/>
              <w:ind w:firstLine="420"/>
              <w:rPr>
                <w:kern w:val="0"/>
                <w:sz w:val="21"/>
                <w:szCs w:val="21"/>
              </w:rPr>
            </w:pPr>
            <w:r>
              <w:rPr>
                <w:kern w:val="0"/>
                <w:sz w:val="21"/>
                <w:szCs w:val="21"/>
              </w:rPr>
              <w:t>因此，确定河北迁安经济开发区的土地资源利用上限为52.69km²。</w:t>
            </w:r>
          </w:p>
          <w:p>
            <w:pPr>
              <w:snapToGrid w:val="0"/>
              <w:ind w:firstLine="420"/>
              <w:rPr>
                <w:kern w:val="0"/>
                <w:sz w:val="21"/>
                <w:szCs w:val="21"/>
              </w:rPr>
            </w:pPr>
            <w:r>
              <w:rPr>
                <w:kern w:val="0"/>
                <w:sz w:val="21"/>
                <w:szCs w:val="21"/>
              </w:rPr>
              <w:t>根据《河北省人民政府关于公布地下水超采区、禁止开采区和限制开采区范围的通知》冀政字</w:t>
            </w:r>
            <w:r>
              <w:rPr>
                <w:rFonts w:hint="eastAsia"/>
                <w:kern w:val="0"/>
                <w:sz w:val="21"/>
                <w:szCs w:val="21"/>
              </w:rPr>
              <w:t>[</w:t>
            </w:r>
            <w:r>
              <w:rPr>
                <w:kern w:val="0"/>
                <w:sz w:val="21"/>
                <w:szCs w:val="21"/>
              </w:rPr>
              <w:t>2017</w:t>
            </w:r>
            <w:r>
              <w:rPr>
                <w:rFonts w:hint="eastAsia"/>
              </w:rPr>
              <w:t>]</w:t>
            </w:r>
            <w:r>
              <w:rPr>
                <w:kern w:val="0"/>
                <w:sz w:val="21"/>
                <w:szCs w:val="21"/>
              </w:rPr>
              <w:t>48号，项目所在地不属于超采、禁采和限采范围内，迁安市九江线材有限责任公司</w:t>
            </w:r>
            <w:r>
              <w:rPr>
                <w:rFonts w:hint="eastAsia"/>
                <w:kern w:val="0"/>
                <w:sz w:val="21"/>
                <w:szCs w:val="21"/>
              </w:rPr>
              <w:t>已办理取水许可证，可满足用水需求</w:t>
            </w:r>
            <w:r>
              <w:rPr>
                <w:kern w:val="0"/>
                <w:sz w:val="21"/>
                <w:szCs w:val="21"/>
              </w:rPr>
              <w:t>；项目位于</w:t>
            </w:r>
            <w:r>
              <w:rPr>
                <w:sz w:val="21"/>
                <w:szCs w:val="21"/>
              </w:rPr>
              <w:t>河北迁安经济开发区</w:t>
            </w:r>
            <w:r>
              <w:rPr>
                <w:rFonts w:hint="eastAsia"/>
                <w:sz w:val="21"/>
                <w:szCs w:val="21"/>
              </w:rPr>
              <w:t>(</w:t>
            </w:r>
            <w:r>
              <w:rPr>
                <w:sz w:val="21"/>
                <w:szCs w:val="21"/>
              </w:rPr>
              <w:t>迁安市木厂口镇</w:t>
            </w:r>
            <w:r>
              <w:rPr>
                <w:rFonts w:hint="eastAsia"/>
                <w:sz w:val="21"/>
                <w:szCs w:val="21"/>
              </w:rPr>
              <w:t>)</w:t>
            </w:r>
            <w:r>
              <w:rPr>
                <w:sz w:val="21"/>
                <w:szCs w:val="21"/>
              </w:rPr>
              <w:t>，公司现有厂区内</w:t>
            </w:r>
            <w:r>
              <w:rPr>
                <w:rFonts w:hint="eastAsia"/>
                <w:kern w:val="0"/>
                <w:sz w:val="21"/>
                <w:szCs w:val="21"/>
              </w:rPr>
              <w:t>，不新增</w:t>
            </w:r>
            <w:r>
              <w:rPr>
                <w:kern w:val="0"/>
                <w:sz w:val="21"/>
                <w:szCs w:val="21"/>
              </w:rPr>
              <w:t>占地；项目年用电量约为</w:t>
            </w:r>
            <w:r>
              <w:rPr>
                <w:rFonts w:hint="eastAsia"/>
                <w:sz w:val="21"/>
                <w:szCs w:val="21"/>
              </w:rPr>
              <w:t>7</w:t>
            </w:r>
            <w:r>
              <w:rPr>
                <w:sz w:val="21"/>
                <w:szCs w:val="21"/>
              </w:rPr>
              <w:t>956万kWh</w:t>
            </w:r>
            <w:r>
              <w:rPr>
                <w:rFonts w:hint="eastAsia"/>
                <w:sz w:val="21"/>
                <w:szCs w:val="21"/>
              </w:rPr>
              <w:t>，</w:t>
            </w:r>
            <w:r>
              <w:rPr>
                <w:rFonts w:hint="default"/>
                <w:kern w:val="0"/>
                <w:sz w:val="21"/>
                <w:szCs w:val="21"/>
              </w:rPr>
              <w:t>由迁安市九江线材有限责任公司供给</w:t>
            </w:r>
            <w:r>
              <w:rPr>
                <w:kern w:val="0"/>
                <w:sz w:val="21"/>
                <w:szCs w:val="21"/>
              </w:rPr>
              <w:t>。</w:t>
            </w:r>
            <w:r>
              <w:rPr>
                <w:sz w:val="21"/>
                <w:szCs w:val="21"/>
              </w:rPr>
              <w:t>综上，</w:t>
            </w:r>
            <w:r>
              <w:rPr>
                <w:kern w:val="0"/>
                <w:sz w:val="21"/>
                <w:szCs w:val="21"/>
              </w:rPr>
              <w:t>能源的供应有保障，不受资源利用上线的制约。</w:t>
            </w:r>
          </w:p>
          <w:p>
            <w:pPr>
              <w:snapToGrid w:val="0"/>
              <w:ind w:firstLine="420"/>
              <w:rPr>
                <w:kern w:val="0"/>
                <w:sz w:val="21"/>
                <w:szCs w:val="21"/>
              </w:rPr>
            </w:pPr>
            <w:r>
              <w:rPr>
                <w:rFonts w:hint="eastAsia"/>
                <w:kern w:val="0"/>
                <w:sz w:val="21"/>
                <w:szCs w:val="21"/>
              </w:rPr>
              <w:t>(</w:t>
            </w:r>
            <w:r>
              <w:rPr>
                <w:kern w:val="0"/>
                <w:sz w:val="21"/>
                <w:szCs w:val="21"/>
              </w:rPr>
              <w:t>4</w:t>
            </w:r>
            <w:r>
              <w:rPr>
                <w:rFonts w:hint="eastAsia"/>
                <w:kern w:val="0"/>
                <w:sz w:val="21"/>
                <w:szCs w:val="21"/>
              </w:rPr>
              <w:t>)</w:t>
            </w:r>
            <w:r>
              <w:rPr>
                <w:kern w:val="0"/>
                <w:sz w:val="21"/>
                <w:szCs w:val="21"/>
              </w:rPr>
              <w:t>环境准入负面清单</w:t>
            </w:r>
          </w:p>
          <w:p>
            <w:pPr>
              <w:snapToGrid w:val="0"/>
              <w:ind w:firstLine="420"/>
              <w:rPr>
                <w:kern w:val="0"/>
                <w:sz w:val="21"/>
                <w:szCs w:val="21"/>
              </w:rPr>
            </w:pPr>
            <w:r>
              <w:rPr>
                <w:kern w:val="0"/>
                <w:sz w:val="21"/>
                <w:szCs w:val="21"/>
              </w:rPr>
              <w:t>根据《河北迁安经济开发区总体规划修编调整(2018-2030年)环境影响报告书》项目与负面清单的符合性见表</w:t>
            </w:r>
            <w:r>
              <w:rPr>
                <w:rFonts w:hint="eastAsia"/>
                <w:kern w:val="0"/>
                <w:sz w:val="21"/>
                <w:szCs w:val="21"/>
              </w:rPr>
              <w:t>6</w:t>
            </w:r>
            <w:r>
              <w:rPr>
                <w:kern w:val="0"/>
                <w:sz w:val="21"/>
                <w:szCs w:val="21"/>
              </w:rPr>
              <w:t>。</w:t>
            </w:r>
          </w:p>
          <w:p>
            <w:pPr>
              <w:spacing w:line="240" w:lineRule="auto"/>
              <w:ind w:firstLine="422"/>
              <w:jc w:val="center"/>
              <w:rPr>
                <w:b/>
              </w:rPr>
            </w:pPr>
            <w:r>
              <w:rPr>
                <w:b/>
                <w:sz w:val="21"/>
                <w:szCs w:val="21"/>
              </w:rPr>
              <w:t>表</w:t>
            </w:r>
            <w:r>
              <w:rPr>
                <w:rFonts w:hint="eastAsia"/>
                <w:b/>
                <w:sz w:val="21"/>
                <w:szCs w:val="21"/>
              </w:rPr>
              <w:t>6</w:t>
            </w:r>
            <w:r>
              <w:rPr>
                <w:b/>
                <w:sz w:val="21"/>
                <w:szCs w:val="21"/>
              </w:rPr>
              <w:t xml:space="preserve">    项目与开发区负面清单符合性分析</w:t>
            </w:r>
          </w:p>
          <w:tbl>
            <w:tblPr>
              <w:tblStyle w:val="7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2"/>
              <w:gridCol w:w="2771"/>
              <w:gridCol w:w="3302"/>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7" w:hRule="atLeast"/>
              </w:trPr>
              <w:tc>
                <w:tcPr>
                  <w:tcW w:w="220" w:type="pct"/>
                  <w:tcBorders>
                    <w:tl2br w:val="nil"/>
                    <w:tr2bl w:val="nil"/>
                  </w:tcBorders>
                  <w:vAlign w:val="center"/>
                </w:tcPr>
                <w:p>
                  <w:pPr>
                    <w:pStyle w:val="218"/>
                    <w:snapToGrid w:val="0"/>
                    <w:spacing w:line="240" w:lineRule="auto"/>
                    <w:ind w:firstLine="0" w:firstLineChars="0"/>
                    <w:rPr>
                      <w:sz w:val="18"/>
                      <w:szCs w:val="18"/>
                    </w:rPr>
                  </w:pPr>
                  <w:r>
                    <w:rPr>
                      <w:sz w:val="18"/>
                      <w:szCs w:val="18"/>
                    </w:rPr>
                    <w:t>类别</w:t>
                  </w:r>
                </w:p>
              </w:tc>
              <w:tc>
                <w:tcPr>
                  <w:tcW w:w="1891" w:type="pct"/>
                  <w:tcBorders>
                    <w:tl2br w:val="nil"/>
                    <w:tr2bl w:val="nil"/>
                  </w:tcBorders>
                  <w:vAlign w:val="center"/>
                </w:tcPr>
                <w:p>
                  <w:pPr>
                    <w:pStyle w:val="218"/>
                    <w:snapToGrid w:val="0"/>
                    <w:spacing w:line="240" w:lineRule="auto"/>
                    <w:ind w:firstLine="0" w:firstLineChars="0"/>
                    <w:rPr>
                      <w:sz w:val="18"/>
                      <w:szCs w:val="18"/>
                    </w:rPr>
                  </w:pPr>
                  <w:r>
                    <w:rPr>
                      <w:sz w:val="18"/>
                      <w:szCs w:val="18"/>
                    </w:rPr>
                    <w:t>负面清单</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项目情况</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是否在负面清单范围内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trPr>
              <w:tc>
                <w:tcPr>
                  <w:tcW w:w="220" w:type="pct"/>
                  <w:vMerge w:val="restart"/>
                  <w:tcBorders>
                    <w:tl2br w:val="nil"/>
                    <w:tr2bl w:val="nil"/>
                  </w:tcBorders>
                  <w:vAlign w:val="center"/>
                </w:tcPr>
                <w:p>
                  <w:pPr>
                    <w:pStyle w:val="218"/>
                    <w:snapToGrid w:val="0"/>
                    <w:spacing w:line="240" w:lineRule="auto"/>
                    <w:ind w:firstLine="0" w:firstLineChars="0"/>
                    <w:rPr>
                      <w:sz w:val="18"/>
                      <w:szCs w:val="18"/>
                    </w:rPr>
                  </w:pPr>
                  <w:r>
                    <w:rPr>
                      <w:sz w:val="18"/>
                      <w:szCs w:val="18"/>
                    </w:rPr>
                    <w:t>河北迁安经济开发区</w:t>
                  </w:r>
                </w:p>
              </w:tc>
              <w:tc>
                <w:tcPr>
                  <w:tcW w:w="1891" w:type="pct"/>
                  <w:tcBorders>
                    <w:tl2br w:val="nil"/>
                    <w:tr2bl w:val="nil"/>
                  </w:tcBorders>
                  <w:vAlign w:val="center"/>
                </w:tcPr>
                <w:p>
                  <w:pPr>
                    <w:pStyle w:val="218"/>
                    <w:snapToGrid w:val="0"/>
                    <w:spacing w:line="240" w:lineRule="auto"/>
                    <w:ind w:firstLine="0" w:firstLineChars="0"/>
                    <w:rPr>
                      <w:sz w:val="18"/>
                      <w:szCs w:val="18"/>
                    </w:rPr>
                  </w:pPr>
                  <w:r>
                    <w:rPr>
                      <w:sz w:val="18"/>
                      <w:szCs w:val="18"/>
                    </w:rPr>
                    <w:t>增加炼钢、炼铁、焦化、玻璃产能的项目</w:t>
                  </w:r>
                  <w:r>
                    <w:rPr>
                      <w:rFonts w:hint="eastAsia"/>
                      <w:sz w:val="18"/>
                      <w:szCs w:val="18"/>
                    </w:rPr>
                    <w:t>(</w:t>
                  </w:r>
                  <w:r>
                    <w:rPr>
                      <w:sz w:val="18"/>
                      <w:szCs w:val="18"/>
                    </w:rPr>
                    <w:t>等量置换或减量置换除外</w:t>
                  </w:r>
                  <w:r>
                    <w:rPr>
                      <w:rFonts w:hint="eastAsia"/>
                      <w:sz w:val="18"/>
                      <w:szCs w:val="18"/>
                    </w:rPr>
                    <w:t>)</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项目为钢铁行业</w:t>
                  </w:r>
                  <w:r>
                    <w:rPr>
                      <w:rFonts w:hint="eastAsia"/>
                      <w:sz w:val="18"/>
                      <w:szCs w:val="18"/>
                    </w:rPr>
                    <w:t>配套资源综合利用项目</w:t>
                  </w:r>
                  <w:r>
                    <w:rPr>
                      <w:sz w:val="18"/>
                      <w:szCs w:val="18"/>
                    </w:rPr>
                    <w:t>，不属于增加炼钢、炼铁、焦化、玻璃产能的产能项目</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trPr>
              <w:tc>
                <w:tcPr>
                  <w:tcW w:w="220" w:type="pct"/>
                  <w:vMerge w:val="continue"/>
                  <w:tcBorders>
                    <w:tl2br w:val="nil"/>
                    <w:tr2bl w:val="nil"/>
                  </w:tcBorders>
                  <w:vAlign w:val="center"/>
                </w:tcPr>
                <w:p>
                  <w:pPr>
                    <w:pStyle w:val="218"/>
                    <w:snapToGrid w:val="0"/>
                    <w:spacing w:line="240" w:lineRule="auto"/>
                    <w:ind w:firstLine="0" w:firstLineChars="0"/>
                    <w:rPr>
                      <w:sz w:val="18"/>
                      <w:szCs w:val="18"/>
                    </w:rPr>
                  </w:pPr>
                </w:p>
              </w:tc>
              <w:tc>
                <w:tcPr>
                  <w:tcW w:w="1891" w:type="pct"/>
                  <w:tcBorders>
                    <w:tl2br w:val="nil"/>
                    <w:tr2bl w:val="nil"/>
                  </w:tcBorders>
                  <w:vAlign w:val="center"/>
                </w:tcPr>
                <w:p>
                  <w:pPr>
                    <w:pStyle w:val="218"/>
                    <w:snapToGrid w:val="0"/>
                    <w:spacing w:line="240" w:lineRule="auto"/>
                    <w:ind w:firstLine="0" w:firstLineChars="0"/>
                    <w:rPr>
                      <w:sz w:val="18"/>
                      <w:szCs w:val="18"/>
                    </w:rPr>
                  </w:pPr>
                  <w:r>
                    <w:rPr>
                      <w:sz w:val="18"/>
                      <w:szCs w:val="18"/>
                    </w:rPr>
                    <w:t>禁入新建涉重金属项目</w:t>
                  </w:r>
                  <w:r>
                    <w:rPr>
                      <w:rFonts w:hint="eastAsia"/>
                      <w:sz w:val="18"/>
                      <w:szCs w:val="18"/>
                    </w:rPr>
                    <w:t>(</w:t>
                  </w:r>
                  <w:r>
                    <w:rPr>
                      <w:sz w:val="18"/>
                      <w:szCs w:val="18"/>
                    </w:rPr>
                    <w:t>锌除外</w:t>
                  </w:r>
                  <w:r>
                    <w:rPr>
                      <w:rFonts w:hint="eastAsia"/>
                      <w:sz w:val="18"/>
                      <w:szCs w:val="18"/>
                    </w:rPr>
                    <w:t>)</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不属于新建涉重金属项目</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trPr>
              <w:tc>
                <w:tcPr>
                  <w:tcW w:w="220" w:type="pct"/>
                  <w:vMerge w:val="continue"/>
                  <w:tcBorders>
                    <w:tl2br w:val="nil"/>
                    <w:tr2bl w:val="nil"/>
                  </w:tcBorders>
                  <w:vAlign w:val="center"/>
                </w:tcPr>
                <w:p>
                  <w:pPr>
                    <w:pStyle w:val="218"/>
                    <w:snapToGrid w:val="0"/>
                    <w:spacing w:line="240" w:lineRule="auto"/>
                    <w:ind w:firstLine="0" w:firstLineChars="0"/>
                    <w:rPr>
                      <w:sz w:val="18"/>
                      <w:szCs w:val="18"/>
                    </w:rPr>
                  </w:pPr>
                </w:p>
              </w:tc>
              <w:tc>
                <w:tcPr>
                  <w:tcW w:w="1891" w:type="pct"/>
                  <w:tcBorders>
                    <w:tl2br w:val="nil"/>
                    <w:tr2bl w:val="nil"/>
                  </w:tcBorders>
                  <w:vAlign w:val="center"/>
                </w:tcPr>
                <w:p>
                  <w:pPr>
                    <w:pStyle w:val="218"/>
                    <w:snapToGrid w:val="0"/>
                    <w:spacing w:line="240" w:lineRule="auto"/>
                    <w:ind w:firstLine="0" w:firstLineChars="0"/>
                    <w:rPr>
                      <w:sz w:val="18"/>
                      <w:szCs w:val="18"/>
                    </w:rPr>
                  </w:pPr>
                  <w:r>
                    <w:rPr>
                      <w:sz w:val="18"/>
                      <w:szCs w:val="18"/>
                    </w:rPr>
                    <w:t>禁入新建高耗水项目</w:t>
                  </w:r>
                </w:p>
              </w:tc>
              <w:tc>
                <w:tcPr>
                  <w:tcW w:w="2253" w:type="pct"/>
                  <w:tcBorders>
                    <w:tl2br w:val="nil"/>
                    <w:tr2bl w:val="nil"/>
                  </w:tcBorders>
                  <w:vAlign w:val="center"/>
                </w:tcPr>
                <w:p>
                  <w:pPr>
                    <w:pStyle w:val="218"/>
                    <w:snapToGrid w:val="0"/>
                    <w:spacing w:line="240" w:lineRule="auto"/>
                    <w:ind w:firstLine="0" w:firstLineChars="0"/>
                    <w:rPr>
                      <w:sz w:val="18"/>
                      <w:szCs w:val="18"/>
                    </w:rPr>
                  </w:pPr>
                  <w:r>
                    <w:rPr>
                      <w:rFonts w:hint="eastAsia"/>
                      <w:sz w:val="18"/>
                      <w:szCs w:val="18"/>
                    </w:rPr>
                    <w:t>项目不属于</w:t>
                  </w:r>
                  <w:r>
                    <w:rPr>
                      <w:sz w:val="18"/>
                      <w:szCs w:val="18"/>
                    </w:rPr>
                    <w:t>高耗水项目</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trPr>
              <w:tc>
                <w:tcPr>
                  <w:tcW w:w="220" w:type="pct"/>
                  <w:vMerge w:val="continue"/>
                  <w:tcBorders>
                    <w:tl2br w:val="nil"/>
                    <w:tr2bl w:val="nil"/>
                  </w:tcBorders>
                  <w:vAlign w:val="center"/>
                </w:tcPr>
                <w:p>
                  <w:pPr>
                    <w:pStyle w:val="218"/>
                    <w:snapToGrid w:val="0"/>
                    <w:spacing w:line="240" w:lineRule="auto"/>
                    <w:ind w:firstLine="0" w:firstLineChars="0"/>
                    <w:rPr>
                      <w:sz w:val="18"/>
                      <w:szCs w:val="18"/>
                    </w:rPr>
                  </w:pPr>
                </w:p>
              </w:tc>
              <w:tc>
                <w:tcPr>
                  <w:tcW w:w="1891" w:type="pct"/>
                  <w:tcBorders>
                    <w:tl2br w:val="nil"/>
                    <w:tr2bl w:val="nil"/>
                  </w:tcBorders>
                  <w:vAlign w:val="center"/>
                </w:tcPr>
                <w:p>
                  <w:pPr>
                    <w:pStyle w:val="218"/>
                    <w:snapToGrid w:val="0"/>
                    <w:spacing w:line="240" w:lineRule="auto"/>
                    <w:ind w:firstLine="0" w:firstLineChars="0"/>
                    <w:rPr>
                      <w:sz w:val="18"/>
                      <w:szCs w:val="18"/>
                    </w:rPr>
                  </w:pPr>
                  <w:r>
                    <w:rPr>
                      <w:sz w:val="18"/>
                      <w:szCs w:val="18"/>
                    </w:rPr>
                    <w:t>西沙河两侧禁入涉及有毒有害危险化学品且其地表水环境风险不可控的项目</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本评价建议对废水管网、各厂区物料围堰及事故水池进行定期检查，出现破碎及时修补；落实相应风险事故污水措施的情况下，在发生风险事故时污水不会流入外环境。</w:t>
                  </w:r>
                  <w:r>
                    <w:rPr>
                      <w:rFonts w:hint="eastAsia"/>
                      <w:sz w:val="18"/>
                      <w:szCs w:val="18"/>
                      <w:lang w:val="en-US" w:eastAsia="zh-CN"/>
                    </w:rPr>
                    <w:t>地表水环境风险可控。</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trPr>
              <w:tc>
                <w:tcPr>
                  <w:tcW w:w="220" w:type="pct"/>
                  <w:vMerge w:val="restart"/>
                  <w:tcBorders>
                    <w:tl2br w:val="nil"/>
                    <w:tr2bl w:val="nil"/>
                  </w:tcBorders>
                  <w:vAlign w:val="center"/>
                </w:tcPr>
                <w:p>
                  <w:pPr>
                    <w:pStyle w:val="218"/>
                    <w:snapToGrid w:val="0"/>
                    <w:spacing w:line="240" w:lineRule="auto"/>
                    <w:ind w:firstLine="0" w:firstLineChars="0"/>
                    <w:rPr>
                      <w:sz w:val="18"/>
                      <w:szCs w:val="18"/>
                    </w:rPr>
                  </w:pPr>
                  <w:r>
                    <w:rPr>
                      <w:rFonts w:hint="eastAsia"/>
                      <w:sz w:val="18"/>
                      <w:szCs w:val="18"/>
                    </w:rPr>
                    <w:t>钢铁产业区</w:t>
                  </w:r>
                </w:p>
              </w:tc>
              <w:tc>
                <w:tcPr>
                  <w:tcW w:w="1891" w:type="pct"/>
                  <w:tcBorders>
                    <w:tl2br w:val="nil"/>
                    <w:tr2bl w:val="nil"/>
                  </w:tcBorders>
                  <w:vAlign w:val="center"/>
                </w:tcPr>
                <w:p>
                  <w:pPr>
                    <w:pStyle w:val="218"/>
                    <w:snapToGrid w:val="0"/>
                    <w:spacing w:line="240" w:lineRule="auto"/>
                    <w:ind w:firstLine="0" w:firstLineChars="0"/>
                    <w:rPr>
                      <w:sz w:val="18"/>
                      <w:szCs w:val="18"/>
                    </w:rPr>
                  </w:pPr>
                  <w:r>
                    <w:rPr>
                      <w:rFonts w:hint="eastAsia"/>
                      <w:sz w:val="18"/>
                      <w:szCs w:val="18"/>
                    </w:rPr>
                    <w:t>1、增加钢铁产能的项目（减量置换除外）；</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项目为钢铁行业</w:t>
                  </w:r>
                  <w:r>
                    <w:rPr>
                      <w:rFonts w:hint="eastAsia"/>
                      <w:sz w:val="18"/>
                      <w:szCs w:val="18"/>
                    </w:rPr>
                    <w:t>配套资源综合利用项目</w:t>
                  </w:r>
                  <w:r>
                    <w:rPr>
                      <w:sz w:val="18"/>
                      <w:szCs w:val="18"/>
                    </w:rPr>
                    <w:t>，不属于增加炼钢产能</w:t>
                  </w:r>
                  <w:r>
                    <w:rPr>
                      <w:rFonts w:hint="eastAsia"/>
                      <w:sz w:val="18"/>
                      <w:szCs w:val="18"/>
                    </w:rPr>
                    <w:t>的</w:t>
                  </w:r>
                  <w:r>
                    <w:rPr>
                      <w:sz w:val="18"/>
                      <w:szCs w:val="18"/>
                    </w:rPr>
                    <w:t>项目</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trPr>
              <w:tc>
                <w:tcPr>
                  <w:tcW w:w="220" w:type="pct"/>
                  <w:vMerge w:val="continue"/>
                  <w:tcBorders>
                    <w:tl2br w:val="nil"/>
                    <w:tr2bl w:val="nil"/>
                  </w:tcBorders>
                  <w:vAlign w:val="center"/>
                </w:tcPr>
                <w:p>
                  <w:pPr>
                    <w:pStyle w:val="218"/>
                    <w:snapToGrid w:val="0"/>
                    <w:spacing w:line="240" w:lineRule="auto"/>
                    <w:ind w:firstLine="0" w:firstLineChars="0"/>
                    <w:rPr>
                      <w:sz w:val="18"/>
                      <w:szCs w:val="18"/>
                    </w:rPr>
                  </w:pPr>
                </w:p>
              </w:tc>
              <w:tc>
                <w:tcPr>
                  <w:tcW w:w="1891" w:type="pct"/>
                  <w:tcBorders>
                    <w:tl2br w:val="nil"/>
                    <w:tr2bl w:val="nil"/>
                  </w:tcBorders>
                  <w:vAlign w:val="center"/>
                </w:tcPr>
                <w:p>
                  <w:pPr>
                    <w:pStyle w:val="218"/>
                    <w:snapToGrid w:val="0"/>
                    <w:spacing w:line="240" w:lineRule="auto"/>
                    <w:ind w:firstLine="0" w:firstLineChars="0"/>
                    <w:rPr>
                      <w:sz w:val="18"/>
                      <w:szCs w:val="18"/>
                    </w:rPr>
                  </w:pPr>
                  <w:r>
                    <w:rPr>
                      <w:rFonts w:hint="eastAsia"/>
                      <w:sz w:val="18"/>
                      <w:szCs w:val="18"/>
                    </w:rPr>
                    <w:t>2、铁合金冶炼（产能置换除外）；</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项目为钢铁行业</w:t>
                  </w:r>
                  <w:r>
                    <w:rPr>
                      <w:rFonts w:hint="eastAsia"/>
                      <w:sz w:val="18"/>
                      <w:szCs w:val="18"/>
                    </w:rPr>
                    <w:t>配套资源综合利用项目</w:t>
                  </w:r>
                  <w:r>
                    <w:rPr>
                      <w:sz w:val="18"/>
                      <w:szCs w:val="18"/>
                    </w:rPr>
                    <w:t>，不属于</w:t>
                  </w:r>
                  <w:r>
                    <w:rPr>
                      <w:rFonts w:hint="eastAsia"/>
                      <w:sz w:val="18"/>
                      <w:szCs w:val="18"/>
                    </w:rPr>
                    <w:t>铁合金冶炼</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8" w:hRule="atLeast"/>
              </w:trPr>
              <w:tc>
                <w:tcPr>
                  <w:tcW w:w="220" w:type="pct"/>
                  <w:vMerge w:val="continue"/>
                  <w:tcBorders>
                    <w:tl2br w:val="nil"/>
                    <w:tr2bl w:val="nil"/>
                  </w:tcBorders>
                  <w:vAlign w:val="center"/>
                </w:tcPr>
                <w:p>
                  <w:pPr>
                    <w:pStyle w:val="218"/>
                    <w:snapToGrid w:val="0"/>
                    <w:spacing w:line="240" w:lineRule="auto"/>
                    <w:ind w:firstLine="0" w:firstLineChars="0"/>
                    <w:rPr>
                      <w:sz w:val="18"/>
                      <w:szCs w:val="18"/>
                    </w:rPr>
                  </w:pPr>
                </w:p>
              </w:tc>
              <w:tc>
                <w:tcPr>
                  <w:tcW w:w="1891" w:type="pct"/>
                  <w:tcBorders>
                    <w:tl2br w:val="nil"/>
                    <w:tr2bl w:val="nil"/>
                  </w:tcBorders>
                  <w:vAlign w:val="center"/>
                </w:tcPr>
                <w:p>
                  <w:pPr>
                    <w:pStyle w:val="218"/>
                    <w:snapToGrid w:val="0"/>
                    <w:spacing w:line="240" w:lineRule="auto"/>
                    <w:ind w:firstLine="0" w:firstLineChars="0"/>
                    <w:rPr>
                      <w:sz w:val="18"/>
                      <w:szCs w:val="18"/>
                    </w:rPr>
                  </w:pPr>
                  <w:r>
                    <w:rPr>
                      <w:rFonts w:hint="eastAsia"/>
                      <w:sz w:val="18"/>
                      <w:szCs w:val="18"/>
                    </w:rPr>
                    <w:t>3、独立热轧项目；</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项目为钢铁行业</w:t>
                  </w:r>
                  <w:r>
                    <w:rPr>
                      <w:rFonts w:hint="eastAsia"/>
                      <w:sz w:val="18"/>
                      <w:szCs w:val="18"/>
                    </w:rPr>
                    <w:t>配套资源综合利用项目</w:t>
                  </w:r>
                  <w:r>
                    <w:rPr>
                      <w:sz w:val="18"/>
                      <w:szCs w:val="18"/>
                    </w:rPr>
                    <w:t>，不属于</w:t>
                  </w:r>
                  <w:r>
                    <w:rPr>
                      <w:rFonts w:hint="eastAsia"/>
                      <w:sz w:val="18"/>
                      <w:szCs w:val="18"/>
                    </w:rPr>
                    <w:t>独立热轧</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trPr>
              <w:tc>
                <w:tcPr>
                  <w:tcW w:w="220" w:type="pct"/>
                  <w:vMerge w:val="continue"/>
                  <w:tcBorders>
                    <w:tl2br w:val="nil"/>
                    <w:tr2bl w:val="nil"/>
                  </w:tcBorders>
                  <w:vAlign w:val="center"/>
                </w:tcPr>
                <w:p>
                  <w:pPr>
                    <w:pStyle w:val="218"/>
                    <w:snapToGrid w:val="0"/>
                    <w:spacing w:line="240" w:lineRule="auto"/>
                    <w:ind w:firstLine="0" w:firstLineChars="0"/>
                    <w:rPr>
                      <w:sz w:val="18"/>
                      <w:szCs w:val="18"/>
                    </w:rPr>
                  </w:pPr>
                </w:p>
              </w:tc>
              <w:tc>
                <w:tcPr>
                  <w:tcW w:w="1891" w:type="pct"/>
                  <w:tcBorders>
                    <w:tl2br w:val="nil"/>
                    <w:tr2bl w:val="nil"/>
                  </w:tcBorders>
                  <w:vAlign w:val="center"/>
                </w:tcPr>
                <w:p>
                  <w:pPr>
                    <w:pStyle w:val="218"/>
                    <w:snapToGrid w:val="0"/>
                    <w:spacing w:line="240" w:lineRule="auto"/>
                    <w:ind w:firstLine="0" w:firstLineChars="0"/>
                    <w:rPr>
                      <w:sz w:val="18"/>
                      <w:szCs w:val="18"/>
                    </w:rPr>
                  </w:pPr>
                  <w:r>
                    <w:rPr>
                      <w:rFonts w:hint="eastAsia"/>
                      <w:sz w:val="18"/>
                      <w:szCs w:val="18"/>
                    </w:rPr>
                    <w:t>4、焦化项目（产能置换除外）；</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项目为钢铁行业</w:t>
                  </w:r>
                  <w:r>
                    <w:rPr>
                      <w:rFonts w:hint="eastAsia"/>
                      <w:sz w:val="18"/>
                      <w:szCs w:val="18"/>
                    </w:rPr>
                    <w:t>配套资源综合利用项目</w:t>
                  </w:r>
                  <w:r>
                    <w:rPr>
                      <w:sz w:val="18"/>
                      <w:szCs w:val="18"/>
                    </w:rPr>
                    <w:t>，不属于</w:t>
                  </w:r>
                  <w:r>
                    <w:rPr>
                      <w:rFonts w:hint="eastAsia"/>
                      <w:sz w:val="18"/>
                      <w:szCs w:val="18"/>
                    </w:rPr>
                    <w:t>焦化项目</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trPr>
              <w:tc>
                <w:tcPr>
                  <w:tcW w:w="220" w:type="pct"/>
                  <w:vMerge w:val="continue"/>
                  <w:tcBorders>
                    <w:tl2br w:val="nil"/>
                    <w:tr2bl w:val="nil"/>
                  </w:tcBorders>
                  <w:vAlign w:val="center"/>
                </w:tcPr>
                <w:p>
                  <w:pPr>
                    <w:pStyle w:val="218"/>
                    <w:snapToGrid w:val="0"/>
                    <w:spacing w:line="240" w:lineRule="auto"/>
                    <w:ind w:firstLine="0" w:firstLineChars="0"/>
                    <w:rPr>
                      <w:sz w:val="18"/>
                      <w:szCs w:val="18"/>
                    </w:rPr>
                  </w:pPr>
                </w:p>
              </w:tc>
              <w:tc>
                <w:tcPr>
                  <w:tcW w:w="1891" w:type="pct"/>
                  <w:tcBorders>
                    <w:tl2br w:val="nil"/>
                    <w:tr2bl w:val="nil"/>
                  </w:tcBorders>
                  <w:vAlign w:val="center"/>
                </w:tcPr>
                <w:p>
                  <w:pPr>
                    <w:pStyle w:val="218"/>
                    <w:snapToGrid w:val="0"/>
                    <w:spacing w:line="240" w:lineRule="auto"/>
                    <w:ind w:firstLine="0" w:firstLineChars="0"/>
                    <w:rPr>
                      <w:sz w:val="18"/>
                      <w:szCs w:val="18"/>
                    </w:rPr>
                  </w:pPr>
                  <w:r>
                    <w:rPr>
                      <w:rFonts w:hint="eastAsia"/>
                      <w:sz w:val="18"/>
                      <w:szCs w:val="18"/>
                    </w:rPr>
                    <w:t>5、涉及重金属重点行业的有重金属排放的项目；</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项目不属于涉及重金属重点行业</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trPr>
              <w:tc>
                <w:tcPr>
                  <w:tcW w:w="220" w:type="pct"/>
                  <w:vMerge w:val="continue"/>
                  <w:tcBorders>
                    <w:tl2br w:val="nil"/>
                    <w:tr2bl w:val="nil"/>
                  </w:tcBorders>
                  <w:vAlign w:val="center"/>
                </w:tcPr>
                <w:p>
                  <w:pPr>
                    <w:pStyle w:val="218"/>
                    <w:snapToGrid w:val="0"/>
                    <w:spacing w:line="240" w:lineRule="auto"/>
                    <w:ind w:firstLine="0" w:firstLineChars="0"/>
                    <w:rPr>
                      <w:sz w:val="18"/>
                      <w:szCs w:val="18"/>
                    </w:rPr>
                  </w:pPr>
                </w:p>
              </w:tc>
              <w:tc>
                <w:tcPr>
                  <w:tcW w:w="1891" w:type="pct"/>
                  <w:tcBorders>
                    <w:tl2br w:val="nil"/>
                    <w:tr2bl w:val="nil"/>
                  </w:tcBorders>
                  <w:vAlign w:val="center"/>
                </w:tcPr>
                <w:p>
                  <w:pPr>
                    <w:pStyle w:val="218"/>
                    <w:snapToGrid w:val="0"/>
                    <w:spacing w:line="240" w:lineRule="auto"/>
                    <w:ind w:firstLine="0" w:firstLineChars="0"/>
                    <w:rPr>
                      <w:sz w:val="18"/>
                      <w:szCs w:val="18"/>
                    </w:rPr>
                  </w:pPr>
                  <w:r>
                    <w:rPr>
                      <w:rFonts w:hint="eastAsia"/>
                      <w:sz w:val="18"/>
                      <w:szCs w:val="18"/>
                    </w:rPr>
                    <w:t>6、新建的属于《产业结构调整指导目录（2011年本）（2013年修正)》中的“限制类”和“淘汰类”项目。</w:t>
                  </w:r>
                </w:p>
              </w:tc>
              <w:tc>
                <w:tcPr>
                  <w:tcW w:w="2253" w:type="pct"/>
                  <w:tcBorders>
                    <w:tl2br w:val="nil"/>
                    <w:tr2bl w:val="nil"/>
                  </w:tcBorders>
                  <w:vAlign w:val="center"/>
                </w:tcPr>
                <w:p>
                  <w:pPr>
                    <w:pStyle w:val="218"/>
                    <w:snapToGrid w:val="0"/>
                    <w:spacing w:line="240" w:lineRule="auto"/>
                    <w:ind w:firstLine="0" w:firstLineChars="0"/>
                    <w:rPr>
                      <w:sz w:val="18"/>
                      <w:szCs w:val="18"/>
                    </w:rPr>
                  </w:pPr>
                  <w:r>
                    <w:rPr>
                      <w:sz w:val="18"/>
                      <w:szCs w:val="18"/>
                    </w:rPr>
                    <w:t>根据《产业结构调整指导目录</w:t>
                  </w:r>
                  <w:r>
                    <w:rPr>
                      <w:rFonts w:hint="eastAsia"/>
                      <w:sz w:val="18"/>
                      <w:szCs w:val="18"/>
                    </w:rPr>
                    <w:t>(</w:t>
                  </w:r>
                  <w:r>
                    <w:rPr>
                      <w:sz w:val="18"/>
                      <w:szCs w:val="18"/>
                    </w:rPr>
                    <w:t>2019年本</w:t>
                  </w:r>
                  <w:r>
                    <w:rPr>
                      <w:rFonts w:hint="eastAsia"/>
                      <w:sz w:val="18"/>
                      <w:szCs w:val="18"/>
                    </w:rPr>
                    <w:t>)</w:t>
                  </w:r>
                  <w:r>
                    <w:rPr>
                      <w:sz w:val="18"/>
                      <w:szCs w:val="18"/>
                    </w:rPr>
                    <w:t>》</w:t>
                  </w:r>
                  <w:r>
                    <w:rPr>
                      <w:rFonts w:hint="eastAsia"/>
                      <w:sz w:val="18"/>
                      <w:szCs w:val="18"/>
                    </w:rPr>
                    <w:t>，本项目属于鼓励类、第四十三项“环境保护与资源节约综合利用”中第22条：“节能、节水、节材环保及资源综合利用等技术开发、应用及设备制造”，且项目所用设备中无限制类或淘汰类设备</w:t>
                  </w:r>
                </w:p>
              </w:tc>
              <w:tc>
                <w:tcPr>
                  <w:tcW w:w="634" w:type="pct"/>
                  <w:tcBorders>
                    <w:tl2br w:val="nil"/>
                    <w:tr2bl w:val="nil"/>
                  </w:tcBorders>
                  <w:vAlign w:val="center"/>
                </w:tcPr>
                <w:p>
                  <w:pPr>
                    <w:pStyle w:val="218"/>
                    <w:snapToGrid w:val="0"/>
                    <w:spacing w:line="240" w:lineRule="auto"/>
                    <w:ind w:firstLine="0" w:firstLineChars="0"/>
                    <w:rPr>
                      <w:sz w:val="18"/>
                      <w:szCs w:val="18"/>
                    </w:rPr>
                  </w:pPr>
                  <w:r>
                    <w:rPr>
                      <w:sz w:val="18"/>
                      <w:szCs w:val="18"/>
                    </w:rPr>
                    <w:t>否</w:t>
                  </w:r>
                </w:p>
              </w:tc>
            </w:tr>
          </w:tbl>
          <w:p>
            <w:pPr>
              <w:ind w:firstLine="420"/>
              <w:rPr>
                <w:kern w:val="0"/>
                <w:sz w:val="21"/>
                <w:szCs w:val="21"/>
              </w:rPr>
            </w:pPr>
            <w:r>
              <w:rPr>
                <w:kern w:val="0"/>
                <w:sz w:val="21"/>
                <w:szCs w:val="21"/>
              </w:rPr>
              <w:t>项目符合河北迁安经济开发区负面准入清单要求。</w:t>
            </w:r>
          </w:p>
          <w:p>
            <w:pPr>
              <w:autoSpaceDE w:val="0"/>
              <w:autoSpaceDN w:val="0"/>
              <w:adjustRightInd w:val="0"/>
              <w:snapToGrid w:val="0"/>
              <w:ind w:firstLine="420"/>
              <w:rPr>
                <w:rFonts w:eastAsiaTheme="minorEastAsia"/>
                <w:kern w:val="0"/>
                <w:sz w:val="21"/>
                <w:szCs w:val="21"/>
              </w:rPr>
            </w:pPr>
            <w:r>
              <w:rPr>
                <w:kern w:val="0"/>
                <w:sz w:val="21"/>
                <w:szCs w:val="21"/>
              </w:rPr>
              <w:t>经以上分析可知，本项目符合“三线一单”的要求</w:t>
            </w:r>
            <w:r>
              <w:rPr>
                <w:rFonts w:eastAsiaTheme="minorEastAsia"/>
                <w:kern w:val="0"/>
                <w:sz w:val="21"/>
                <w:szCs w:val="21"/>
              </w:rPr>
              <w:t>。</w:t>
            </w:r>
          </w:p>
          <w:p>
            <w:pPr>
              <w:pStyle w:val="6"/>
              <w:tabs>
                <w:tab w:val="left" w:pos="0"/>
              </w:tabs>
              <w:spacing w:before="0" w:after="0" w:line="360" w:lineRule="auto"/>
              <w:ind w:firstLine="422"/>
              <w:rPr>
                <w:sz w:val="21"/>
                <w:szCs w:val="21"/>
              </w:rPr>
            </w:pPr>
            <w:r>
              <w:rPr>
                <w:rFonts w:hint="eastAsia"/>
                <w:sz w:val="21"/>
                <w:szCs w:val="21"/>
              </w:rPr>
              <w:t>三、</w:t>
            </w:r>
            <w:r>
              <w:rPr>
                <w:sz w:val="21"/>
                <w:szCs w:val="21"/>
              </w:rPr>
              <w:t>唐山市“三线一单”生态环境分区管控</w:t>
            </w:r>
          </w:p>
          <w:p>
            <w:pPr>
              <w:ind w:firstLine="420"/>
              <w:rPr>
                <w:sz w:val="21"/>
                <w:szCs w:val="21"/>
              </w:rPr>
            </w:pPr>
            <w:r>
              <w:rPr>
                <w:sz w:val="21"/>
                <w:szCs w:val="21"/>
              </w:rPr>
              <w:t>根据《唐山市人民政府关于实施“三线一单”生态环境分区管控的意见》(唐政字[2021]48号)，主要目标为到2025年，建立健全以“三线一单”为核心的生态环境分区管控体系，主要污染物排放总量持续降低，资源高效利用，环境质量明显改善，人居环境安全得到有效保障，环境治理体系和治理能力现代化取得重大提升，打造山水林田湖草海一体化生态系统格局。生态保护红线。保证生态功能的系统性和完整性，做到应划尽划、应保尽保。重要生态功能区域生态功能不降低、面积不减少、性质不改变。</w:t>
            </w:r>
          </w:p>
          <w:p>
            <w:pPr>
              <w:ind w:firstLine="420"/>
              <w:rPr>
                <w:sz w:val="21"/>
                <w:szCs w:val="21"/>
              </w:rPr>
            </w:pPr>
            <w:r>
              <w:rPr>
                <w:sz w:val="21"/>
                <w:szCs w:val="21"/>
              </w:rPr>
              <w:t>环境质量底线。到2025年，地表水国省考断面优良(IH类以上)比例、近岸海域优良海水比例稳定达标；PM</w:t>
            </w:r>
            <w:r>
              <w:rPr>
                <w:sz w:val="21"/>
                <w:szCs w:val="21"/>
                <w:vertAlign w:val="subscript"/>
              </w:rPr>
              <w:t>2.5</w:t>
            </w:r>
            <w:r>
              <w:rPr>
                <w:sz w:val="21"/>
                <w:szCs w:val="21"/>
              </w:rPr>
              <w:t>年均浓度持续降低、优良天数比例稳步提升；受污染耕地安全利用率、污染地块安全利用率进一步提升。</w:t>
            </w:r>
          </w:p>
          <w:p>
            <w:pPr>
              <w:ind w:firstLine="420"/>
              <w:rPr>
                <w:sz w:val="21"/>
                <w:szCs w:val="21"/>
              </w:rPr>
            </w:pPr>
            <w:r>
              <w:rPr>
                <w:sz w:val="21"/>
                <w:szCs w:val="21"/>
              </w:rPr>
              <w:t>资源利用上线。以保障生态安全、改善环境质量为核心，合理确定全市资源利用上线目标，实现水资源与水环境、能源与大气环境、岸线与海洋环境的协同管控。到2035年，广泛形成绿色生产生活方式，生态环境根本好转，建成天蓝、水碧、土净的美丽唐山。</w:t>
            </w:r>
          </w:p>
          <w:p>
            <w:pPr>
              <w:ind w:firstLine="420"/>
              <w:rPr>
                <w:sz w:val="21"/>
                <w:szCs w:val="21"/>
              </w:rPr>
            </w:pPr>
            <w:r>
              <w:rPr>
                <w:sz w:val="21"/>
                <w:szCs w:val="21"/>
              </w:rPr>
              <w:t>环境管控单元包括优先保护、重点管控和一般管控单元三类：</w:t>
            </w:r>
          </w:p>
          <w:p>
            <w:pPr>
              <w:ind w:firstLine="420"/>
              <w:rPr>
                <w:sz w:val="21"/>
                <w:szCs w:val="21"/>
              </w:rPr>
            </w:pPr>
            <w:r>
              <w:rPr>
                <w:sz w:val="21"/>
                <w:szCs w:val="21"/>
              </w:rPr>
              <w:t>优先保护单元：主要包括以生态环境保护为主的区域，主要包括陆域生态保护红线，自然保护区、森林公园等各级各类保护地和其他重要生态功能区等陆域一般生态空间。</w:t>
            </w:r>
          </w:p>
          <w:p>
            <w:pPr>
              <w:ind w:firstLine="420"/>
              <w:rPr>
                <w:sz w:val="21"/>
                <w:szCs w:val="21"/>
              </w:rPr>
            </w:pPr>
            <w:r>
              <w:rPr>
                <w:sz w:val="21"/>
                <w:szCs w:val="21"/>
              </w:rPr>
              <w:t>重点管控单元：指涉及水、大气、土壤、海洋、自然资源等资源环境要素重点管控的区域，主要包括城镇规划区和工业园区(工业集聚区)等开发强度高、污染物排放强度大以及环境问题相对集中的区域，近岸海域重点管控区，主要包括工业与城镇用海、港口及特殊利用区域。</w:t>
            </w:r>
          </w:p>
          <w:p>
            <w:pPr>
              <w:ind w:firstLine="420"/>
              <w:rPr>
                <w:sz w:val="21"/>
                <w:szCs w:val="21"/>
              </w:rPr>
            </w:pPr>
            <w:r>
              <w:rPr>
                <w:sz w:val="21"/>
                <w:szCs w:val="21"/>
              </w:rPr>
              <w:t>一般管控单元：除优先保护单元和重点管控单元之外的其他区域。</w:t>
            </w:r>
          </w:p>
          <w:p>
            <w:pPr>
              <w:ind w:firstLine="420"/>
              <w:rPr>
                <w:sz w:val="21"/>
                <w:szCs w:val="21"/>
              </w:rPr>
            </w:pPr>
            <w:r>
              <w:rPr>
                <w:kern w:val="0"/>
                <w:sz w:val="21"/>
                <w:szCs w:val="21"/>
              </w:rPr>
              <w:t>项目位于河北迁安经济开发区</w:t>
            </w:r>
            <w:r>
              <w:rPr>
                <w:rFonts w:hint="eastAsia"/>
                <w:kern w:val="0"/>
                <w:sz w:val="21"/>
                <w:szCs w:val="21"/>
              </w:rPr>
              <w:t>，迁安市九江线材有限责任公司现有厂区内</w:t>
            </w:r>
            <w:r>
              <w:rPr>
                <w:sz w:val="21"/>
                <w:szCs w:val="21"/>
              </w:rPr>
              <w:t>，属于重点管控单元中的工业园区(工业集聚区)重点管控单元(见</w:t>
            </w:r>
            <w:r>
              <w:rPr>
                <w:rFonts w:hint="eastAsia"/>
                <w:sz w:val="21"/>
                <w:szCs w:val="21"/>
              </w:rPr>
              <w:t>图4</w:t>
            </w:r>
            <w:r>
              <w:rPr>
                <w:sz w:val="21"/>
                <w:szCs w:val="21"/>
              </w:rPr>
              <w:t>)，项目与重点管控单元管控要求符合性分析见</w:t>
            </w:r>
            <w:r>
              <w:rPr>
                <w:sz w:val="21"/>
                <w:szCs w:val="21"/>
              </w:rPr>
              <w:fldChar w:fldCharType="begin"/>
            </w:r>
            <w:r>
              <w:rPr>
                <w:sz w:val="21"/>
                <w:szCs w:val="21"/>
              </w:rPr>
              <w:instrText xml:space="preserve"> REF _Ref80428101 </w:instrText>
            </w:r>
            <w:r>
              <w:rPr>
                <w:sz w:val="21"/>
                <w:szCs w:val="21"/>
              </w:rPr>
              <w:fldChar w:fldCharType="separate"/>
            </w:r>
            <w:r>
              <w:rPr>
                <w:sz w:val="21"/>
                <w:szCs w:val="21"/>
              </w:rPr>
              <w:t>表</w:t>
            </w:r>
            <w:r>
              <w:rPr>
                <w:rFonts w:hint="eastAsia"/>
                <w:sz w:val="21"/>
                <w:szCs w:val="21"/>
              </w:rPr>
              <w:t>7</w:t>
            </w:r>
            <w:r>
              <w:rPr>
                <w:sz w:val="21"/>
                <w:szCs w:val="21"/>
              </w:rPr>
              <w:fldChar w:fldCharType="end"/>
            </w:r>
            <w:r>
              <w:rPr>
                <w:sz w:val="21"/>
                <w:szCs w:val="21"/>
              </w:rPr>
              <w:t>。</w:t>
            </w:r>
          </w:p>
          <w:p>
            <w:pPr>
              <w:pStyle w:val="176"/>
              <w:adjustRightInd w:val="0"/>
              <w:snapToGrid w:val="0"/>
              <w:ind w:firstLine="0" w:firstLineChars="0"/>
              <w:rPr>
                <w:rFonts w:ascii="宋体" w:hAnsi="宋体" w:cs="宋体"/>
              </w:rPr>
            </w:pPr>
            <w:r>
              <w:rPr>
                <w:rFonts w:ascii="宋体" w:hAnsi="宋体" w:cs="宋体"/>
                <w:sz w:val="21"/>
              </w:rPr>
              <w:pict>
                <v:shape id="圆角矩形标注 7" o:spid="_x0000_s2074" o:spt="62" type="#_x0000_t62" style="position:absolute;left:0pt;margin-left:40.75pt;margin-top:113.65pt;height:26.85pt;width:74.75pt;z-index:251663360;mso-width-relative:page;mso-height-relative:page;" coordsize="21600,21600" o:gfxdata="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EO+cT1wAAAAoBAAAP&#10;AAAAAAAAAAEAIAAAACIAAABkcnMvZG93bnJldi54bWxQSwECFAAUAAAACACHTuJAMIVzq1ICAAC7&#10;BAAADgAAAAAAAAABACAAAAAmAQAAZHJzL2Uyb0RvYy54bWxQSwUGAAAAAAYABgBZAQAA6gUAAAAA&#10;" adj="31410,-5269,14400">
                  <v:path/>
                  <v:fill focussize="0,0"/>
                  <v:stroke joinstyle="miter"/>
                  <v:imagedata o:title=""/>
                  <o:lock v:ext="edit"/>
                  <v:textbox>
                    <w:txbxContent>
                      <w:p>
                        <w:pPr>
                          <w:pStyle w:val="128"/>
                          <w:spacing w:before="24" w:after="24"/>
                          <w:ind w:firstLine="0" w:firstLineChars="0"/>
                        </w:pPr>
                        <w:r>
                          <w:rPr>
                            <w:rFonts w:hint="eastAsia"/>
                          </w:rPr>
                          <w:t>项目</w:t>
                        </w:r>
                        <w:r>
                          <w:t>所在地</w:t>
                        </w:r>
                      </w:p>
                    </w:txbxContent>
                  </v:textbox>
                </v:shape>
              </w:pict>
            </w:r>
            <w:r>
              <w:rPr>
                <w:rFonts w:ascii="宋体" w:hAnsi="宋体" w:cs="宋体"/>
                <w:sz w:val="21"/>
              </w:rPr>
              <w:pict>
                <v:rect id="矩形 6" o:spid="_x0000_s2075" o:spt="1" style="position:absolute;left:0pt;margin-left:147.35pt;margin-top:102.15pt;height:7.15pt;width:7.65pt;z-index:251664384;mso-width-relative:page;mso-height-relative:page;" fillcolor="#000000" filled="t" stroked="t" coordsize="21600,21600" o:gfxdata="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1/CCs2wAAAAsBAAAPAAAAAAAAAAEAIAAAACIAAABkcnMvZG93bnJldi54&#10;bWxQSwECFAAUAAAACACHTuJA7W8r+/cBAAAbBAAADgAAAAAAAAABACAAAAAqAQAAZHJzL2Uyb0Rv&#10;Yy54bWxQSwUGAAAAAAYABgBZAQAAkwUAAAAA&#10;">
                  <v:path/>
                  <v:fill on="t" focussize="0,0"/>
                  <v:stroke color="#FF0000"/>
                  <v:imagedata o:title=""/>
                  <o:lock v:ext="edit"/>
                </v:rect>
              </w:pict>
            </w:r>
            <w:r>
              <w:rPr>
                <w:rFonts w:hint="eastAsia" w:ascii="宋体" w:hAnsi="宋体" w:cs="宋体"/>
              </w:rPr>
              <w:drawing>
                <wp:inline distT="0" distB="0" distL="114300" distR="114300">
                  <wp:extent cx="4299585" cy="3620770"/>
                  <wp:effectExtent l="0" t="0" r="5715" b="17780"/>
                  <wp:docPr id="10" name="图片 6"/>
                  <wp:cNvGraphicFramePr/>
                  <a:graphic xmlns:a="http://schemas.openxmlformats.org/drawingml/2006/main">
                    <a:graphicData uri="http://schemas.openxmlformats.org/drawingml/2006/picture">
                      <pic:pic xmlns:pic="http://schemas.openxmlformats.org/drawingml/2006/picture">
                        <pic:nvPicPr>
                          <pic:cNvPr id="10" name="图片 6"/>
                          <pic:cNvPicPr/>
                        </pic:nvPicPr>
                        <pic:blipFill>
                          <a:blip r:embed="rId14"/>
                          <a:stretch>
                            <a:fillRect/>
                          </a:stretch>
                        </pic:blipFill>
                        <pic:spPr>
                          <a:xfrm>
                            <a:off x="0" y="0"/>
                            <a:ext cx="4299585" cy="3620770"/>
                          </a:xfrm>
                          <a:prstGeom prst="rect">
                            <a:avLst/>
                          </a:prstGeom>
                          <a:noFill/>
                          <a:ln>
                            <a:noFill/>
                          </a:ln>
                        </pic:spPr>
                      </pic:pic>
                    </a:graphicData>
                  </a:graphic>
                </wp:inline>
              </w:drawing>
            </w:r>
          </w:p>
          <w:p>
            <w:pPr>
              <w:ind w:firstLine="0" w:firstLineChars="0"/>
              <w:jc w:val="center"/>
              <w:rPr>
                <w:rFonts w:ascii="宋体" w:hAnsi="宋体" w:cs="宋体"/>
                <w:b/>
                <w:bCs/>
                <w:sz w:val="21"/>
                <w:szCs w:val="21"/>
              </w:rPr>
            </w:pPr>
            <w:r>
              <w:rPr>
                <w:rFonts w:hint="eastAsia" w:ascii="宋体" w:hAnsi="宋体" w:cs="宋体"/>
                <w:b/>
                <w:bCs/>
                <w:sz w:val="21"/>
                <w:szCs w:val="21"/>
              </w:rPr>
              <w:t>图4  唐山市环境管控单元分布图</w:t>
            </w:r>
          </w:p>
          <w:p>
            <w:pPr>
              <w:pStyle w:val="78"/>
              <w:spacing w:after="0"/>
              <w:ind w:left="0" w:leftChars="0" w:firstLine="0" w:firstLineChars="0"/>
              <w:jc w:val="center"/>
              <w:rPr>
                <w:b/>
                <w:szCs w:val="21"/>
              </w:rPr>
            </w:pPr>
            <w:r>
              <w:rPr>
                <w:b/>
                <w:szCs w:val="21"/>
              </w:rPr>
              <w:t>表</w:t>
            </w:r>
            <w:r>
              <w:rPr>
                <w:rFonts w:hint="eastAsia"/>
                <w:b/>
                <w:szCs w:val="21"/>
              </w:rPr>
              <w:t xml:space="preserve">7  </w:t>
            </w:r>
            <w:r>
              <w:rPr>
                <w:b/>
                <w:szCs w:val="21"/>
              </w:rPr>
              <w:t xml:space="preserve">  项目与唐山市生态环境准入清单符合性分析</w:t>
            </w:r>
          </w:p>
          <w:tbl>
            <w:tblPr>
              <w:tblStyle w:val="79"/>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396"/>
              <w:gridCol w:w="396"/>
              <w:gridCol w:w="2954"/>
              <w:gridCol w:w="2625"/>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10" w:type="pct"/>
                  <w:gridSpan w:val="3"/>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管控单元</w:t>
                  </w:r>
                </w:p>
              </w:tc>
              <w:tc>
                <w:tcPr>
                  <w:tcW w:w="2015"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要求</w:t>
                  </w:r>
                </w:p>
              </w:tc>
              <w:tc>
                <w:tcPr>
                  <w:tcW w:w="179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项目情况</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restar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分类管控要求</w:t>
                  </w:r>
                </w:p>
              </w:tc>
              <w:tc>
                <w:tcPr>
                  <w:tcW w:w="540" w:type="pct"/>
                  <w:gridSpan w:val="2"/>
                  <w:vMerge w:val="restar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(省级以上产业园区重点管控单元)</w:t>
                  </w:r>
                </w:p>
              </w:tc>
              <w:tc>
                <w:tcPr>
                  <w:tcW w:w="2015" w:type="pct"/>
                  <w:tcBorders>
                    <w:tl2br w:val="nil"/>
                    <w:tr2bl w:val="nil"/>
                  </w:tcBorders>
                  <w:vAlign w:val="center"/>
                </w:tcPr>
                <w:p>
                  <w:pPr>
                    <w:pStyle w:val="128"/>
                    <w:tabs>
                      <w:tab w:val="center" w:pos="4153"/>
                      <w:tab w:val="right" w:pos="8306"/>
                    </w:tabs>
                    <w:spacing w:beforeLines="0" w:afterLines="0" w:line="280" w:lineRule="exact"/>
                    <w:ind w:firstLine="0" w:firstLineChars="0"/>
                    <w:jc w:val="left"/>
                    <w:rPr>
                      <w:rFonts w:ascii="Times New Roman"/>
                      <w:sz w:val="18"/>
                      <w:szCs w:val="18"/>
                    </w:rPr>
                  </w:pPr>
                  <w:r>
                    <w:rPr>
                      <w:rFonts w:ascii="Times New Roman"/>
                      <w:sz w:val="18"/>
                      <w:szCs w:val="18"/>
                    </w:rPr>
                    <w:t>严格项目准入，优化产业布局；完善园区设施建设，推动设施提标改造</w:t>
                  </w:r>
                </w:p>
              </w:tc>
              <w:tc>
                <w:tcPr>
                  <w:tcW w:w="1790" w:type="pct"/>
                  <w:tcBorders>
                    <w:tl2br w:val="nil"/>
                    <w:tr2bl w:val="nil"/>
                  </w:tcBorders>
                  <w:vAlign w:val="center"/>
                </w:tcPr>
                <w:p>
                  <w:pPr>
                    <w:autoSpaceDE w:val="0"/>
                    <w:autoSpaceDN w:val="0"/>
                    <w:adjustRightInd w:val="0"/>
                    <w:snapToGrid w:val="0"/>
                    <w:spacing w:line="280" w:lineRule="exact"/>
                    <w:ind w:firstLine="0" w:firstLineChars="0"/>
                    <w:jc w:val="both"/>
                    <w:rPr>
                      <w:sz w:val="18"/>
                      <w:szCs w:val="18"/>
                    </w:rPr>
                  </w:pPr>
                  <w:r>
                    <w:rPr>
                      <w:sz w:val="18"/>
                      <w:szCs w:val="18"/>
                    </w:rPr>
                    <w:t>项目为钢铁行业</w:t>
                  </w:r>
                  <w:r>
                    <w:rPr>
                      <w:rFonts w:hint="eastAsia"/>
                      <w:sz w:val="18"/>
                      <w:szCs w:val="18"/>
                    </w:rPr>
                    <w:t>配套资源综合利用项目</w:t>
                  </w:r>
                  <w:r>
                    <w:rPr>
                      <w:sz w:val="18"/>
                      <w:szCs w:val="18"/>
                    </w:rPr>
                    <w:t>，</w:t>
                  </w:r>
                  <w:r>
                    <w:rPr>
                      <w:rFonts w:hint="eastAsia"/>
                      <w:sz w:val="18"/>
                      <w:szCs w:val="18"/>
                    </w:rPr>
                    <w:t>不涉及钢铁产能变化</w:t>
                  </w:r>
                  <w:r>
                    <w:rPr>
                      <w:sz w:val="18"/>
                      <w:szCs w:val="18"/>
                    </w:rPr>
                    <w:t>；属于《产业结构调整指导目录(2019年本)》</w:t>
                  </w:r>
                  <w:r>
                    <w:rPr>
                      <w:rFonts w:hint="eastAsia"/>
                      <w:sz w:val="18"/>
                      <w:szCs w:val="18"/>
                    </w:rPr>
                    <w:t>鼓励类项目</w:t>
                  </w:r>
                  <w:r>
                    <w:rPr>
                      <w:sz w:val="18"/>
                      <w:szCs w:val="18"/>
                    </w:rPr>
                    <w:t>、</w:t>
                  </w:r>
                  <w:r>
                    <w:rPr>
                      <w:rFonts w:hint="eastAsia"/>
                      <w:sz w:val="18"/>
                      <w:szCs w:val="18"/>
                    </w:rPr>
                    <w:t>不属于</w:t>
                  </w:r>
                  <w:r>
                    <w:rPr>
                      <w:sz w:val="18"/>
                      <w:szCs w:val="18"/>
                    </w:rPr>
                    <w:t>《河北省新增限制和淘汰类产业目录(2015年版)》、《河北省禁止投资的产业目录(2014年版)》中限制类与淘汰类。迁安市九江线材有限责任公司已获得唐山市行政审批局关于本项目核准的批复，批复编号为唐审投资核字[2022]29号；项目位于河北迁安经济开发区产业布局中的钢铁产业区，符合园区产业布局</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540" w:type="pct"/>
                  <w:gridSpan w:val="2"/>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2015" w:type="pct"/>
                  <w:tcBorders>
                    <w:tl2br w:val="nil"/>
                    <w:tr2bl w:val="nil"/>
                  </w:tcBorders>
                  <w:vAlign w:val="center"/>
                </w:tcPr>
                <w:p>
                  <w:pPr>
                    <w:pStyle w:val="128"/>
                    <w:tabs>
                      <w:tab w:val="center" w:pos="4153"/>
                      <w:tab w:val="right" w:pos="8306"/>
                    </w:tabs>
                    <w:spacing w:beforeLines="0" w:afterLines="0" w:line="280" w:lineRule="exact"/>
                    <w:ind w:firstLine="0" w:firstLineChars="0"/>
                    <w:jc w:val="left"/>
                    <w:rPr>
                      <w:rFonts w:ascii="Times New Roman"/>
                      <w:sz w:val="18"/>
                      <w:szCs w:val="18"/>
                    </w:rPr>
                  </w:pPr>
                  <w:r>
                    <w:rPr>
                      <w:rFonts w:ascii="Times New Roman"/>
                      <w:sz w:val="18"/>
                      <w:szCs w:val="18"/>
                    </w:rPr>
                    <w:t>实施污染物总量控制</w:t>
                  </w:r>
                </w:p>
              </w:tc>
              <w:tc>
                <w:tcPr>
                  <w:tcW w:w="1790" w:type="pct"/>
                  <w:tcBorders>
                    <w:tl2br w:val="nil"/>
                    <w:tr2bl w:val="nil"/>
                  </w:tcBorders>
                  <w:vAlign w:val="center"/>
                </w:tcPr>
                <w:p>
                  <w:pPr>
                    <w:snapToGrid w:val="0"/>
                    <w:spacing w:line="280" w:lineRule="exact"/>
                    <w:ind w:firstLine="0" w:firstLineChars="0"/>
                    <w:rPr>
                      <w:sz w:val="18"/>
                      <w:szCs w:val="18"/>
                    </w:rPr>
                  </w:pPr>
                  <w:r>
                    <w:rPr>
                      <w:sz w:val="18"/>
                      <w:szCs w:val="18"/>
                      <w:highlight w:val="none"/>
                    </w:rPr>
                    <w:t>项目为钢铁行业</w:t>
                  </w:r>
                  <w:r>
                    <w:rPr>
                      <w:rFonts w:hint="eastAsia"/>
                      <w:sz w:val="18"/>
                      <w:szCs w:val="18"/>
                      <w:highlight w:val="none"/>
                    </w:rPr>
                    <w:t>配套资源综合利用项目</w:t>
                  </w:r>
                  <w:r>
                    <w:rPr>
                      <w:sz w:val="18"/>
                      <w:szCs w:val="18"/>
                      <w:highlight w:val="none"/>
                    </w:rPr>
                    <w:t>，</w:t>
                  </w:r>
                  <w:r>
                    <w:rPr>
                      <w:rFonts w:hint="eastAsia"/>
                      <w:sz w:val="18"/>
                      <w:szCs w:val="18"/>
                      <w:highlight w:val="none"/>
                    </w:rPr>
                    <w:t>总量指标</w:t>
                  </w:r>
                  <w:r>
                    <w:rPr>
                      <w:sz w:val="18"/>
                      <w:szCs w:val="18"/>
                      <w:highlight w:val="none"/>
                    </w:rPr>
                    <w:t>废水：COD：0t/a、氨氮：0t/a；废气：SO</w:t>
                  </w:r>
                  <w:r>
                    <w:rPr>
                      <w:sz w:val="18"/>
                      <w:szCs w:val="18"/>
                      <w:highlight w:val="none"/>
                      <w:vertAlign w:val="subscript"/>
                    </w:rPr>
                    <w:t>2</w:t>
                  </w:r>
                  <w:r>
                    <w:rPr>
                      <w:sz w:val="18"/>
                      <w:szCs w:val="18"/>
                      <w:highlight w:val="none"/>
                    </w:rPr>
                    <w:t>：</w:t>
                  </w:r>
                  <w:r>
                    <w:rPr>
                      <w:rFonts w:hint="eastAsia"/>
                      <w:kern w:val="0"/>
                      <w:sz w:val="18"/>
                      <w:szCs w:val="18"/>
                      <w:highlight w:val="none"/>
                    </w:rPr>
                    <w:t>150.</w:t>
                  </w:r>
                  <w:r>
                    <w:rPr>
                      <w:rFonts w:hint="eastAsia"/>
                      <w:kern w:val="0"/>
                      <w:sz w:val="18"/>
                      <w:szCs w:val="18"/>
                      <w:highlight w:val="none"/>
                      <w:lang w:val="en-US" w:eastAsia="zh-CN"/>
                    </w:rPr>
                    <w:t>8</w:t>
                  </w:r>
                  <w:r>
                    <w:rPr>
                      <w:sz w:val="18"/>
                      <w:szCs w:val="18"/>
                      <w:highlight w:val="none"/>
                    </w:rPr>
                    <w:t>t/a、NO</w:t>
                  </w:r>
                  <w:r>
                    <w:rPr>
                      <w:sz w:val="18"/>
                      <w:szCs w:val="18"/>
                      <w:highlight w:val="none"/>
                      <w:vertAlign w:val="subscript"/>
                    </w:rPr>
                    <w:t>X</w:t>
                  </w:r>
                  <w:r>
                    <w:rPr>
                      <w:sz w:val="18"/>
                      <w:szCs w:val="18"/>
                      <w:highlight w:val="none"/>
                    </w:rPr>
                    <w:t>：</w:t>
                  </w:r>
                  <w:r>
                    <w:rPr>
                      <w:rFonts w:hint="eastAsia"/>
                      <w:kern w:val="0"/>
                      <w:sz w:val="18"/>
                      <w:szCs w:val="18"/>
                      <w:highlight w:val="none"/>
                    </w:rPr>
                    <w:t>214.</w:t>
                  </w:r>
                  <w:r>
                    <w:rPr>
                      <w:rFonts w:hint="eastAsia"/>
                      <w:kern w:val="0"/>
                      <w:sz w:val="18"/>
                      <w:szCs w:val="18"/>
                      <w:highlight w:val="none"/>
                      <w:lang w:val="en-US" w:eastAsia="zh-CN"/>
                    </w:rPr>
                    <w:t>6</w:t>
                  </w:r>
                  <w:r>
                    <w:rPr>
                      <w:sz w:val="18"/>
                      <w:szCs w:val="18"/>
                      <w:highlight w:val="none"/>
                    </w:rPr>
                    <w:t>t/a。</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540" w:type="pct"/>
                  <w:gridSpan w:val="2"/>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2015" w:type="pct"/>
                  <w:tcBorders>
                    <w:tl2br w:val="nil"/>
                    <w:tr2bl w:val="nil"/>
                  </w:tcBorders>
                  <w:vAlign w:val="center"/>
                </w:tcPr>
                <w:p>
                  <w:pPr>
                    <w:pStyle w:val="128"/>
                    <w:tabs>
                      <w:tab w:val="center" w:pos="4153"/>
                      <w:tab w:val="right" w:pos="8306"/>
                    </w:tabs>
                    <w:spacing w:beforeLines="0" w:afterLines="0" w:line="280" w:lineRule="exact"/>
                    <w:ind w:firstLine="0" w:firstLineChars="0"/>
                    <w:jc w:val="left"/>
                    <w:rPr>
                      <w:rFonts w:ascii="Times New Roman"/>
                      <w:sz w:val="18"/>
                      <w:szCs w:val="18"/>
                    </w:rPr>
                  </w:pPr>
                  <w:r>
                    <w:rPr>
                      <w:rFonts w:ascii="Times New Roman"/>
                      <w:sz w:val="18"/>
                      <w:szCs w:val="18"/>
                    </w:rPr>
                    <w:t>落实排污许可证制度</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2017年首次申领排污许可证，证号：911302007356029939001P</w:t>
                  </w:r>
                  <w:r>
                    <w:rPr>
                      <w:rFonts w:hint="eastAsia" w:ascii="Times New Roman" w:hAnsi="Times New Roman"/>
                      <w:sz w:val="18"/>
                      <w:szCs w:val="18"/>
                    </w:rPr>
                    <w:t>，已于2020年进行了延期，有效期至2025年9月6日。</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540" w:type="pct"/>
                  <w:gridSpan w:val="2"/>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2015" w:type="pct"/>
                  <w:tcBorders>
                    <w:tl2br w:val="nil"/>
                    <w:tr2bl w:val="nil"/>
                  </w:tcBorders>
                  <w:vAlign w:val="center"/>
                </w:tcPr>
                <w:p>
                  <w:pPr>
                    <w:pStyle w:val="128"/>
                    <w:tabs>
                      <w:tab w:val="center" w:pos="4153"/>
                      <w:tab w:val="right" w:pos="8306"/>
                    </w:tabs>
                    <w:spacing w:beforeLines="0" w:afterLines="0" w:line="280" w:lineRule="exact"/>
                    <w:ind w:firstLine="0" w:firstLineChars="0"/>
                    <w:jc w:val="left"/>
                    <w:rPr>
                      <w:rFonts w:ascii="Times New Roman"/>
                      <w:sz w:val="18"/>
                      <w:szCs w:val="18"/>
                    </w:rPr>
                  </w:pPr>
                  <w:r>
                    <w:rPr>
                      <w:rFonts w:ascii="Times New Roman"/>
                      <w:sz w:val="18"/>
                      <w:szCs w:val="18"/>
                    </w:rPr>
                    <w:t>强化资源利用效率和地下水开采管控</w:t>
                  </w:r>
                </w:p>
              </w:tc>
              <w:tc>
                <w:tcPr>
                  <w:tcW w:w="1790" w:type="pct"/>
                  <w:tcBorders>
                    <w:tl2br w:val="nil"/>
                    <w:tr2bl w:val="nil"/>
                  </w:tcBorders>
                  <w:vAlign w:val="center"/>
                </w:tcPr>
                <w:p>
                  <w:pPr>
                    <w:pStyle w:val="1716"/>
                    <w:spacing w:line="280" w:lineRule="exact"/>
                    <w:ind w:firstLine="0" w:firstLineChars="0"/>
                    <w:rPr>
                      <w:rFonts w:ascii="Times New Roman" w:hAnsi="Times New Roman"/>
                      <w:kern w:val="2"/>
                      <w:sz w:val="18"/>
                      <w:szCs w:val="18"/>
                    </w:rPr>
                  </w:pPr>
                  <w:r>
                    <w:rPr>
                      <w:rFonts w:ascii="Times New Roman" w:hAnsi="Times New Roman"/>
                      <w:kern w:val="2"/>
                      <w:sz w:val="18"/>
                      <w:szCs w:val="18"/>
                    </w:rPr>
                    <w:t>迁安市九江线材有限责任公司已办理取水许可证</w:t>
                  </w:r>
                  <w:r>
                    <w:rPr>
                      <w:rFonts w:hint="eastAsia" w:ascii="Times New Roman" w:hAnsi="Times New Roman"/>
                      <w:kern w:val="2"/>
                      <w:sz w:val="18"/>
                      <w:szCs w:val="18"/>
                    </w:rPr>
                    <w:t>。</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restar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生态保护红线区</w:t>
                  </w:r>
                </w:p>
              </w:tc>
              <w:tc>
                <w:tcPr>
                  <w:tcW w:w="270" w:type="pct"/>
                  <w:vMerge w:val="restar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空间布局约束</w:t>
                  </w:r>
                </w:p>
              </w:tc>
              <w:tc>
                <w:tcPr>
                  <w:tcW w:w="27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禁止类管控要求</w:t>
                  </w:r>
                </w:p>
              </w:tc>
              <w:tc>
                <w:tcPr>
                  <w:tcW w:w="2015" w:type="pct"/>
                  <w:tcBorders>
                    <w:tl2br w:val="nil"/>
                    <w:tr2bl w:val="nil"/>
                  </w:tcBorders>
                  <w:vAlign w:val="center"/>
                </w:tcPr>
                <w:p>
                  <w:pPr>
                    <w:pStyle w:val="128"/>
                    <w:tabs>
                      <w:tab w:val="center" w:pos="4153"/>
                      <w:tab w:val="right" w:pos="8306"/>
                    </w:tabs>
                    <w:spacing w:beforeLines="0" w:afterLines="0" w:line="280" w:lineRule="exact"/>
                    <w:ind w:firstLine="0" w:firstLineChars="0"/>
                    <w:jc w:val="left"/>
                    <w:rPr>
                      <w:rFonts w:ascii="Times New Roman"/>
                      <w:sz w:val="18"/>
                      <w:szCs w:val="18"/>
                    </w:rPr>
                  </w:pPr>
                  <w:r>
                    <w:rPr>
                      <w:rFonts w:ascii="Times New Roman"/>
                      <w:sz w:val="18"/>
                      <w:szCs w:val="18"/>
                      <w:lang w:bidi="ar"/>
                    </w:rPr>
                    <w:t>生态保护红线原则上按禁止开发区域的要求进行管理。严禁不符合主体功能定位的各类开发活动，严禁任意改变用途，确保生态功能不降低、面积不减少、性质不改变。</w:t>
                  </w:r>
                </w:p>
              </w:tc>
              <w:tc>
                <w:tcPr>
                  <w:tcW w:w="1790" w:type="pct"/>
                  <w:vMerge w:val="restar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根据河北省生态保护红线分布图，项目位于河北迁安经济开发区，公司现有厂区内。距离迁安市沙河河滨岸带敏感红线区的最近距离为382m</w:t>
                  </w:r>
                  <w:r>
                    <w:rPr>
                      <w:rFonts w:hint="eastAsia" w:ascii="Times New Roman" w:hAnsi="Times New Roman"/>
                      <w:kern w:val="0"/>
                      <w:sz w:val="18"/>
                      <w:szCs w:val="18"/>
                    </w:rPr>
                    <w:t>，</w:t>
                  </w:r>
                  <w:r>
                    <w:rPr>
                      <w:rFonts w:ascii="Times New Roman" w:hAnsi="Times New Roman"/>
                      <w:kern w:val="0"/>
                      <w:sz w:val="18"/>
                      <w:szCs w:val="18"/>
                    </w:rPr>
                    <w:t>项目不在迁安市4个红线区范围内</w:t>
                  </w:r>
                  <w:r>
                    <w:rPr>
                      <w:rFonts w:ascii="Times New Roman" w:hAnsi="Times New Roman"/>
                      <w:sz w:val="18"/>
                      <w:szCs w:val="18"/>
                    </w:rPr>
                    <w:t>；项目位于河北省主体功能区划中的优化开发区，符合主体功能区划；项目位于河北迁安经济开发区(迁安市木厂口镇)，公司现有厂区内，不新增占地</w:t>
                  </w:r>
                </w:p>
              </w:tc>
              <w:tc>
                <w:tcPr>
                  <w:tcW w:w="383" w:type="pct"/>
                  <w:vMerge w:val="restar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27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允许类管控要求</w:t>
                  </w:r>
                </w:p>
              </w:tc>
              <w:tc>
                <w:tcPr>
                  <w:tcW w:w="2015" w:type="pct"/>
                  <w:tcBorders>
                    <w:tl2br w:val="nil"/>
                    <w:tr2bl w:val="nil"/>
                  </w:tcBorders>
                  <w:vAlign w:val="center"/>
                </w:tcPr>
                <w:p>
                  <w:pPr>
                    <w:pStyle w:val="128"/>
                    <w:tabs>
                      <w:tab w:val="center" w:pos="4153"/>
                      <w:tab w:val="right" w:pos="8306"/>
                    </w:tabs>
                    <w:spacing w:beforeLines="0" w:afterLines="0" w:line="280" w:lineRule="exact"/>
                    <w:ind w:firstLine="0" w:firstLineChars="0"/>
                    <w:jc w:val="left"/>
                    <w:rPr>
                      <w:rFonts w:ascii="Times New Roman"/>
                      <w:sz w:val="18"/>
                      <w:szCs w:val="18"/>
                    </w:rPr>
                  </w:pPr>
                  <w:r>
                    <w:rPr>
                      <w:rFonts w:ascii="Times New Roman"/>
                      <w:sz w:val="18"/>
                      <w:szCs w:val="18"/>
                      <w:lang w:bidi="ar"/>
                    </w:rPr>
                    <w:t>生态保护红线内，自然保护地核心保护区原则上禁止人为活动，其他区域严格禁止开发性、生产性建设活动。在符合现行法律法规前提下，除国家重大战略项目外，仅允许对生态功能不造成破坏的有限人为活动</w:t>
                  </w:r>
                </w:p>
              </w:tc>
              <w:tc>
                <w:tcPr>
                  <w:tcW w:w="1790" w:type="pct"/>
                  <w:vMerge w:val="continue"/>
                  <w:tcBorders>
                    <w:tl2br w:val="nil"/>
                    <w:tr2bl w:val="nil"/>
                  </w:tcBorders>
                  <w:vAlign w:val="center"/>
                </w:tcPr>
                <w:p>
                  <w:pPr>
                    <w:pStyle w:val="1716"/>
                    <w:spacing w:line="280" w:lineRule="exact"/>
                    <w:ind w:firstLine="0" w:firstLineChars="0"/>
                    <w:rPr>
                      <w:rFonts w:ascii="Times New Roman" w:hAnsi="Times New Roman"/>
                      <w:sz w:val="18"/>
                      <w:szCs w:val="18"/>
                    </w:rPr>
                  </w:pPr>
                </w:p>
              </w:tc>
              <w:tc>
                <w:tcPr>
                  <w:tcW w:w="383"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一般生态空间</w:t>
                  </w:r>
                </w:p>
              </w:tc>
              <w:tc>
                <w:tcPr>
                  <w:tcW w:w="27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总体要求</w:t>
                  </w:r>
                </w:p>
              </w:tc>
              <w:tc>
                <w:tcPr>
                  <w:tcW w:w="27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空间布局约束</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根据生态功能保护区的资源禀赋、环境容量，合理确定区域产业发展方向，限制高污染、高能耗、高物耗产业的发展。</w:t>
                  </w:r>
                </w:p>
                <w:p>
                  <w:pPr>
                    <w:spacing w:line="280" w:lineRule="exact"/>
                    <w:ind w:firstLine="0" w:firstLineChars="0"/>
                    <w:rPr>
                      <w:sz w:val="18"/>
                      <w:szCs w:val="18"/>
                      <w:lang w:bidi="ar"/>
                    </w:rPr>
                  </w:pPr>
                  <w:r>
                    <w:rPr>
                      <w:sz w:val="18"/>
                      <w:szCs w:val="18"/>
                      <w:lang w:bidi="ar"/>
                    </w:rPr>
                    <w:t>严格控制新增建设占用生态保护红线外的生态空间。符合区域准入条件的建设项目，涉及占用生态空间中的林地、草原等，按有关法律法规规定办理</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项目为钢铁行业</w:t>
                  </w:r>
                  <w:r>
                    <w:rPr>
                      <w:rFonts w:hint="eastAsia"/>
                      <w:sz w:val="18"/>
                      <w:szCs w:val="18"/>
                    </w:rPr>
                    <w:t>配</w:t>
                  </w:r>
                  <w:r>
                    <w:rPr>
                      <w:rFonts w:hint="eastAsia" w:ascii="Times New Roman" w:hAnsi="Times New Roman"/>
                      <w:sz w:val="18"/>
                      <w:szCs w:val="18"/>
                    </w:rPr>
                    <w:t>套资源综合利用项目</w:t>
                  </w:r>
                  <w:r>
                    <w:rPr>
                      <w:rFonts w:ascii="Times New Roman" w:hAnsi="Times New Roman"/>
                      <w:sz w:val="18"/>
                      <w:szCs w:val="18"/>
                    </w:rPr>
                    <w:t>，</w:t>
                  </w:r>
                  <w:r>
                    <w:rPr>
                      <w:rFonts w:hint="eastAsia" w:ascii="Times New Roman" w:hAnsi="Times New Roman"/>
                      <w:sz w:val="18"/>
                      <w:szCs w:val="18"/>
                    </w:rPr>
                    <w:t>不涉及钢铁产能变化</w:t>
                  </w:r>
                  <w:r>
                    <w:rPr>
                      <w:rFonts w:ascii="Times New Roman" w:hAnsi="Times New Roman"/>
                      <w:sz w:val="18"/>
                      <w:szCs w:val="18"/>
                    </w:rPr>
                    <w:t>；根据河北省生态保护红线分布图，项目不在生态保护红线范围内</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restar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大气环境</w:t>
                  </w: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空间布局约束</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1、全面推进沿海、迁安、滦州、迁西(遵化) 4大片区规划建设，加快推进钢铁企业整合搬迁项目建设，推进“公转铁”、“公转水”和物料集中输送管廊项目建设，形成“沿海临港、铁路沿线”产业新布局。</w:t>
                  </w:r>
                </w:p>
                <w:p>
                  <w:pPr>
                    <w:spacing w:line="280" w:lineRule="exact"/>
                    <w:ind w:firstLine="0" w:firstLineChars="0"/>
                    <w:rPr>
                      <w:sz w:val="18"/>
                      <w:szCs w:val="18"/>
                    </w:rPr>
                  </w:pPr>
                  <w:r>
                    <w:rPr>
                      <w:sz w:val="18"/>
                      <w:szCs w:val="18"/>
                      <w:lang w:bidi="ar"/>
                    </w:rPr>
                    <w:t>2、严禁钢铁、水泥和平板玻璃行业违规新增产能。新(改、扩)建项目严格执行产能置换、煤炭替代和污染物倍量削减替代制度，当地有相关园区规划的，原则上要进入园区并配套建设高效环保治理设施，符合园区规划环评、建设项目环评要求。</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项目为钢铁行业</w:t>
                  </w:r>
                  <w:r>
                    <w:rPr>
                      <w:rFonts w:hint="eastAsia"/>
                      <w:sz w:val="18"/>
                      <w:szCs w:val="18"/>
                    </w:rPr>
                    <w:t>配</w:t>
                  </w:r>
                  <w:r>
                    <w:rPr>
                      <w:rFonts w:hint="eastAsia" w:ascii="Times New Roman" w:hAnsi="Times New Roman"/>
                      <w:sz w:val="18"/>
                      <w:szCs w:val="18"/>
                    </w:rPr>
                    <w:t>套资源综合利用项目</w:t>
                  </w:r>
                  <w:r>
                    <w:rPr>
                      <w:rFonts w:ascii="Times New Roman" w:hAnsi="Times New Roman"/>
                      <w:sz w:val="18"/>
                      <w:szCs w:val="18"/>
                    </w:rPr>
                    <w:t>，</w:t>
                  </w:r>
                  <w:r>
                    <w:rPr>
                      <w:rFonts w:hint="eastAsia" w:ascii="Times New Roman" w:hAnsi="Times New Roman"/>
                      <w:sz w:val="18"/>
                      <w:szCs w:val="18"/>
                    </w:rPr>
                    <w:t>不涉及钢铁产能变化</w:t>
                  </w:r>
                  <w:r>
                    <w:rPr>
                      <w:rFonts w:ascii="Times New Roman" w:hAnsi="Times New Roman"/>
                      <w:sz w:val="18"/>
                      <w:szCs w:val="18"/>
                    </w:rPr>
                    <w:t>；</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污染物排放管控</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1、细颗粒物(PM</w:t>
                  </w:r>
                  <w:r>
                    <w:rPr>
                      <w:sz w:val="18"/>
                      <w:szCs w:val="18"/>
                      <w:vertAlign w:val="subscript"/>
                      <w:lang w:bidi="ar"/>
                    </w:rPr>
                    <w:t>2.5</w:t>
                  </w:r>
                  <w:r>
                    <w:rPr>
                      <w:sz w:val="18"/>
                      <w:szCs w:val="18"/>
                      <w:lang w:bidi="ar"/>
                    </w:rPr>
                    <w:t>) 年平均浓度不达标的城市，二氧化硫、氮氧化物、烟粉尘、挥发性有机物四项污染物均需进行2倍削减替代(燃煤发电机组大气污染物排放浓度基本达到燃气轮机组排放限值的除外)。</w:t>
                  </w:r>
                </w:p>
                <w:p>
                  <w:pPr>
                    <w:spacing w:line="280" w:lineRule="exact"/>
                    <w:ind w:firstLine="0" w:firstLineChars="0"/>
                    <w:rPr>
                      <w:sz w:val="18"/>
                      <w:szCs w:val="18"/>
                    </w:rPr>
                  </w:pPr>
                  <w:r>
                    <w:rPr>
                      <w:sz w:val="18"/>
                      <w:szCs w:val="18"/>
                      <w:lang w:bidi="ar"/>
                    </w:rPr>
                    <w:t>2、加大秋冬季工业企业生产调控力度，按照基本抵消新增污染物排放量的原则，对钢铁、建材、焦化、铸造、化工等高排放行业实行强化管控。</w:t>
                  </w:r>
                </w:p>
                <w:p>
                  <w:pPr>
                    <w:spacing w:line="280" w:lineRule="exact"/>
                    <w:ind w:firstLine="0" w:firstLineChars="0"/>
                    <w:rPr>
                      <w:sz w:val="18"/>
                      <w:szCs w:val="18"/>
                    </w:rPr>
                  </w:pPr>
                  <w:r>
                    <w:rPr>
                      <w:sz w:val="18"/>
                      <w:szCs w:val="18"/>
                      <w:lang w:bidi="ar"/>
                    </w:rPr>
                    <w:t>3、加快推进钢铁行业超低排放改造，积极推进平板玻璃行业和水泥行业污染治理升级改造。钢铁烧结(球团)、高炉、转炉、轧钢工序实施车间封闭生产。已实现超低排放企业，对标行业先进，持续推动污染物排放总量降低。</w:t>
                  </w:r>
                </w:p>
                <w:p>
                  <w:pPr>
                    <w:spacing w:line="280" w:lineRule="exact"/>
                    <w:ind w:firstLine="0" w:firstLineChars="0"/>
                    <w:rPr>
                      <w:sz w:val="18"/>
                      <w:szCs w:val="18"/>
                    </w:rPr>
                  </w:pPr>
                  <w:r>
                    <w:rPr>
                      <w:sz w:val="18"/>
                      <w:szCs w:val="18"/>
                      <w:lang w:bidi="ar"/>
                    </w:rPr>
                    <w:t>4、加快重点行业超低排放改造。深入实施工业企业排放达标计划，未达标排放的企业一律依法停产整治。以钢铁、焦化等行业为重点，全面实施超低排放改造。推进工业企业“持证排污”、“按证排污”，推行企业排放绩效管理、实行差异化管控。</w:t>
                  </w:r>
                </w:p>
                <w:p>
                  <w:pPr>
                    <w:spacing w:line="280" w:lineRule="exact"/>
                    <w:ind w:firstLine="0" w:firstLineChars="0"/>
                    <w:rPr>
                      <w:sz w:val="18"/>
                      <w:szCs w:val="18"/>
                    </w:rPr>
                  </w:pPr>
                  <w:r>
                    <w:rPr>
                      <w:sz w:val="18"/>
                      <w:szCs w:val="18"/>
                      <w:lang w:bidi="ar"/>
                    </w:rPr>
                    <w:t>5、开展钢铁、建材、火电、焦化、铸造等重点行业无组织排放排查工作，以县(市)区为单位分行业建立无组织排放改造清单和管理台账:物料存储运输等全部采用密闭形式。</w:t>
                  </w:r>
                </w:p>
                <w:p>
                  <w:pPr>
                    <w:spacing w:line="280" w:lineRule="exact"/>
                    <w:ind w:firstLine="0" w:firstLineChars="0"/>
                    <w:rPr>
                      <w:sz w:val="18"/>
                      <w:szCs w:val="18"/>
                    </w:rPr>
                  </w:pPr>
                  <w:r>
                    <w:rPr>
                      <w:sz w:val="18"/>
                      <w:szCs w:val="18"/>
                      <w:lang w:bidi="ar"/>
                    </w:rPr>
                    <w:t>6、加强机动车监管和尾气治理。加快柴油货车治理，推动货运经营整合升级、提质增效，加快规模化发展、连锁化经营。实施清洁柴油车、清洁运输和清洁油品行动，降低污染排放总量。加快推广应用新能源汽车，港口、机场、铁路货场等新增或更换作业车辆主要采用新能源汽车，加快完普优化充电基础设施。</w:t>
                  </w:r>
                </w:p>
                <w:p>
                  <w:pPr>
                    <w:spacing w:line="280" w:lineRule="exact"/>
                    <w:ind w:firstLine="0" w:firstLineChars="0"/>
                    <w:rPr>
                      <w:sz w:val="18"/>
                      <w:szCs w:val="18"/>
                      <w:lang w:bidi="ar"/>
                    </w:rPr>
                  </w:pPr>
                  <w:r>
                    <w:rPr>
                      <w:sz w:val="18"/>
                      <w:szCs w:val="18"/>
                      <w:lang w:bidi="ar"/>
                    </w:rPr>
                    <w:t>7、 加快推进“公转铁”。构建以铁路为主的大宗物料运输和集疏运体系，打通唐山港与大型工矿企业间的铁路运输通道，有效解决铁路运输“最后</w:t>
                  </w:r>
                  <w:r>
                    <w:rPr>
                      <w:rFonts w:hint="eastAsia"/>
                      <w:sz w:val="18"/>
                      <w:szCs w:val="18"/>
                      <w:lang w:bidi="ar"/>
                    </w:rPr>
                    <w:t>一</w:t>
                  </w:r>
                  <w:r>
                    <w:rPr>
                      <w:sz w:val="18"/>
                      <w:szCs w:val="18"/>
                      <w:lang w:bidi="ar"/>
                    </w:rPr>
                    <w:t>公里问题”，推进大宗物料运输基本实现利用铁路集疏港。</w:t>
                  </w:r>
                </w:p>
                <w:p>
                  <w:pPr>
                    <w:spacing w:line="280" w:lineRule="exact"/>
                    <w:ind w:firstLine="0" w:firstLineChars="0"/>
                    <w:rPr>
                      <w:sz w:val="18"/>
                      <w:szCs w:val="18"/>
                    </w:rPr>
                  </w:pPr>
                  <w:r>
                    <w:rPr>
                      <w:sz w:val="18"/>
                      <w:szCs w:val="18"/>
                    </w:rPr>
                    <w:t>8</w:t>
                  </w:r>
                  <w:r>
                    <w:rPr>
                      <w:sz w:val="18"/>
                      <w:szCs w:val="18"/>
                      <w:lang w:bidi="ar"/>
                    </w:rPr>
                    <w:t>、深化建筑施工扬尘专项整治，严格执行《河北省建筑施工扬尘防治标准》。县城及城市规划建设用地范围内建筑工地全面做到周边围挡、物料堆放覆盖、土方开挖湿法作业、路面硬化、出入车辆清洗、渣土车辆密闭运输“六个百分之百”，建筑工地实现视频监控和PM</w:t>
                  </w:r>
                  <w:r>
                    <w:rPr>
                      <w:sz w:val="18"/>
                      <w:szCs w:val="18"/>
                      <w:vertAlign w:val="subscript"/>
                      <w:lang w:bidi="ar"/>
                    </w:rPr>
                    <w:t>10</w:t>
                  </w:r>
                  <w:r>
                    <w:rPr>
                      <w:sz w:val="18"/>
                      <w:szCs w:val="18"/>
                      <w:lang w:bidi="ar"/>
                    </w:rPr>
                    <w:t>在线监测联网全覆盖。实施城市土地硬化和复绿，开展国土绿化行动。加强道路扬尘综合整治。</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highlight w:val="none"/>
                    </w:rPr>
                  </w:pPr>
                  <w:r>
                    <w:rPr>
                      <w:rFonts w:ascii="Times New Roman" w:hAnsi="Times New Roman"/>
                      <w:sz w:val="18"/>
                      <w:szCs w:val="18"/>
                    </w:rPr>
                    <w:t>1、项目评价区为环境质量不达标区</w:t>
                  </w:r>
                  <w:r>
                    <w:rPr>
                      <w:rFonts w:ascii="Times New Roman" w:hAnsi="Times New Roman"/>
                      <w:sz w:val="18"/>
                      <w:szCs w:val="18"/>
                      <w:highlight w:val="none"/>
                    </w:rPr>
                    <w:t>，</w:t>
                  </w:r>
                  <w:r>
                    <w:rPr>
                      <w:rFonts w:hint="eastAsia" w:ascii="Times New Roman" w:hAnsi="Times New Roman"/>
                      <w:sz w:val="18"/>
                      <w:szCs w:val="18"/>
                      <w:highlight w:val="none"/>
                      <w:lang w:val="en-US" w:eastAsia="zh-CN"/>
                    </w:rPr>
                    <w:t>已取得现役源倍量削减方案</w:t>
                  </w:r>
                  <w:r>
                    <w:rPr>
                      <w:rFonts w:ascii="Times New Roman" w:hAnsi="Times New Roman"/>
                      <w:sz w:val="18"/>
                      <w:szCs w:val="18"/>
                      <w:highlight w:val="none"/>
                    </w:rPr>
                    <w:t>。</w:t>
                  </w:r>
                </w:p>
                <w:p>
                  <w:pPr>
                    <w:pStyle w:val="1716"/>
                    <w:spacing w:line="280" w:lineRule="exact"/>
                    <w:ind w:firstLine="0" w:firstLineChars="0"/>
                    <w:rPr>
                      <w:rFonts w:ascii="Times New Roman" w:hAnsi="Times New Roman"/>
                      <w:sz w:val="18"/>
                      <w:szCs w:val="18"/>
                    </w:rPr>
                  </w:pPr>
                  <w:r>
                    <w:rPr>
                      <w:rFonts w:ascii="Times New Roman" w:hAnsi="Times New Roman"/>
                      <w:sz w:val="18"/>
                      <w:szCs w:val="18"/>
                    </w:rPr>
                    <w:t>2、项目为钢铁行业</w:t>
                  </w:r>
                  <w:r>
                    <w:rPr>
                      <w:rFonts w:hint="eastAsia"/>
                      <w:sz w:val="18"/>
                      <w:szCs w:val="18"/>
                    </w:rPr>
                    <w:t>配</w:t>
                  </w:r>
                  <w:r>
                    <w:rPr>
                      <w:rFonts w:hint="eastAsia" w:ascii="Times New Roman" w:hAnsi="Times New Roman"/>
                      <w:sz w:val="18"/>
                      <w:szCs w:val="18"/>
                    </w:rPr>
                    <w:t>套资源综合利用项目</w:t>
                  </w:r>
                  <w:r>
                    <w:rPr>
                      <w:rFonts w:ascii="Times New Roman" w:hAnsi="Times New Roman"/>
                      <w:sz w:val="18"/>
                      <w:szCs w:val="18"/>
                    </w:rPr>
                    <w:t>，</w:t>
                  </w:r>
                  <w:r>
                    <w:rPr>
                      <w:rFonts w:hint="eastAsia" w:ascii="Times New Roman" w:hAnsi="Times New Roman"/>
                      <w:sz w:val="18"/>
                      <w:szCs w:val="18"/>
                    </w:rPr>
                    <w:t>不涉及钢铁产能变化</w:t>
                  </w:r>
                  <w:r>
                    <w:rPr>
                      <w:rFonts w:ascii="Times New Roman" w:hAnsi="Times New Roman"/>
                      <w:sz w:val="18"/>
                      <w:szCs w:val="18"/>
                    </w:rPr>
                    <w:t>，不增加迁安市九江线材有限责任公司污染物总量指标</w:t>
                  </w:r>
                </w:p>
                <w:p>
                  <w:pPr>
                    <w:pStyle w:val="1716"/>
                    <w:spacing w:line="280" w:lineRule="exact"/>
                    <w:ind w:firstLine="0" w:firstLineChars="0"/>
                    <w:rPr>
                      <w:rFonts w:ascii="Times New Roman" w:hAnsi="Times New Roman"/>
                      <w:sz w:val="18"/>
                      <w:szCs w:val="18"/>
                    </w:rPr>
                  </w:pPr>
                  <w:r>
                    <w:rPr>
                      <w:rFonts w:ascii="Times New Roman" w:hAnsi="Times New Roman"/>
                      <w:sz w:val="18"/>
                      <w:szCs w:val="18"/>
                    </w:rPr>
                    <w:t>3、迁安市九江线材有限责任公司已按相关要求完成超低排放改造，各项污染物排放均满足超低排放标准要求</w:t>
                  </w:r>
                </w:p>
                <w:p>
                  <w:pPr>
                    <w:pStyle w:val="1716"/>
                    <w:spacing w:line="280" w:lineRule="exact"/>
                    <w:ind w:firstLine="0" w:firstLineChars="0"/>
                    <w:rPr>
                      <w:rFonts w:ascii="Times New Roman" w:hAnsi="Times New Roman"/>
                      <w:sz w:val="18"/>
                      <w:szCs w:val="18"/>
                    </w:rPr>
                  </w:pPr>
                  <w:r>
                    <w:rPr>
                      <w:rFonts w:ascii="Times New Roman" w:hAnsi="Times New Roman"/>
                      <w:sz w:val="18"/>
                      <w:szCs w:val="18"/>
                    </w:rPr>
                    <w:t>4、迁安市九江线材有限责任公司已完成超低排放改造并取得行政主管部门核发的排污许可证</w:t>
                  </w:r>
                </w:p>
                <w:p>
                  <w:pPr>
                    <w:pStyle w:val="1716"/>
                    <w:spacing w:line="280" w:lineRule="exact"/>
                    <w:ind w:firstLine="0" w:firstLineChars="0"/>
                    <w:rPr>
                      <w:rFonts w:ascii="Times New Roman" w:hAnsi="Times New Roman"/>
                      <w:sz w:val="18"/>
                      <w:szCs w:val="18"/>
                    </w:rPr>
                  </w:pPr>
                  <w:r>
                    <w:rPr>
                      <w:rFonts w:ascii="Times New Roman" w:hAnsi="Times New Roman"/>
                      <w:sz w:val="18"/>
                      <w:szCs w:val="18"/>
                    </w:rPr>
                    <w:t>5、项目基建期严格按照</w:t>
                  </w:r>
                  <w:r>
                    <w:rPr>
                      <w:rFonts w:ascii="Times New Roman" w:hAnsi="Times New Roman"/>
                      <w:sz w:val="18"/>
                      <w:szCs w:val="18"/>
                      <w:lang w:bidi="ar"/>
                    </w:rPr>
                    <w:t>《河北省建筑施工扬尘防治标准》相关要求进行，建筑工地全面做到周边围挡、物料堆放覆盖、土方开挖湿法作业、路面硬化、出入车辆清洗、渣土车辆密闭运输等“</w:t>
                  </w:r>
                  <w:r>
                    <w:rPr>
                      <w:rFonts w:hint="eastAsia" w:ascii="Times New Roman" w:hAnsi="Times New Roman"/>
                      <w:sz w:val="18"/>
                      <w:szCs w:val="18"/>
                      <w:lang w:bidi="ar"/>
                    </w:rPr>
                    <w:t>六</w:t>
                  </w:r>
                  <w:r>
                    <w:rPr>
                      <w:rFonts w:ascii="Times New Roman" w:hAnsi="Times New Roman"/>
                      <w:sz w:val="18"/>
                      <w:szCs w:val="18"/>
                      <w:lang w:bidi="ar"/>
                    </w:rPr>
                    <w:t>个百分之百”，建筑工地实现视频监控和PM</w:t>
                  </w:r>
                  <w:r>
                    <w:rPr>
                      <w:rFonts w:ascii="Times New Roman" w:hAnsi="Times New Roman"/>
                      <w:sz w:val="18"/>
                      <w:szCs w:val="18"/>
                      <w:vertAlign w:val="subscript"/>
                      <w:lang w:bidi="ar"/>
                    </w:rPr>
                    <w:t>10</w:t>
                  </w:r>
                  <w:r>
                    <w:rPr>
                      <w:rFonts w:ascii="Times New Roman" w:hAnsi="Times New Roman"/>
                      <w:sz w:val="18"/>
                      <w:szCs w:val="18"/>
                      <w:lang w:bidi="ar"/>
                    </w:rPr>
                    <w:t>在线监测联网全覆盖</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资源开发利用</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1、对新增耗煤项目实施减量替代。</w:t>
                  </w:r>
                </w:p>
                <w:p>
                  <w:pPr>
                    <w:spacing w:line="280" w:lineRule="exact"/>
                    <w:ind w:firstLine="0" w:firstLineChars="0"/>
                    <w:rPr>
                      <w:sz w:val="18"/>
                      <w:szCs w:val="18"/>
                    </w:rPr>
                  </w:pPr>
                  <w:r>
                    <w:rPr>
                      <w:sz w:val="18"/>
                      <w:szCs w:val="18"/>
                      <w:lang w:bidi="ar"/>
                    </w:rPr>
                    <w:t>2、提高能源利用效率。实施能源消耗总量和强度双控行动。健全节能标准体系，大力开发、推广节能高效技术和产品，实现重点用能行业、设备节能标准全覆盖。</w:t>
                  </w:r>
                </w:p>
                <w:p>
                  <w:pPr>
                    <w:spacing w:line="280" w:lineRule="exact"/>
                    <w:ind w:firstLine="0" w:firstLineChars="0"/>
                    <w:rPr>
                      <w:sz w:val="18"/>
                      <w:szCs w:val="18"/>
                      <w:lang w:bidi="ar"/>
                    </w:rPr>
                  </w:pPr>
                  <w:r>
                    <w:rPr>
                      <w:sz w:val="18"/>
                      <w:szCs w:val="18"/>
                      <w:lang w:bidi="ar"/>
                    </w:rPr>
                    <w:t>3、加强重点能耗行业节能。持续开展重点企业能效对标提升，在钢铁、焦化、水泥、平板玻璃等重点耗能行业实施能效“领跑者”行动，引导企业对标提升，实施高耗煤行业节能改造，推广中高温余热余压利用、低温烟气余热深度回收、空气源热泵供暖等节能技术，推进能量系统优化，提升能源利用效率。</w:t>
                  </w:r>
                </w:p>
              </w:tc>
              <w:tc>
                <w:tcPr>
                  <w:tcW w:w="1790" w:type="pct"/>
                  <w:tcBorders>
                    <w:tl2br w:val="nil"/>
                    <w:tr2bl w:val="nil"/>
                  </w:tcBorders>
                  <w:vAlign w:val="center"/>
                </w:tcPr>
                <w:p>
                  <w:pPr>
                    <w:spacing w:line="280" w:lineRule="exact"/>
                    <w:ind w:firstLine="0" w:firstLineChars="0"/>
                    <w:rPr>
                      <w:sz w:val="18"/>
                      <w:szCs w:val="18"/>
                      <w:lang w:bidi="ar"/>
                    </w:rPr>
                  </w:pPr>
                  <w:r>
                    <w:rPr>
                      <w:sz w:val="18"/>
                      <w:szCs w:val="18"/>
                      <w:lang w:bidi="ar"/>
                    </w:rPr>
                    <w:t>项目电气设备全部采用节能电机</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restar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水环境</w:t>
                  </w: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空间布局约束</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1、对上一年度水体不能达到目标要求或未完成水污染物总量减排任务的区域暂停审批新增排放水污染物的建设项目:未完成污水集中处理设施建设的工业园区(工业集聚区)，一律暂停审批和核准其增加水污染物排放的建设项目。</w:t>
                  </w:r>
                </w:p>
                <w:p>
                  <w:pPr>
                    <w:spacing w:line="280" w:lineRule="exact"/>
                    <w:ind w:firstLine="0" w:firstLineChars="0"/>
                    <w:rPr>
                      <w:sz w:val="18"/>
                      <w:szCs w:val="18"/>
                    </w:rPr>
                  </w:pPr>
                  <w:r>
                    <w:rPr>
                      <w:sz w:val="18"/>
                      <w:szCs w:val="18"/>
                      <w:lang w:bidi="ar"/>
                    </w:rPr>
                    <w:t>2、严格控制缺水地区、水污染严重地区和敏感区域高耗水、高污染行业发展，新建、改建、扩建重点行业建设项目实行主要污染物排放减量置换。</w:t>
                  </w:r>
                </w:p>
                <w:p>
                  <w:pPr>
                    <w:spacing w:line="280" w:lineRule="exact"/>
                    <w:ind w:firstLine="0" w:firstLineChars="0"/>
                    <w:rPr>
                      <w:sz w:val="18"/>
                      <w:szCs w:val="18"/>
                      <w:lang w:bidi="ar"/>
                    </w:rPr>
                  </w:pPr>
                  <w:r>
                    <w:rPr>
                      <w:sz w:val="18"/>
                      <w:szCs w:val="18"/>
                      <w:lang w:bidi="ar"/>
                    </w:rPr>
                    <w:t>3、重大项目原则上布局在优化开发区和重点开发区，并符合城乡规划和土地利用总体规划。</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1、项目位于河北迁安经济开发区，开发区已配套建设集中污水处理设施，园区内污水集中处理后达标排放</w:t>
                  </w:r>
                </w:p>
                <w:p>
                  <w:pPr>
                    <w:pStyle w:val="1716"/>
                    <w:spacing w:line="280" w:lineRule="exact"/>
                    <w:ind w:firstLine="0" w:firstLineChars="0"/>
                    <w:rPr>
                      <w:rFonts w:ascii="Times New Roman" w:hAnsi="Times New Roman"/>
                      <w:sz w:val="18"/>
                      <w:szCs w:val="18"/>
                    </w:rPr>
                  </w:pPr>
                  <w:r>
                    <w:rPr>
                      <w:rFonts w:ascii="Times New Roman" w:hAnsi="Times New Roman"/>
                      <w:sz w:val="18"/>
                      <w:szCs w:val="18"/>
                    </w:rPr>
                    <w:t>2、项目为钢铁行业</w:t>
                  </w:r>
                  <w:r>
                    <w:rPr>
                      <w:rFonts w:hint="eastAsia"/>
                      <w:sz w:val="18"/>
                      <w:szCs w:val="18"/>
                    </w:rPr>
                    <w:t>配</w:t>
                  </w:r>
                  <w:r>
                    <w:rPr>
                      <w:rFonts w:hint="eastAsia" w:ascii="Times New Roman" w:hAnsi="Times New Roman"/>
                      <w:sz w:val="18"/>
                      <w:szCs w:val="18"/>
                    </w:rPr>
                    <w:t>套资源综合利用项目</w:t>
                  </w:r>
                  <w:r>
                    <w:rPr>
                      <w:rFonts w:ascii="Times New Roman" w:hAnsi="Times New Roman"/>
                      <w:sz w:val="18"/>
                      <w:szCs w:val="18"/>
                    </w:rPr>
                    <w:t>，</w:t>
                  </w:r>
                  <w:r>
                    <w:rPr>
                      <w:rFonts w:hint="eastAsia" w:ascii="Times New Roman" w:hAnsi="Times New Roman"/>
                      <w:sz w:val="18"/>
                      <w:szCs w:val="18"/>
                    </w:rPr>
                    <w:t>本项目用水由迁安市九江线材有限责任公司统一供给，接自厂区东南侧现有生产生活给水管道</w:t>
                  </w:r>
                  <w:r>
                    <w:rPr>
                      <w:rFonts w:hint="eastAsia" w:ascii="Times New Roman"/>
                      <w:kern w:val="0"/>
                      <w:sz w:val="18"/>
                      <w:szCs w:val="18"/>
                    </w:rPr>
                    <w:t>，已办理取水许可证，可满足用水需求。</w:t>
                  </w:r>
                </w:p>
                <w:p>
                  <w:pPr>
                    <w:pStyle w:val="1716"/>
                    <w:spacing w:line="280" w:lineRule="exact"/>
                    <w:ind w:firstLine="0" w:firstLineChars="0"/>
                    <w:rPr>
                      <w:rFonts w:ascii="Times New Roman" w:hAnsi="Times New Roman"/>
                      <w:sz w:val="18"/>
                      <w:szCs w:val="18"/>
                    </w:rPr>
                  </w:pPr>
                  <w:r>
                    <w:rPr>
                      <w:rFonts w:ascii="Times New Roman" w:hAnsi="Times New Roman"/>
                      <w:sz w:val="18"/>
                      <w:szCs w:val="18"/>
                    </w:rPr>
                    <w:t>3、项目位于河北迁安经济开发区，符合开发区产业布局规划、土地利用规划，符合迁安市城乡总体规划</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污染物排放管控</w:t>
                  </w:r>
                </w:p>
              </w:tc>
              <w:tc>
                <w:tcPr>
                  <w:tcW w:w="2015" w:type="pct"/>
                  <w:tcBorders>
                    <w:tl2br w:val="nil"/>
                    <w:tr2bl w:val="nil"/>
                  </w:tcBorders>
                  <w:vAlign w:val="center"/>
                </w:tcPr>
                <w:p>
                  <w:pPr>
                    <w:spacing w:line="280" w:lineRule="exact"/>
                    <w:ind w:firstLine="0" w:firstLineChars="0"/>
                    <w:rPr>
                      <w:sz w:val="18"/>
                      <w:szCs w:val="18"/>
                      <w:lang w:bidi="ar"/>
                    </w:rPr>
                  </w:pPr>
                  <w:r>
                    <w:rPr>
                      <w:sz w:val="18"/>
                      <w:szCs w:val="18"/>
                      <w:lang w:bidi="ar"/>
                    </w:rPr>
                    <w:t>1、严格控制高污染、高耗水行业新增产能。产能过剩产业实行新增产能等量替代、涉水主要污染物排放同行业倍量替代。</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项目为钢铁行业</w:t>
                  </w:r>
                  <w:r>
                    <w:rPr>
                      <w:rFonts w:hint="eastAsia"/>
                      <w:sz w:val="18"/>
                      <w:szCs w:val="18"/>
                    </w:rPr>
                    <w:t>配</w:t>
                  </w:r>
                  <w:r>
                    <w:rPr>
                      <w:rFonts w:hint="eastAsia" w:ascii="Times New Roman" w:hAnsi="Times New Roman"/>
                      <w:sz w:val="18"/>
                      <w:szCs w:val="18"/>
                    </w:rPr>
                    <w:t>套资源综合利用项目</w:t>
                  </w:r>
                  <w:r>
                    <w:rPr>
                      <w:rFonts w:ascii="Times New Roman" w:hAnsi="Times New Roman"/>
                      <w:sz w:val="18"/>
                      <w:szCs w:val="18"/>
                    </w:rPr>
                    <w:t>，</w:t>
                  </w:r>
                  <w:r>
                    <w:rPr>
                      <w:rFonts w:hint="eastAsia" w:ascii="Times New Roman" w:hAnsi="Times New Roman"/>
                      <w:sz w:val="18"/>
                      <w:szCs w:val="18"/>
                    </w:rPr>
                    <w:t>项目用水由迁安市九江线材有限责任公司统一供给，接自厂区东南侧现有生产生活给水管道</w:t>
                  </w:r>
                  <w:r>
                    <w:rPr>
                      <w:rFonts w:hint="eastAsia" w:ascii="Times New Roman"/>
                      <w:kern w:val="0"/>
                      <w:sz w:val="18"/>
                      <w:szCs w:val="18"/>
                    </w:rPr>
                    <w:t>，已办理取水许可证，可满足用水需求。项目废水经</w:t>
                  </w:r>
                  <w:r>
                    <w:rPr>
                      <w:rFonts w:hint="eastAsia" w:ascii="Times New Roman" w:hAnsi="Times New Roman"/>
                      <w:kern w:val="2"/>
                      <w:sz w:val="18"/>
                      <w:szCs w:val="18"/>
                    </w:rPr>
                    <w:t>管道排入场地北侧厂区现有污水管道，最终排入迁安市九江线材有限责任公司污水处理站，处理后回用于生产，不外排。</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restar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土壤环境</w:t>
                  </w: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空间布局约束</w:t>
                  </w:r>
                </w:p>
              </w:tc>
              <w:tc>
                <w:tcPr>
                  <w:tcW w:w="2015" w:type="pct"/>
                  <w:tcBorders>
                    <w:tl2br w:val="nil"/>
                    <w:tr2bl w:val="nil"/>
                  </w:tcBorders>
                  <w:vAlign w:val="center"/>
                </w:tcPr>
                <w:p>
                  <w:pPr>
                    <w:pStyle w:val="128"/>
                    <w:tabs>
                      <w:tab w:val="center" w:pos="4153"/>
                      <w:tab w:val="right" w:pos="8306"/>
                    </w:tabs>
                    <w:adjustRightInd/>
                    <w:snapToGrid/>
                    <w:spacing w:beforeLines="0" w:afterLines="0" w:line="280" w:lineRule="exact"/>
                    <w:ind w:firstLine="0" w:firstLineChars="0"/>
                    <w:jc w:val="left"/>
                    <w:rPr>
                      <w:rFonts w:ascii="Times New Roman"/>
                      <w:sz w:val="18"/>
                      <w:szCs w:val="18"/>
                    </w:rPr>
                  </w:pPr>
                  <w:r>
                    <w:rPr>
                      <w:rFonts w:ascii="Times New Roman"/>
                      <w:sz w:val="18"/>
                      <w:szCs w:val="18"/>
                      <w:lang w:bidi="ar"/>
                    </w:rPr>
                    <w:t>1、严格执行相关行业企业布局选址要求，禁止在居民区和学校、医院、疗养院、养老院等单位周边新建、改建、扩建可能造成土壤污染的建设项目。</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项目位于河北迁安经济开发区，符合开发区产业布局规划、用地规划、符合迁安市城乡总体规划、符合河北省主体功能区划</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污染排放管控</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1、组织开展工业固体废物堆存场所环境整治，提升大宗固体废物综合利用能力，完善防扬散、防流失、防渗漏等设施。推动工业固废综合利用，促进工业固废减量化、资源化。推行生态环境保护综合执法，加强塑料废弃物回收、利用、处置等环节的环境监管，依法查处违法排污等行为。全面禁止洋垃圾入境，逐步实现固体废物零进口。</w:t>
                  </w:r>
                </w:p>
                <w:p>
                  <w:pPr>
                    <w:spacing w:line="280" w:lineRule="exact"/>
                    <w:ind w:firstLine="0" w:firstLineChars="0"/>
                    <w:rPr>
                      <w:sz w:val="18"/>
                      <w:szCs w:val="18"/>
                      <w:lang w:bidi="ar"/>
                    </w:rPr>
                  </w:pPr>
                  <w:r>
                    <w:rPr>
                      <w:sz w:val="18"/>
                      <w:szCs w:val="18"/>
                      <w:lang w:bidi="ar"/>
                    </w:rPr>
                    <w:t>2、加大危险废物产生、贮存、转运、利用、处置全流程监管力度。规范和完善医疗废物分类收集处置体系。</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1、项目固体废物按照“资源化、无害化”处置原则，</w:t>
                  </w:r>
                  <w:r>
                    <w:rPr>
                      <w:rFonts w:hint="eastAsia"/>
                      <w:sz w:val="18"/>
                      <w:szCs w:val="18"/>
                    </w:rPr>
                    <w:t>树脂再生后循环使用；除尘灰收集后作为化工原料外售。</w:t>
                  </w:r>
                </w:p>
                <w:p>
                  <w:pPr>
                    <w:pStyle w:val="1716"/>
                    <w:spacing w:line="280" w:lineRule="exact"/>
                    <w:ind w:firstLine="0" w:firstLineChars="0"/>
                    <w:rPr>
                      <w:rFonts w:ascii="Times New Roman" w:hAnsi="Times New Roman"/>
                      <w:sz w:val="18"/>
                      <w:szCs w:val="18"/>
                    </w:rPr>
                  </w:pPr>
                  <w:r>
                    <w:rPr>
                      <w:rFonts w:ascii="Times New Roman" w:hAnsi="Times New Roman"/>
                      <w:sz w:val="18"/>
                      <w:szCs w:val="18"/>
                    </w:rPr>
                    <w:t>2、危险废物暂存于危险废物间，并按照危险废物相关要求进行转移、处置</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vMerge w:val="continue"/>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环境风险防控</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1、危险废物产生企业和利用处置企业要根据土壤污染防治相关要求，完善突发环境事件应急预案内容，并向所在地环保部门备案。</w:t>
                  </w:r>
                </w:p>
                <w:p>
                  <w:pPr>
                    <w:spacing w:line="280" w:lineRule="exact"/>
                    <w:ind w:firstLine="0" w:firstLineChars="0"/>
                    <w:rPr>
                      <w:sz w:val="18"/>
                      <w:szCs w:val="18"/>
                      <w:lang w:bidi="ar"/>
                    </w:rPr>
                  </w:pPr>
                  <w:r>
                    <w:rPr>
                      <w:sz w:val="18"/>
                      <w:szCs w:val="18"/>
                      <w:lang w:bidi="ar"/>
                    </w:rPr>
                    <w:t>2、强化污染地块土壤环境联动监管。抓好退城搬迁工业企业工矿用地土壤环境监督管理，有色金属冶炼、石油加工、化工、焦化、电镀、制革、造纸、钢铁、制药、农药、印染等行业企业，以及土壤污染重点监管单位拆除设施、设备或者建筑物、构筑物，要制定土壤污染防治工作方案，防范拆除活动造成土壤和地下水污染，切实保障生态环境安全。</w:t>
                  </w:r>
                </w:p>
              </w:tc>
              <w:tc>
                <w:tcPr>
                  <w:tcW w:w="1790" w:type="pct"/>
                  <w:tcBorders>
                    <w:tl2br w:val="nil"/>
                    <w:tr2bl w:val="nil"/>
                  </w:tcBorders>
                  <w:vAlign w:val="center"/>
                </w:tcPr>
                <w:p>
                  <w:pPr>
                    <w:topLinePunct/>
                    <w:adjustRightInd w:val="0"/>
                    <w:snapToGrid w:val="0"/>
                    <w:spacing w:line="280" w:lineRule="exact"/>
                    <w:ind w:firstLine="0" w:firstLineChars="0"/>
                    <w:rPr>
                      <w:sz w:val="18"/>
                      <w:szCs w:val="18"/>
                    </w:rPr>
                  </w:pPr>
                  <w:r>
                    <w:rPr>
                      <w:rFonts w:hint="eastAsia"/>
                      <w:sz w:val="18"/>
                      <w:szCs w:val="18"/>
                    </w:rPr>
                    <w:t>迁安市九江线材有限责任公司</w:t>
                  </w:r>
                  <w:r>
                    <w:rPr>
                      <w:bCs/>
                      <w:sz w:val="18"/>
                      <w:szCs w:val="18"/>
                    </w:rPr>
                    <w:t>2022年1月20日编制并签署发布了《迁安市九江线材有限责任公司突发环境事件应急预案》，同时在唐山市生态环境局迁安市分局备案</w:t>
                  </w:r>
                  <w:r>
                    <w:rPr>
                      <w:rFonts w:hint="eastAsia"/>
                      <w:sz w:val="18"/>
                      <w:szCs w:val="18"/>
                    </w:rPr>
                    <w:t>：130283-2022-009-H；项目针对可能出现的突发环境事件制定了完善的风险防范措施，环境风险可接受</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水资源</w:t>
                  </w:r>
                </w:p>
              </w:tc>
              <w:tc>
                <w:tcPr>
                  <w:tcW w:w="540" w:type="pct"/>
                  <w:gridSpan w:val="2"/>
                  <w:tcBorders>
                    <w:tl2br w:val="nil"/>
                    <w:tr2bl w:val="nil"/>
                  </w:tcBorders>
                  <w:vAlign w:val="center"/>
                </w:tcPr>
                <w:p>
                  <w:pPr>
                    <w:spacing w:line="280" w:lineRule="exact"/>
                    <w:ind w:firstLine="0" w:firstLineChars="0"/>
                    <w:jc w:val="both"/>
                    <w:outlineLvl w:val="1"/>
                    <w:rPr>
                      <w:sz w:val="18"/>
                      <w:szCs w:val="18"/>
                    </w:rPr>
                  </w:pPr>
                  <w:r>
                    <w:rPr>
                      <w:sz w:val="18"/>
                      <w:szCs w:val="18"/>
                    </w:rPr>
                    <w:t>资源利用</w:t>
                  </w:r>
                </w:p>
                <w:p>
                  <w:pPr>
                    <w:pStyle w:val="128"/>
                    <w:tabs>
                      <w:tab w:val="center" w:pos="4153"/>
                      <w:tab w:val="right" w:pos="8306"/>
                    </w:tabs>
                    <w:spacing w:beforeLines="0" w:afterLines="0" w:line="280" w:lineRule="exact"/>
                    <w:ind w:firstLine="0" w:firstLineChars="0"/>
                    <w:jc w:val="both"/>
                    <w:rPr>
                      <w:rFonts w:ascii="Times New Roman"/>
                      <w:sz w:val="18"/>
                      <w:szCs w:val="18"/>
                    </w:rPr>
                  </w:pPr>
                  <w:r>
                    <w:rPr>
                      <w:rFonts w:ascii="Times New Roman"/>
                      <w:sz w:val="18"/>
                      <w:szCs w:val="18"/>
                    </w:rPr>
                    <w:t>效率要求</w:t>
                  </w:r>
                </w:p>
              </w:tc>
              <w:tc>
                <w:tcPr>
                  <w:tcW w:w="2015" w:type="pct"/>
                  <w:tcBorders>
                    <w:tl2br w:val="nil"/>
                    <w:tr2bl w:val="nil"/>
                  </w:tcBorders>
                  <w:vAlign w:val="center"/>
                </w:tcPr>
                <w:p>
                  <w:pPr>
                    <w:pStyle w:val="128"/>
                    <w:tabs>
                      <w:tab w:val="center" w:pos="4153"/>
                      <w:tab w:val="right" w:pos="8306"/>
                    </w:tabs>
                    <w:adjustRightInd/>
                    <w:snapToGrid/>
                    <w:spacing w:beforeLines="0" w:afterLines="0" w:line="280" w:lineRule="exact"/>
                    <w:ind w:firstLine="0" w:firstLineChars="0"/>
                    <w:jc w:val="left"/>
                    <w:rPr>
                      <w:rFonts w:ascii="Times New Roman"/>
                      <w:sz w:val="18"/>
                      <w:szCs w:val="18"/>
                    </w:rPr>
                  </w:pPr>
                  <w:r>
                    <w:rPr>
                      <w:rFonts w:ascii="Times New Roman"/>
                      <w:sz w:val="18"/>
                      <w:szCs w:val="18"/>
                      <w:lang w:bidi="ar"/>
                    </w:rPr>
                    <w:t>实施水资源消耗总量与强度双控行动。推进农业、工业和城镇节约集约用水，积极推广中水回收利用，持续提升水资源利用效率和效益。</w:t>
                  </w:r>
                </w:p>
              </w:tc>
              <w:tc>
                <w:tcPr>
                  <w:tcW w:w="1790" w:type="pct"/>
                  <w:tcBorders>
                    <w:tl2br w:val="nil"/>
                    <w:tr2bl w:val="nil"/>
                  </w:tcBorders>
                  <w:vAlign w:val="center"/>
                </w:tcPr>
                <w:p>
                  <w:pPr>
                    <w:pStyle w:val="1716"/>
                    <w:spacing w:line="280" w:lineRule="exact"/>
                    <w:ind w:firstLine="0" w:firstLineChars="0"/>
                    <w:jc w:val="both"/>
                    <w:rPr>
                      <w:rFonts w:ascii="Times New Roman" w:hAnsi="Times New Roman"/>
                      <w:sz w:val="18"/>
                      <w:szCs w:val="18"/>
                    </w:rPr>
                  </w:pPr>
                  <w:r>
                    <w:rPr>
                      <w:rFonts w:ascii="Times New Roman" w:hAnsi="Times New Roman"/>
                      <w:sz w:val="18"/>
                      <w:szCs w:val="18"/>
                    </w:rPr>
                    <w:t>项目用水由迁安市九江线材有限责任公司统一供给，接自厂区东南侧现有生产生活给水管道，已办理取水许可证，可满足用水需求。项目废水经管道排入场地北侧厂区现有污水管道，最终排入迁安市九江线材有限责任公司污水处理站，处理后回用于生产，不外排。</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能源</w:t>
                  </w:r>
                </w:p>
              </w:tc>
              <w:tc>
                <w:tcPr>
                  <w:tcW w:w="540" w:type="pct"/>
                  <w:gridSpan w:val="2"/>
                  <w:tcBorders>
                    <w:tl2br w:val="nil"/>
                    <w:tr2bl w:val="nil"/>
                  </w:tcBorders>
                  <w:vAlign w:val="center"/>
                </w:tcPr>
                <w:p>
                  <w:pPr>
                    <w:spacing w:line="280" w:lineRule="exact"/>
                    <w:ind w:firstLine="0" w:firstLineChars="0"/>
                    <w:jc w:val="both"/>
                    <w:outlineLvl w:val="1"/>
                    <w:rPr>
                      <w:sz w:val="18"/>
                      <w:szCs w:val="18"/>
                    </w:rPr>
                  </w:pPr>
                  <w:r>
                    <w:rPr>
                      <w:sz w:val="18"/>
                      <w:szCs w:val="18"/>
                    </w:rPr>
                    <w:t>资源利用效率要求</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1、禁燃区内不得新建燃烧煤炭、重油、渣油等高污染燃料的设施</w:t>
                  </w:r>
                  <w:r>
                    <w:rPr>
                      <w:rFonts w:hint="eastAsia"/>
                      <w:sz w:val="18"/>
                      <w:szCs w:val="18"/>
                      <w:lang w:bidi="ar"/>
                    </w:rPr>
                    <w:t>；</w:t>
                  </w:r>
                  <w:r>
                    <w:rPr>
                      <w:sz w:val="18"/>
                      <w:szCs w:val="18"/>
                      <w:lang w:bidi="ar"/>
                    </w:rPr>
                    <w:t>现有燃烧高污染燃料的设施，应当限期改用清洁能源</w:t>
                  </w:r>
                  <w:r>
                    <w:rPr>
                      <w:rFonts w:hint="eastAsia"/>
                      <w:sz w:val="18"/>
                      <w:szCs w:val="18"/>
                      <w:lang w:bidi="ar"/>
                    </w:rPr>
                    <w:t>；</w:t>
                  </w:r>
                  <w:r>
                    <w:rPr>
                      <w:sz w:val="18"/>
                      <w:szCs w:val="18"/>
                      <w:lang w:bidi="ar"/>
                    </w:rPr>
                    <w:t>未改用清洁能源替代的高污染燃料设施，应当配套建设先进工艺的脱硫、脱硝、除尘装置或者采取其他措施，控制二氧化硫、氮氧化物和烟尘等排放:仍未达到大气污染物排放标准的，应当停止使用。</w:t>
                  </w:r>
                </w:p>
                <w:p>
                  <w:pPr>
                    <w:spacing w:line="280" w:lineRule="exact"/>
                    <w:ind w:firstLine="0" w:firstLineChars="0"/>
                    <w:rPr>
                      <w:sz w:val="18"/>
                      <w:szCs w:val="18"/>
                      <w:lang w:bidi="ar"/>
                    </w:rPr>
                  </w:pPr>
                  <w:r>
                    <w:rPr>
                      <w:sz w:val="18"/>
                      <w:szCs w:val="18"/>
                      <w:lang w:bidi="ar"/>
                    </w:rPr>
                    <w:t>2、禁燃区内禁止原煤散烧。</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hint="eastAsia" w:ascii="Times New Roman" w:hAnsi="Times New Roman"/>
                      <w:sz w:val="18"/>
                      <w:szCs w:val="18"/>
                    </w:rPr>
                    <w:t>项目所用燃料为整合重组减量置换项目中高炉产生的高炉煤气和转炉煤气，配套建设先进工艺的脱硫、脱硝、除尘装置，</w:t>
                  </w:r>
                  <w:r>
                    <w:rPr>
                      <w:rFonts w:ascii="Times New Roman" w:hAnsi="Times New Roman"/>
                      <w:sz w:val="18"/>
                      <w:szCs w:val="18"/>
                      <w:lang w:bidi="ar"/>
                    </w:rPr>
                    <w:t>二氧化硫、氮氧化物和烟尘等</w:t>
                  </w:r>
                  <w:r>
                    <w:rPr>
                      <w:rFonts w:hint="eastAsia" w:ascii="Times New Roman" w:hAnsi="Times New Roman"/>
                      <w:sz w:val="18"/>
                      <w:szCs w:val="18"/>
                      <w:lang w:bidi="ar"/>
                    </w:rPr>
                    <w:t>达标</w:t>
                  </w:r>
                  <w:r>
                    <w:rPr>
                      <w:rFonts w:ascii="Times New Roman" w:hAnsi="Times New Roman"/>
                      <w:sz w:val="18"/>
                      <w:szCs w:val="18"/>
                      <w:lang w:bidi="ar"/>
                    </w:rPr>
                    <w:t>排放</w:t>
                  </w:r>
                  <w:r>
                    <w:rPr>
                      <w:rFonts w:hint="eastAsia" w:ascii="Times New Roman" w:hAnsi="Times New Roman"/>
                      <w:sz w:val="18"/>
                      <w:szCs w:val="18"/>
                      <w:lang w:bidi="ar"/>
                    </w:rPr>
                    <w:t>。</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产业总体布局要求</w:t>
                  </w: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空间布局约束</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1、严格执行《产业结构调整指导目录》《市场准入负面清单》《河北省禁止投资的产业目录》以及《河北省新增限制和淘汰类产业目录(2015 年版》相关要求。</w:t>
                  </w:r>
                </w:p>
                <w:p>
                  <w:pPr>
                    <w:spacing w:line="280" w:lineRule="exact"/>
                    <w:ind w:firstLine="0" w:firstLineChars="0"/>
                    <w:rPr>
                      <w:sz w:val="18"/>
                      <w:szCs w:val="18"/>
                    </w:rPr>
                  </w:pPr>
                  <w:r>
                    <w:rPr>
                      <w:sz w:val="18"/>
                      <w:szCs w:val="18"/>
                      <w:lang w:bidi="ar"/>
                    </w:rPr>
                    <w:t>2、严格控制生态脆弱或环境敏感地区建设“两高”行业项目。</w:t>
                  </w:r>
                </w:p>
                <w:p>
                  <w:pPr>
                    <w:spacing w:line="280" w:lineRule="exact"/>
                    <w:ind w:firstLine="0" w:firstLineChars="0"/>
                    <w:rPr>
                      <w:sz w:val="18"/>
                      <w:szCs w:val="18"/>
                    </w:rPr>
                  </w:pPr>
                  <w:r>
                    <w:rPr>
                      <w:sz w:val="18"/>
                      <w:szCs w:val="18"/>
                      <w:lang w:bidi="ar"/>
                    </w:rPr>
                    <w:t>3、严禁钢铁、焦化、水泥、平板玻璃、电解铝、有色、电石、铁合金、陶瓷等违规新增产能项目建设，鼓励建设大型超超临界和超临界机组，重点行业新(改、扩)建项目严格执行产能置换、煤炭、污染物倍量削减替代办法。</w:t>
                  </w:r>
                </w:p>
                <w:p>
                  <w:pPr>
                    <w:spacing w:line="280" w:lineRule="exact"/>
                    <w:ind w:firstLine="0" w:firstLineChars="0"/>
                    <w:rPr>
                      <w:sz w:val="18"/>
                      <w:szCs w:val="18"/>
                    </w:rPr>
                  </w:pPr>
                  <w:r>
                    <w:rPr>
                      <w:sz w:val="18"/>
                      <w:szCs w:val="18"/>
                      <w:lang w:bidi="ar"/>
                    </w:rPr>
                    <w:t>4、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地方有更严格倍量替代要求的，按照相关规定执行。</w:t>
                  </w:r>
                </w:p>
                <w:p>
                  <w:pPr>
                    <w:spacing w:line="280" w:lineRule="exact"/>
                    <w:ind w:firstLine="0" w:firstLineChars="0"/>
                    <w:rPr>
                      <w:sz w:val="18"/>
                      <w:szCs w:val="18"/>
                      <w:lang w:bidi="ar"/>
                    </w:rPr>
                  </w:pPr>
                  <w:r>
                    <w:rPr>
                      <w:sz w:val="18"/>
                      <w:szCs w:val="18"/>
                      <w:lang w:bidi="ar"/>
                    </w:rPr>
                    <w:t>5、以钢铁、水泥、平板玻璃、焦化、化工、制药等行业为重点，加快城市建成区重污染企业搬迁改造或关闭退出，对不符合国家产业政策、不符合当地产业布局规划的分散燃煤(燃重油等)炉窑，鼓励搬迁入园并进行集中治理，推进治理装备升级改造,建设规模化和集约化工业企业。</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1、项目为钢铁行业</w:t>
                  </w:r>
                  <w:r>
                    <w:rPr>
                      <w:rFonts w:hint="eastAsia"/>
                      <w:sz w:val="18"/>
                      <w:szCs w:val="18"/>
                    </w:rPr>
                    <w:t>配</w:t>
                  </w:r>
                  <w:r>
                    <w:rPr>
                      <w:rFonts w:hint="eastAsia" w:ascii="Times New Roman" w:hAnsi="Times New Roman"/>
                      <w:sz w:val="18"/>
                      <w:szCs w:val="18"/>
                    </w:rPr>
                    <w:t>套资源综合利用项目</w:t>
                  </w:r>
                  <w:r>
                    <w:rPr>
                      <w:rFonts w:ascii="Times New Roman" w:hAnsi="Times New Roman"/>
                      <w:sz w:val="18"/>
                      <w:szCs w:val="18"/>
                    </w:rPr>
                    <w:t>，</w:t>
                  </w:r>
                  <w:r>
                    <w:rPr>
                      <w:rFonts w:hint="eastAsia" w:ascii="Times New Roman" w:hAnsi="Times New Roman"/>
                      <w:sz w:val="18"/>
                      <w:szCs w:val="18"/>
                    </w:rPr>
                    <w:t>不涉及钢铁产能变化</w:t>
                  </w:r>
                  <w:r>
                    <w:rPr>
                      <w:rFonts w:ascii="Times New Roman" w:hAnsi="Times New Roman"/>
                      <w:sz w:val="18"/>
                      <w:szCs w:val="18"/>
                    </w:rPr>
                    <w:t>；属于《产业结构调整指导目录(2019年本)》</w:t>
                  </w:r>
                  <w:r>
                    <w:rPr>
                      <w:rFonts w:hint="eastAsia" w:ascii="Times New Roman" w:hAnsi="Times New Roman"/>
                      <w:sz w:val="18"/>
                      <w:szCs w:val="18"/>
                    </w:rPr>
                    <w:t>鼓励类项目</w:t>
                  </w:r>
                  <w:r>
                    <w:rPr>
                      <w:rFonts w:ascii="Times New Roman" w:hAnsi="Times New Roman"/>
                      <w:sz w:val="18"/>
                      <w:szCs w:val="18"/>
                    </w:rPr>
                    <w:t>、</w:t>
                  </w:r>
                  <w:r>
                    <w:rPr>
                      <w:rFonts w:hint="eastAsia" w:ascii="Times New Roman" w:hAnsi="Times New Roman"/>
                      <w:sz w:val="18"/>
                      <w:szCs w:val="18"/>
                    </w:rPr>
                    <w:t>不属于</w:t>
                  </w:r>
                  <w:r>
                    <w:rPr>
                      <w:rFonts w:ascii="Times New Roman" w:hAnsi="Times New Roman"/>
                      <w:sz w:val="18"/>
                      <w:szCs w:val="18"/>
                    </w:rPr>
                    <w:t>《河北省新增限制和淘汰类产业目录(2015年版)》、《河北省禁止投资的产业目录(2014年版)》中限制类与淘汰类，不属于</w:t>
                  </w:r>
                  <w:r>
                    <w:rPr>
                      <w:rFonts w:ascii="Times New Roman" w:hAnsi="Times New Roman"/>
                      <w:sz w:val="18"/>
                      <w:szCs w:val="18"/>
                      <w:lang w:bidi="ar"/>
                    </w:rPr>
                    <w:t>《市场准入负面清单》禁止类项目；</w:t>
                  </w:r>
                  <w:r>
                    <w:rPr>
                      <w:rFonts w:ascii="Times New Roman" w:hAnsi="Times New Roman"/>
                      <w:sz w:val="18"/>
                      <w:szCs w:val="18"/>
                    </w:rPr>
                    <w:t>符合国家产业政策</w:t>
                  </w:r>
                </w:p>
                <w:p>
                  <w:pPr>
                    <w:pStyle w:val="1716"/>
                    <w:spacing w:line="280" w:lineRule="exact"/>
                    <w:ind w:firstLine="0" w:firstLineChars="0"/>
                    <w:rPr>
                      <w:rFonts w:ascii="Times New Roman" w:hAnsi="Times New Roman"/>
                      <w:sz w:val="18"/>
                      <w:szCs w:val="18"/>
                    </w:rPr>
                  </w:pPr>
                  <w:r>
                    <w:rPr>
                      <w:rFonts w:ascii="Times New Roman" w:hAnsi="Times New Roman"/>
                      <w:sz w:val="18"/>
                      <w:szCs w:val="18"/>
                    </w:rPr>
                    <w:t>2、项目所在区域不属于生态脆弱或环境敏感区</w:t>
                  </w:r>
                </w:p>
                <w:p>
                  <w:pPr>
                    <w:pStyle w:val="1716"/>
                    <w:spacing w:line="280" w:lineRule="exact"/>
                    <w:ind w:firstLine="0" w:firstLineChars="0"/>
                    <w:rPr>
                      <w:rFonts w:ascii="Times New Roman" w:hAnsi="Times New Roman"/>
                      <w:sz w:val="18"/>
                      <w:szCs w:val="18"/>
                      <w:highlight w:val="none"/>
                    </w:rPr>
                  </w:pPr>
                  <w:r>
                    <w:rPr>
                      <w:rFonts w:ascii="Times New Roman" w:hAnsi="Times New Roman"/>
                      <w:sz w:val="18"/>
                      <w:szCs w:val="18"/>
                    </w:rPr>
                    <w:t>3</w:t>
                  </w:r>
                  <w:r>
                    <w:rPr>
                      <w:rFonts w:ascii="Times New Roman" w:hAnsi="Times New Roman"/>
                      <w:sz w:val="18"/>
                      <w:szCs w:val="18"/>
                      <w:highlight w:val="none"/>
                    </w:rPr>
                    <w:t>、</w:t>
                  </w:r>
                  <w:r>
                    <w:rPr>
                      <w:rFonts w:hint="eastAsia" w:ascii="Times New Roman" w:hAnsi="Times New Roman"/>
                      <w:sz w:val="18"/>
                      <w:szCs w:val="18"/>
                      <w:highlight w:val="none"/>
                    </w:rPr>
                    <w:t>项目</w:t>
                  </w:r>
                  <w:r>
                    <w:rPr>
                      <w:rFonts w:hint="eastAsia" w:ascii="Times New Roman" w:hAnsi="Times New Roman"/>
                      <w:sz w:val="18"/>
                      <w:szCs w:val="18"/>
                      <w:highlight w:val="none"/>
                      <w:lang w:val="en-US" w:eastAsia="zh-CN"/>
                    </w:rPr>
                    <w:t>已取得现役源倍量削减方案，</w:t>
                  </w:r>
                  <w:r>
                    <w:rPr>
                      <w:rFonts w:ascii="Times New Roman" w:hAnsi="Times New Roman"/>
                      <w:sz w:val="18"/>
                      <w:szCs w:val="18"/>
                      <w:highlight w:val="none"/>
                    </w:rPr>
                    <w:t>可实现主要污染物2倍削减。</w:t>
                  </w:r>
                </w:p>
                <w:p>
                  <w:pPr>
                    <w:pStyle w:val="1716"/>
                    <w:spacing w:line="280" w:lineRule="exact"/>
                    <w:ind w:firstLine="0" w:firstLineChars="0"/>
                    <w:rPr>
                      <w:rFonts w:ascii="Times New Roman" w:hAnsi="Times New Roman"/>
                      <w:sz w:val="18"/>
                      <w:szCs w:val="18"/>
                    </w:rPr>
                  </w:pPr>
                  <w:r>
                    <w:rPr>
                      <w:rFonts w:ascii="Times New Roman" w:hAnsi="Times New Roman"/>
                      <w:sz w:val="18"/>
                      <w:szCs w:val="18"/>
                      <w:highlight w:val="none"/>
                    </w:rPr>
                    <w:t>4、项目位于河北迁安经济开发区，不属于列入</w:t>
                  </w:r>
                  <w:r>
                    <w:rPr>
                      <w:rFonts w:ascii="Times New Roman" w:hAnsi="Times New Roman"/>
                      <w:sz w:val="18"/>
                      <w:szCs w:val="18"/>
                    </w:rPr>
                    <w:t>退城搬迁的企业，项目符合国家及地方产业政策，符合开发区产业布局规划和土地利用规划</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0"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项目入园要求</w:t>
                  </w:r>
                </w:p>
              </w:tc>
              <w:tc>
                <w:tcPr>
                  <w:tcW w:w="540" w:type="pct"/>
                  <w:gridSpan w:val="2"/>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空间布局约束</w:t>
                  </w:r>
                </w:p>
              </w:tc>
              <w:tc>
                <w:tcPr>
                  <w:tcW w:w="2015" w:type="pct"/>
                  <w:tcBorders>
                    <w:tl2br w:val="nil"/>
                    <w:tr2bl w:val="nil"/>
                  </w:tcBorders>
                  <w:vAlign w:val="center"/>
                </w:tcPr>
                <w:p>
                  <w:pPr>
                    <w:spacing w:line="280" w:lineRule="exact"/>
                    <w:ind w:firstLine="0" w:firstLineChars="0"/>
                    <w:rPr>
                      <w:sz w:val="18"/>
                      <w:szCs w:val="18"/>
                    </w:rPr>
                  </w:pPr>
                  <w:r>
                    <w:rPr>
                      <w:sz w:val="18"/>
                      <w:szCs w:val="18"/>
                      <w:lang w:bidi="ar"/>
                    </w:rPr>
                    <w:t>1、鼓励清洁生产水平先进的项目，禁止资源消耗高、环境污染重、废物难处理、不符合国家、河北省产业政策、行业准入条件和落后的生产技术、工艺、装备和产品入驻。</w:t>
                  </w:r>
                </w:p>
                <w:p>
                  <w:pPr>
                    <w:spacing w:line="280" w:lineRule="exact"/>
                    <w:ind w:firstLine="0" w:firstLineChars="0"/>
                    <w:rPr>
                      <w:sz w:val="18"/>
                      <w:szCs w:val="18"/>
                      <w:lang w:bidi="ar"/>
                    </w:rPr>
                  </w:pPr>
                  <w:r>
                    <w:rPr>
                      <w:sz w:val="18"/>
                      <w:szCs w:val="18"/>
                      <w:lang w:bidi="ar"/>
                    </w:rPr>
                    <w:t>2、造纸、焦化、氮肥、有色金属、印染、原料药制造、皮革、农药、电镀、钢铁、石灰、平板玻璃、石化、化工等高污染工业项目必须入园进区。加强企业入区管理，严格按照园区规划产业定位及产业布局安排入区项目，禁止不符产业定位的项目入驻。合理安排开发区发展时序，入驻企业选址与周围居民点的距离应满足大气环境防护距离要求，生活空间周边禁止布局高噪声生产企业。现有不符合开发区产业定位或产业布局的合法合规企业，不得在原址扩大生产规模，应提高污染治理水平和清洁生产水平。</w:t>
                  </w:r>
                </w:p>
              </w:tc>
              <w:tc>
                <w:tcPr>
                  <w:tcW w:w="1790" w:type="pct"/>
                  <w:tcBorders>
                    <w:tl2br w:val="nil"/>
                    <w:tr2bl w:val="nil"/>
                  </w:tcBorders>
                  <w:vAlign w:val="center"/>
                </w:tcPr>
                <w:p>
                  <w:pPr>
                    <w:pStyle w:val="1716"/>
                    <w:spacing w:line="280" w:lineRule="exact"/>
                    <w:ind w:firstLine="0" w:firstLineChars="0"/>
                    <w:rPr>
                      <w:rFonts w:ascii="Times New Roman" w:hAnsi="Times New Roman"/>
                      <w:sz w:val="18"/>
                      <w:szCs w:val="18"/>
                    </w:rPr>
                  </w:pPr>
                  <w:r>
                    <w:rPr>
                      <w:rFonts w:ascii="Times New Roman" w:hAnsi="Times New Roman"/>
                      <w:sz w:val="18"/>
                      <w:szCs w:val="18"/>
                    </w:rPr>
                    <w:t>1、项目</w:t>
                  </w:r>
                  <w:r>
                    <w:rPr>
                      <w:rFonts w:hint="eastAsia" w:ascii="Times New Roman" w:hAnsi="Times New Roman"/>
                      <w:sz w:val="18"/>
                      <w:szCs w:val="18"/>
                    </w:rPr>
                    <w:t>不属于</w:t>
                  </w:r>
                  <w:r>
                    <w:rPr>
                      <w:rFonts w:ascii="Times New Roman" w:hAnsi="Times New Roman"/>
                      <w:sz w:val="18"/>
                      <w:szCs w:val="18"/>
                      <w:lang w:bidi="ar"/>
                    </w:rPr>
                    <w:t>资源消耗高、环境污染重、废物难处理、不符合国家、河北省产业政策、行业准入条件和落后的生产技术、工艺、装备和产品。</w:t>
                  </w:r>
                </w:p>
                <w:p>
                  <w:pPr>
                    <w:pStyle w:val="1716"/>
                    <w:spacing w:line="280" w:lineRule="exact"/>
                    <w:ind w:firstLine="0" w:firstLineChars="0"/>
                    <w:rPr>
                      <w:rFonts w:ascii="Times New Roman" w:hAnsi="Times New Roman"/>
                      <w:sz w:val="18"/>
                      <w:szCs w:val="18"/>
                    </w:rPr>
                  </w:pPr>
                  <w:r>
                    <w:rPr>
                      <w:rFonts w:ascii="Times New Roman" w:hAnsi="Times New Roman"/>
                      <w:sz w:val="18"/>
                      <w:szCs w:val="18"/>
                    </w:rPr>
                    <w:t>2、项目位于河北迁安经济开发区，符合开发区产业布局规划、用地规划</w:t>
                  </w:r>
                </w:p>
              </w:tc>
              <w:tc>
                <w:tcPr>
                  <w:tcW w:w="383" w:type="pct"/>
                  <w:tcBorders>
                    <w:tl2br w:val="nil"/>
                    <w:tr2bl w:val="nil"/>
                  </w:tcBorders>
                  <w:vAlign w:val="center"/>
                </w:tcPr>
                <w:p>
                  <w:pPr>
                    <w:pStyle w:val="128"/>
                    <w:tabs>
                      <w:tab w:val="center" w:pos="4153"/>
                      <w:tab w:val="right" w:pos="8306"/>
                    </w:tabs>
                    <w:spacing w:beforeLines="0" w:afterLines="0" w:line="280" w:lineRule="exact"/>
                    <w:ind w:firstLine="0" w:firstLineChars="0"/>
                    <w:rPr>
                      <w:rFonts w:ascii="Times New Roman"/>
                      <w:sz w:val="18"/>
                      <w:szCs w:val="18"/>
                    </w:rPr>
                  </w:pPr>
                  <w:r>
                    <w:rPr>
                      <w:rFonts w:ascii="Times New Roman"/>
                      <w:sz w:val="18"/>
                      <w:szCs w:val="18"/>
                    </w:rPr>
                    <w:t>符合</w:t>
                  </w:r>
                </w:p>
              </w:tc>
            </w:tr>
          </w:tbl>
          <w:p>
            <w:pPr>
              <w:pStyle w:val="1717"/>
              <w:spacing w:line="360" w:lineRule="auto"/>
              <w:ind w:firstLine="420"/>
              <w:rPr>
                <w:rFonts w:ascii="Times New Roman" w:hAnsi="Times New Roman" w:cs="Times New Roman"/>
                <w:sz w:val="21"/>
                <w:szCs w:val="21"/>
              </w:rPr>
            </w:pPr>
            <w:r>
              <w:rPr>
                <w:rFonts w:ascii="Times New Roman" w:hAnsi="Times New Roman" w:cs="Times New Roman"/>
                <w:sz w:val="21"/>
                <w:szCs w:val="21"/>
              </w:rPr>
              <w:t>根据《唐山市生态环境准入清单》，项目位于</w:t>
            </w:r>
            <w:r>
              <w:rPr>
                <w:rFonts w:ascii="Times New Roman" w:hAnsi="Times New Roman" w:cs="Times New Roman"/>
                <w:sz w:val="21"/>
                <w:szCs w:val="21"/>
                <w:lang w:val="en-US" w:eastAsia="zh-CN" w:bidi="en-US"/>
              </w:rPr>
              <w:t>ZH13</w:t>
            </w:r>
            <w:r>
              <w:rPr>
                <w:rFonts w:ascii="Times New Roman" w:hAnsi="Times New Roman" w:cs="Times New Roman"/>
                <w:sz w:val="21"/>
                <w:szCs w:val="21"/>
              </w:rPr>
              <w:t>028320003重点管控单元。该单元管控措施及符合性分析见表</w:t>
            </w:r>
            <w:r>
              <w:rPr>
                <w:rFonts w:ascii="Times New Roman" w:hAnsi="Times New Roman" w:cs="Times New Roman"/>
                <w:sz w:val="21"/>
                <w:szCs w:val="21"/>
                <w:lang w:val="en-US" w:eastAsia="zh-CN"/>
              </w:rPr>
              <w:t>8</w:t>
            </w:r>
            <w:r>
              <w:rPr>
                <w:rFonts w:ascii="Times New Roman" w:hAnsi="Times New Roman" w:cs="Times New Roman"/>
                <w:sz w:val="21"/>
                <w:szCs w:val="21"/>
              </w:rPr>
              <w:t>。</w:t>
            </w:r>
          </w:p>
          <w:p>
            <w:pPr>
              <w:ind w:firstLine="0" w:firstLineChars="0"/>
              <w:jc w:val="center"/>
              <w:rPr>
                <w:b/>
                <w:sz w:val="21"/>
                <w:szCs w:val="21"/>
              </w:rPr>
            </w:pPr>
            <w:r>
              <w:rPr>
                <w:b/>
                <w:sz w:val="21"/>
                <w:szCs w:val="21"/>
              </w:rPr>
              <w:t>表</w:t>
            </w:r>
            <w:r>
              <w:rPr>
                <w:rFonts w:hint="eastAsia"/>
                <w:b/>
                <w:sz w:val="21"/>
                <w:szCs w:val="21"/>
              </w:rPr>
              <w:t>8</w:t>
            </w:r>
            <w:r>
              <w:rPr>
                <w:b/>
                <w:sz w:val="21"/>
                <w:szCs w:val="21"/>
              </w:rPr>
              <w:t xml:space="preserve">   </w:t>
            </w:r>
            <w:r>
              <w:rPr>
                <w:rFonts w:hint="eastAsia"/>
                <w:b/>
                <w:sz w:val="21"/>
                <w:szCs w:val="21"/>
              </w:rPr>
              <w:t xml:space="preserve"> </w:t>
            </w:r>
            <w:r>
              <w:rPr>
                <w:b/>
                <w:sz w:val="21"/>
                <w:szCs w:val="21"/>
              </w:rPr>
              <w:t>与唐山市生态环境准入清单的符合性分析</w:t>
            </w:r>
          </w:p>
          <w:tbl>
            <w:tblPr>
              <w:tblStyle w:val="7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573"/>
              <w:gridCol w:w="2781"/>
              <w:gridCol w:w="2203"/>
              <w:gridCol w:w="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6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单元类别</w:t>
                  </w:r>
                </w:p>
              </w:tc>
              <w:tc>
                <w:tcPr>
                  <w:tcW w:w="47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维度</w:t>
                  </w:r>
                </w:p>
              </w:tc>
              <w:tc>
                <w:tcPr>
                  <w:tcW w:w="197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管控要求</w:t>
                  </w:r>
                </w:p>
              </w:tc>
              <w:tc>
                <w:tcPr>
                  <w:tcW w:w="158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项目情况</w:t>
                  </w:r>
                </w:p>
              </w:tc>
              <w:tc>
                <w:tcPr>
                  <w:tcW w:w="41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pct"/>
                  <w:vMerge w:val="restart"/>
                  <w:tcBorders>
                    <w:top w:val="single" w:color="auto" w:sz="4" w:space="0"/>
                    <w:left w:val="single" w:color="auto" w:sz="4" w:space="0"/>
                    <w:right w:val="single" w:color="auto" w:sz="4" w:space="0"/>
                  </w:tcBorders>
                  <w:tcMar>
                    <w:left w:w="28" w:type="dxa"/>
                    <w:right w:w="28" w:type="dxa"/>
                  </w:tcMar>
                  <w:vAlign w:val="center"/>
                </w:tcPr>
                <w:p>
                  <w:pPr>
                    <w:pStyle w:val="1717"/>
                    <w:spacing w:line="240" w:lineRule="exact"/>
                    <w:ind w:firstLine="0" w:firstLineChars="0"/>
                    <w:jc w:val="center"/>
                    <w:rPr>
                      <w:rFonts w:ascii="Times New Roman" w:hAnsi="Times New Roman" w:cs="Times New Roman"/>
                      <w:sz w:val="18"/>
                      <w:szCs w:val="18"/>
                    </w:rPr>
                  </w:pPr>
                  <w:r>
                    <w:rPr>
                      <w:rFonts w:ascii="Times New Roman" w:hAnsi="Times New Roman" w:cs="Times New Roman"/>
                      <w:sz w:val="18"/>
                      <w:szCs w:val="18"/>
                      <w:lang w:val="en-US" w:eastAsia="en-US" w:bidi="en-US"/>
                    </w:rPr>
                    <w:t>ZH13</w:t>
                  </w:r>
                  <w:r>
                    <w:rPr>
                      <w:rFonts w:ascii="Times New Roman" w:hAnsi="Times New Roman" w:cs="Times New Roman"/>
                      <w:sz w:val="18"/>
                      <w:szCs w:val="18"/>
                    </w:rPr>
                    <w:t>028320003</w:t>
                  </w:r>
                </w:p>
              </w:tc>
              <w:tc>
                <w:tcPr>
                  <w:tcW w:w="470" w:type="pct"/>
                  <w:tcBorders>
                    <w:top w:val="single" w:color="auto" w:sz="4" w:space="0"/>
                    <w:left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空间布局约束</w:t>
                  </w:r>
                </w:p>
              </w:tc>
              <w:tc>
                <w:tcPr>
                  <w:tcW w:w="197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717"/>
                    <w:tabs>
                      <w:tab w:val="left" w:pos="288"/>
                    </w:tabs>
                    <w:spacing w:line="240" w:lineRule="exact"/>
                    <w:ind w:firstLine="0" w:firstLineChars="0"/>
                    <w:jc w:val="both"/>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ab/>
                  </w:r>
                  <w:r>
                    <w:rPr>
                      <w:rFonts w:ascii="Times New Roman" w:hAnsi="Times New Roman" w:cs="Times New Roman"/>
                      <w:sz w:val="18"/>
                      <w:szCs w:val="18"/>
                    </w:rPr>
                    <w:t>禁止新建增加焦化产能的项目</w:t>
                  </w:r>
                  <w:r>
                    <w:rPr>
                      <w:rFonts w:ascii="Times New Roman" w:hAnsi="Times New Roman" w:cs="Times New Roman"/>
                      <w:sz w:val="18"/>
                      <w:szCs w:val="18"/>
                      <w:lang w:eastAsia="zh-CN"/>
                    </w:rPr>
                    <w:t>(</w:t>
                  </w:r>
                  <w:r>
                    <w:rPr>
                      <w:rFonts w:ascii="Times New Roman" w:hAnsi="Times New Roman" w:cs="Times New Roman"/>
                      <w:sz w:val="18"/>
                      <w:szCs w:val="18"/>
                    </w:rPr>
                    <w:t>减量置换除外</w:t>
                  </w:r>
                  <w:r>
                    <w:rPr>
                      <w:rFonts w:ascii="Times New Roman" w:hAnsi="Times New Roman" w:cs="Times New Roman"/>
                      <w:sz w:val="18"/>
                      <w:szCs w:val="18"/>
                      <w:lang w:eastAsia="zh-CN"/>
                    </w:rPr>
                    <w:t>)</w:t>
                  </w:r>
                  <w:r>
                    <w:rPr>
                      <w:rFonts w:ascii="Times New Roman" w:hAnsi="Times New Roman" w:cs="Times New Roman"/>
                      <w:sz w:val="18"/>
                      <w:szCs w:val="18"/>
                    </w:rPr>
                    <w:t>。</w:t>
                  </w:r>
                </w:p>
                <w:p>
                  <w:pPr>
                    <w:pStyle w:val="1717"/>
                    <w:tabs>
                      <w:tab w:val="left" w:pos="302"/>
                    </w:tabs>
                    <w:spacing w:line="240" w:lineRule="exact"/>
                    <w:ind w:firstLine="0" w:firstLineChars="0"/>
                    <w:jc w:val="both"/>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sz w:val="18"/>
                      <w:szCs w:val="18"/>
                    </w:rPr>
                    <w:tab/>
                  </w:r>
                  <w:r>
                    <w:rPr>
                      <w:rFonts w:ascii="Times New Roman" w:hAnsi="Times New Roman" w:cs="Times New Roman"/>
                      <w:sz w:val="18"/>
                      <w:szCs w:val="18"/>
                    </w:rPr>
                    <w:t>禁止新建增加钢铁、焦化、平板玻璃产能的项目</w:t>
                  </w:r>
                  <w:r>
                    <w:rPr>
                      <w:rFonts w:ascii="Times New Roman" w:hAnsi="Times New Roman" w:cs="Times New Roman"/>
                      <w:sz w:val="18"/>
                      <w:szCs w:val="18"/>
                      <w:lang w:eastAsia="zh-CN"/>
                    </w:rPr>
                    <w:t>(</w:t>
                  </w:r>
                  <w:r>
                    <w:rPr>
                      <w:rFonts w:ascii="Times New Roman" w:hAnsi="Times New Roman" w:cs="Times New Roman"/>
                      <w:sz w:val="18"/>
                      <w:szCs w:val="18"/>
                    </w:rPr>
                    <w:t>减量置换除外</w:t>
                  </w:r>
                  <w:r>
                    <w:rPr>
                      <w:rFonts w:ascii="Times New Roman" w:hAnsi="Times New Roman" w:cs="Times New Roman"/>
                      <w:sz w:val="18"/>
                      <w:szCs w:val="18"/>
                      <w:lang w:eastAsia="zh-CN"/>
                    </w:rPr>
                    <w:t>)</w:t>
                  </w:r>
                  <w:r>
                    <w:rPr>
                      <w:rFonts w:ascii="Times New Roman" w:hAnsi="Times New Roman" w:cs="Times New Roman"/>
                      <w:sz w:val="18"/>
                      <w:szCs w:val="18"/>
                    </w:rPr>
                    <w:t>。</w:t>
                  </w:r>
                </w:p>
                <w:p>
                  <w:pPr>
                    <w:pStyle w:val="1717"/>
                    <w:tabs>
                      <w:tab w:val="left" w:pos="298"/>
                    </w:tabs>
                    <w:spacing w:line="240" w:lineRule="exact"/>
                    <w:ind w:firstLine="0" w:firstLineChars="0"/>
                    <w:jc w:val="both"/>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sz w:val="18"/>
                      <w:szCs w:val="18"/>
                    </w:rPr>
                    <w:tab/>
                  </w:r>
                  <w:r>
                    <w:rPr>
                      <w:rFonts w:ascii="Times New Roman" w:hAnsi="Times New Roman" w:cs="Times New Roman"/>
                      <w:sz w:val="18"/>
                      <w:szCs w:val="18"/>
                    </w:rPr>
                    <w:t>禁止新建铁合金冶炼</w:t>
                  </w:r>
                  <w:r>
                    <w:rPr>
                      <w:rFonts w:ascii="Times New Roman" w:hAnsi="Times New Roman" w:cs="Times New Roman"/>
                      <w:sz w:val="18"/>
                      <w:szCs w:val="18"/>
                      <w:lang w:eastAsia="zh-CN"/>
                    </w:rPr>
                    <w:t>(</w:t>
                  </w:r>
                  <w:r>
                    <w:rPr>
                      <w:rFonts w:ascii="Times New Roman" w:hAnsi="Times New Roman" w:cs="Times New Roman"/>
                      <w:sz w:val="18"/>
                      <w:szCs w:val="18"/>
                    </w:rPr>
                    <w:t>产能置换除外</w:t>
                  </w:r>
                  <w:r>
                    <w:rPr>
                      <w:rFonts w:ascii="Times New Roman" w:hAnsi="Times New Roman" w:cs="Times New Roman"/>
                      <w:sz w:val="18"/>
                      <w:szCs w:val="18"/>
                      <w:lang w:eastAsia="zh-CN"/>
                    </w:rPr>
                    <w:t>)</w:t>
                  </w:r>
                  <w:r>
                    <w:rPr>
                      <w:rFonts w:ascii="Times New Roman" w:hAnsi="Times New Roman" w:cs="Times New Roman"/>
                      <w:sz w:val="18"/>
                      <w:szCs w:val="18"/>
                    </w:rPr>
                    <w:t>。</w:t>
                  </w:r>
                </w:p>
                <w:p>
                  <w:pPr>
                    <w:pStyle w:val="1717"/>
                    <w:tabs>
                      <w:tab w:val="left" w:pos="298"/>
                    </w:tabs>
                    <w:spacing w:line="240" w:lineRule="exact"/>
                    <w:ind w:firstLine="0" w:firstLineChars="0"/>
                    <w:jc w:val="both"/>
                    <w:rPr>
                      <w:rFonts w:ascii="Times New Roman" w:hAnsi="Times New Roman" w:cs="Times New Roman"/>
                      <w:sz w:val="18"/>
                      <w:szCs w:val="18"/>
                    </w:rPr>
                  </w:pPr>
                  <w:r>
                    <w:rPr>
                      <w:rFonts w:ascii="Times New Roman" w:hAnsi="Times New Roman" w:cs="Times New Roman"/>
                      <w:sz w:val="18"/>
                      <w:szCs w:val="18"/>
                    </w:rPr>
                    <w:t>4、</w:t>
                  </w:r>
                  <w:r>
                    <w:rPr>
                      <w:rFonts w:ascii="Times New Roman" w:hAnsi="Times New Roman" w:cs="Times New Roman"/>
                      <w:sz w:val="18"/>
                      <w:szCs w:val="18"/>
                    </w:rPr>
                    <w:tab/>
                  </w:r>
                  <w:r>
                    <w:rPr>
                      <w:rFonts w:ascii="Times New Roman" w:hAnsi="Times New Roman" w:cs="Times New Roman"/>
                      <w:sz w:val="18"/>
                      <w:szCs w:val="18"/>
                    </w:rPr>
                    <w:t>禁止新建独立热轧项目。</w:t>
                  </w:r>
                </w:p>
                <w:p>
                  <w:pPr>
                    <w:pStyle w:val="128"/>
                    <w:spacing w:beforeLines="0" w:afterLines="0" w:line="240" w:lineRule="exact"/>
                    <w:ind w:firstLine="0" w:firstLineChars="0"/>
                    <w:jc w:val="both"/>
                    <w:rPr>
                      <w:rFonts w:ascii="Times New Roman"/>
                      <w:sz w:val="18"/>
                      <w:szCs w:val="18"/>
                    </w:rPr>
                  </w:pPr>
                  <w:r>
                    <w:rPr>
                      <w:rFonts w:ascii="Times New Roman"/>
                      <w:sz w:val="18"/>
                      <w:szCs w:val="18"/>
                    </w:rPr>
                    <w:t>5、</w:t>
                  </w:r>
                  <w:r>
                    <w:rPr>
                      <w:rFonts w:ascii="Times New Roman"/>
                      <w:sz w:val="18"/>
                      <w:szCs w:val="18"/>
                    </w:rPr>
                    <w:tab/>
                  </w:r>
                  <w:r>
                    <w:rPr>
                      <w:rFonts w:ascii="Times New Roman"/>
                      <w:sz w:val="18"/>
                      <w:szCs w:val="18"/>
                    </w:rPr>
                    <w:t>禁止新建涉及重金属重点行业的有重金属排放的项目。</w:t>
                  </w:r>
                </w:p>
              </w:tc>
              <w:tc>
                <w:tcPr>
                  <w:tcW w:w="158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jc w:val="both"/>
                    <w:rPr>
                      <w:rFonts w:ascii="Times New Roman"/>
                      <w:sz w:val="18"/>
                      <w:szCs w:val="18"/>
                    </w:rPr>
                  </w:pPr>
                  <w:r>
                    <w:rPr>
                      <w:rFonts w:ascii="Times New Roman"/>
                      <w:sz w:val="18"/>
                      <w:szCs w:val="18"/>
                    </w:rPr>
                    <w:t>项目为钢铁行业配套资源综合利用项目，不涉及钢铁产能，项目不涉及铅、汞、铬、镉和类金属砷；</w:t>
                  </w:r>
                </w:p>
              </w:tc>
              <w:tc>
                <w:tcPr>
                  <w:tcW w:w="41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pct"/>
                  <w:vMerge w:val="continue"/>
                  <w:tcBorders>
                    <w:left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p>
              </w:tc>
              <w:tc>
                <w:tcPr>
                  <w:tcW w:w="470" w:type="pct"/>
                  <w:tcBorders>
                    <w:top w:val="single" w:color="auto" w:sz="4" w:space="0"/>
                    <w:left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污染物排放管控</w:t>
                  </w:r>
                </w:p>
              </w:tc>
              <w:tc>
                <w:tcPr>
                  <w:tcW w:w="197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717"/>
                    <w:tabs>
                      <w:tab w:val="left" w:pos="355"/>
                    </w:tabs>
                    <w:spacing w:line="240" w:lineRule="exact"/>
                    <w:ind w:firstLine="0" w:firstLineChars="0"/>
                    <w:jc w:val="both"/>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ab/>
                  </w:r>
                  <w:r>
                    <w:rPr>
                      <w:rFonts w:ascii="Times New Roman" w:hAnsi="Times New Roman" w:cs="Times New Roman"/>
                      <w:sz w:val="18"/>
                      <w:szCs w:val="18"/>
                    </w:rPr>
                    <w:t>符合改造条件的钢铁企业全部达到《钢铁工业大气污染物超低排放标准》</w:t>
                  </w:r>
                  <w:r>
                    <w:rPr>
                      <w:rFonts w:ascii="Times New Roman" w:hAnsi="Times New Roman" w:cs="Times New Roman"/>
                      <w:sz w:val="18"/>
                      <w:szCs w:val="18"/>
                      <w:lang w:val="en-US" w:eastAsia="zh-CN" w:bidi="en-US"/>
                    </w:rPr>
                    <w:t>(DB</w:t>
                  </w:r>
                  <w:r>
                    <w:rPr>
                      <w:rFonts w:ascii="Times New Roman" w:hAnsi="Times New Roman" w:cs="Times New Roman"/>
                      <w:sz w:val="18"/>
                      <w:szCs w:val="18"/>
                    </w:rPr>
                    <w:t>13</w:t>
                  </w:r>
                  <w:r>
                    <w:rPr>
                      <w:rFonts w:ascii="Times New Roman" w:hAnsi="Times New Roman" w:cs="Times New Roman"/>
                      <w:sz w:val="18"/>
                      <w:szCs w:val="18"/>
                      <w:lang w:val="en-US" w:eastAsia="zh-CN" w:bidi="en-US"/>
                    </w:rPr>
                    <w:t>2169</w:t>
                  </w:r>
                  <w:r>
                    <w:rPr>
                      <w:rFonts w:hint="eastAsia" w:ascii="Times New Roman" w:hAnsi="Times New Roman" w:cs="Times New Roman"/>
                      <w:sz w:val="18"/>
                      <w:szCs w:val="18"/>
                      <w:lang w:val="en-US" w:eastAsia="zh-CN" w:bidi="en-US"/>
                    </w:rPr>
                    <w:t>-</w:t>
                  </w:r>
                  <w:r>
                    <w:rPr>
                      <w:rFonts w:ascii="Times New Roman" w:hAnsi="Times New Roman" w:cs="Times New Roman"/>
                      <w:sz w:val="18"/>
                      <w:szCs w:val="18"/>
                      <w:lang w:val="en-US" w:eastAsia="zh-CN" w:bidi="en-US"/>
                    </w:rPr>
                    <w:t>2018</w:t>
                  </w:r>
                  <w:r>
                    <w:rPr>
                      <w:rFonts w:ascii="Times New Roman" w:hAnsi="Times New Roman" w:cs="Times New Roman"/>
                      <w:sz w:val="18"/>
                      <w:szCs w:val="18"/>
                      <w:lang w:eastAsia="zh-CN"/>
                    </w:rPr>
                    <w:t>)</w:t>
                  </w:r>
                  <w:r>
                    <w:rPr>
                      <w:rFonts w:ascii="Times New Roman" w:hAnsi="Times New Roman" w:cs="Times New Roman"/>
                      <w:sz w:val="18"/>
                      <w:szCs w:val="18"/>
                    </w:rPr>
                    <w:t>、《唐山市钢铁、焦化超低排放和燃煤电厂深度减排实施方案》</w:t>
                  </w:r>
                  <w:r>
                    <w:rPr>
                      <w:rFonts w:ascii="Times New Roman" w:hAnsi="Times New Roman" w:cs="Times New Roman"/>
                      <w:sz w:val="18"/>
                      <w:szCs w:val="18"/>
                      <w:lang w:eastAsia="zh-CN"/>
                    </w:rPr>
                    <w:t>(</w:t>
                  </w:r>
                  <w:r>
                    <w:rPr>
                      <w:rFonts w:ascii="Times New Roman" w:hAnsi="Times New Roman" w:cs="Times New Roman"/>
                      <w:sz w:val="18"/>
                      <w:szCs w:val="18"/>
                    </w:rPr>
                    <w:t>唐气领办</w:t>
                  </w:r>
                  <w:r>
                    <w:rPr>
                      <w:rFonts w:ascii="Times New Roman" w:hAnsi="Times New Roman" w:cs="Times New Roman"/>
                      <w:sz w:val="18"/>
                      <w:szCs w:val="18"/>
                      <w:lang w:eastAsia="zh-CN"/>
                    </w:rPr>
                    <w:t>(</w:t>
                  </w:r>
                  <w:r>
                    <w:rPr>
                      <w:rFonts w:ascii="Times New Roman" w:hAnsi="Times New Roman" w:cs="Times New Roman"/>
                      <w:sz w:val="18"/>
                      <w:szCs w:val="18"/>
                    </w:rPr>
                    <w:t>2018</w:t>
                  </w:r>
                  <w:r>
                    <w:rPr>
                      <w:rFonts w:ascii="Times New Roman" w:hAnsi="Times New Roman" w:cs="Times New Roman"/>
                      <w:sz w:val="18"/>
                      <w:szCs w:val="18"/>
                      <w:lang w:eastAsia="zh-CN"/>
                    </w:rPr>
                    <w:t>)</w:t>
                  </w:r>
                  <w:r>
                    <w:rPr>
                      <w:rFonts w:ascii="Times New Roman" w:hAnsi="Times New Roman" w:cs="Times New Roman"/>
                      <w:sz w:val="18"/>
                      <w:szCs w:val="18"/>
                    </w:rPr>
                    <w:t>38号</w:t>
                  </w:r>
                  <w:r>
                    <w:rPr>
                      <w:rFonts w:ascii="Times New Roman" w:hAnsi="Times New Roman" w:cs="Times New Roman"/>
                      <w:sz w:val="18"/>
                      <w:szCs w:val="18"/>
                      <w:lang w:eastAsia="zh-CN"/>
                    </w:rPr>
                    <w:t>)</w:t>
                  </w:r>
                  <w:r>
                    <w:rPr>
                      <w:rFonts w:ascii="Times New Roman" w:hAnsi="Times New Roman" w:cs="Times New Roman"/>
                      <w:sz w:val="18"/>
                      <w:szCs w:val="18"/>
                    </w:rPr>
                    <w:t>相关排放限值要求。</w:t>
                  </w:r>
                </w:p>
                <w:p>
                  <w:pPr>
                    <w:pStyle w:val="128"/>
                    <w:spacing w:beforeLines="0" w:afterLines="0" w:line="240" w:lineRule="exact"/>
                    <w:ind w:firstLine="0" w:firstLineChars="0"/>
                    <w:jc w:val="both"/>
                    <w:rPr>
                      <w:rFonts w:ascii="Times New Roman"/>
                      <w:sz w:val="18"/>
                      <w:szCs w:val="18"/>
                    </w:rPr>
                  </w:pPr>
                  <w:r>
                    <w:rPr>
                      <w:rFonts w:ascii="Times New Roman"/>
                      <w:sz w:val="18"/>
                      <w:szCs w:val="18"/>
                    </w:rPr>
                    <w:t>2、</w:t>
                  </w:r>
                  <w:r>
                    <w:rPr>
                      <w:rFonts w:ascii="Times New Roman"/>
                      <w:sz w:val="18"/>
                      <w:szCs w:val="18"/>
                    </w:rPr>
                    <w:tab/>
                  </w:r>
                  <w:r>
                    <w:rPr>
                      <w:rFonts w:ascii="Times New Roman"/>
                      <w:sz w:val="18"/>
                      <w:szCs w:val="18"/>
                    </w:rPr>
                    <w:t>焦化企业全部完成深度治理，达到《炼焦化学工业大气污染物超低排放标准》</w:t>
                  </w:r>
                  <w:r>
                    <w:rPr>
                      <w:rFonts w:ascii="Times New Roman"/>
                      <w:sz w:val="18"/>
                      <w:szCs w:val="18"/>
                      <w:lang w:bidi="en-US"/>
                    </w:rPr>
                    <w:t>(DB13/2863-2018)、</w:t>
                  </w:r>
                  <w:r>
                    <w:rPr>
                      <w:rFonts w:ascii="Times New Roman"/>
                      <w:sz w:val="18"/>
                      <w:szCs w:val="18"/>
                    </w:rPr>
                    <w:t>《唐山市钢铁、焦化超低排放和燃煤电厂深度减排实施方案》(唐气领办(2018)38号)相关排放限值要求。</w:t>
                  </w:r>
                </w:p>
              </w:tc>
              <w:tc>
                <w:tcPr>
                  <w:tcW w:w="158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jc w:val="both"/>
                    <w:rPr>
                      <w:rFonts w:ascii="Times New Roman"/>
                      <w:sz w:val="18"/>
                      <w:szCs w:val="18"/>
                    </w:rPr>
                  </w:pPr>
                  <w:r>
                    <w:rPr>
                      <w:rFonts w:ascii="Times New Roman"/>
                      <w:kern w:val="2"/>
                      <w:sz w:val="18"/>
                      <w:szCs w:val="18"/>
                    </w:rPr>
                    <w:t>迁安市九江线材有限责任公司</w:t>
                  </w:r>
                  <w:r>
                    <w:rPr>
                      <w:rFonts w:ascii="Times New Roman"/>
                      <w:sz w:val="18"/>
                      <w:szCs w:val="18"/>
                    </w:rPr>
                    <w:t>现有工程污染物排放均能满足《钢铁工业大气污染物超低排放标准》</w:t>
                  </w:r>
                  <w:r>
                    <w:rPr>
                      <w:rFonts w:ascii="Times New Roman"/>
                      <w:sz w:val="18"/>
                      <w:szCs w:val="18"/>
                      <w:lang w:bidi="en-US"/>
                    </w:rPr>
                    <w:t>(DB</w:t>
                  </w:r>
                  <w:r>
                    <w:rPr>
                      <w:rFonts w:ascii="Times New Roman"/>
                      <w:sz w:val="18"/>
                      <w:szCs w:val="18"/>
                    </w:rPr>
                    <w:t>13</w:t>
                  </w:r>
                  <w:r>
                    <w:rPr>
                      <w:rFonts w:ascii="Times New Roman"/>
                      <w:sz w:val="18"/>
                      <w:szCs w:val="18"/>
                      <w:lang w:bidi="en-US"/>
                    </w:rPr>
                    <w:t>2169</w:t>
                  </w:r>
                  <w:r>
                    <w:rPr>
                      <w:rFonts w:hint="eastAsia" w:ascii="Times New Roman"/>
                      <w:sz w:val="18"/>
                      <w:szCs w:val="18"/>
                      <w:lang w:bidi="en-US"/>
                    </w:rPr>
                    <w:t>-</w:t>
                  </w:r>
                  <w:r>
                    <w:rPr>
                      <w:rFonts w:ascii="Times New Roman"/>
                      <w:sz w:val="18"/>
                      <w:szCs w:val="18"/>
                      <w:lang w:bidi="en-US"/>
                    </w:rPr>
                    <w:t>2018</w:t>
                  </w:r>
                  <w:r>
                    <w:rPr>
                      <w:rFonts w:ascii="Times New Roman"/>
                      <w:sz w:val="18"/>
                      <w:szCs w:val="18"/>
                    </w:rPr>
                    <w:t>)、《唐山市钢铁、焦化超低排放和燃煤电厂深度减排实施方案》(唐气领办(2018)38号)相关排放限值要求</w:t>
                  </w:r>
                </w:p>
              </w:tc>
              <w:tc>
                <w:tcPr>
                  <w:tcW w:w="41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pct"/>
                  <w:vMerge w:val="continue"/>
                  <w:tcBorders>
                    <w:left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p>
              </w:tc>
              <w:tc>
                <w:tcPr>
                  <w:tcW w:w="470" w:type="pct"/>
                  <w:tcBorders>
                    <w:left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环境风险防控</w:t>
                  </w:r>
                </w:p>
              </w:tc>
              <w:tc>
                <w:tcPr>
                  <w:tcW w:w="197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717"/>
                    <w:tabs>
                      <w:tab w:val="left" w:pos="298"/>
                    </w:tabs>
                    <w:spacing w:line="240" w:lineRule="exact"/>
                    <w:ind w:firstLine="0" w:firstLineChars="0"/>
                    <w:jc w:val="both"/>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ab/>
                  </w:r>
                  <w:r>
                    <w:rPr>
                      <w:rFonts w:ascii="Times New Roman" w:hAnsi="Times New Roman" w:cs="Times New Roman"/>
                      <w:sz w:val="18"/>
                      <w:szCs w:val="18"/>
                    </w:rPr>
                    <w:t>加强重污染天气应急联动。加强污染气象条件和空气污染监测、预报预警和评估能力建设，建设全市区域污染传输监控预警系统，提高重污染天气预报预警准确度。全市具备发布空气质量预报信息的能力。</w:t>
                  </w:r>
                </w:p>
                <w:p>
                  <w:pPr>
                    <w:pStyle w:val="128"/>
                    <w:spacing w:beforeLines="0" w:afterLines="0" w:line="240" w:lineRule="exact"/>
                    <w:ind w:firstLine="0" w:firstLineChars="0"/>
                    <w:jc w:val="both"/>
                    <w:rPr>
                      <w:rFonts w:ascii="Times New Roman"/>
                      <w:sz w:val="18"/>
                      <w:szCs w:val="18"/>
                    </w:rPr>
                  </w:pPr>
                  <w:r>
                    <w:rPr>
                      <w:rFonts w:ascii="Times New Roman"/>
                      <w:sz w:val="18"/>
                      <w:szCs w:val="18"/>
                    </w:rPr>
                    <w:t>2、</w:t>
                  </w:r>
                  <w:r>
                    <w:rPr>
                      <w:rFonts w:ascii="Times New Roman"/>
                      <w:sz w:val="18"/>
                      <w:szCs w:val="18"/>
                    </w:rPr>
                    <w:tab/>
                  </w:r>
                  <w:r>
                    <w:rPr>
                      <w:rFonts w:ascii="Times New Roman"/>
                      <w:sz w:val="18"/>
                      <w:szCs w:val="18"/>
                    </w:rPr>
                    <w:t>完善应急减排措施。</w:t>
                  </w:r>
                </w:p>
              </w:tc>
              <w:tc>
                <w:tcPr>
                  <w:tcW w:w="158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jc w:val="both"/>
                    <w:rPr>
                      <w:rFonts w:ascii="Times New Roman"/>
                      <w:sz w:val="18"/>
                      <w:szCs w:val="18"/>
                    </w:rPr>
                  </w:pPr>
                  <w:r>
                    <w:rPr>
                      <w:rFonts w:ascii="Times New Roman"/>
                      <w:sz w:val="18"/>
                      <w:szCs w:val="18"/>
                    </w:rPr>
                    <w:t>迁安市九江线材有限责任公司</w:t>
                  </w:r>
                  <w:r>
                    <w:rPr>
                      <w:rFonts w:ascii="Times New Roman"/>
                      <w:bCs/>
                      <w:sz w:val="18"/>
                      <w:szCs w:val="18"/>
                    </w:rPr>
                    <w:t>2022年1月20日编制并签署发布了《迁安市九江线材有限责任公司突发环境事件应急预案》，同时在唐山市生态环境局迁安市分局备案</w:t>
                  </w:r>
                  <w:r>
                    <w:rPr>
                      <w:rFonts w:ascii="Times New Roman"/>
                      <w:sz w:val="18"/>
                      <w:szCs w:val="18"/>
                    </w:rPr>
                    <w:t>：130283-2022-009-H；项目针对可能出现的突发环境事件制定了完善的风险防范措施，环境风险可接受</w:t>
                  </w:r>
                </w:p>
              </w:tc>
              <w:tc>
                <w:tcPr>
                  <w:tcW w:w="41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pct"/>
                  <w:vMerge w:val="continue"/>
                  <w:tcBorders>
                    <w:left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p>
              </w:tc>
              <w:tc>
                <w:tcPr>
                  <w:tcW w:w="470" w:type="pct"/>
                  <w:tcBorders>
                    <w:left w:val="single" w:color="auto" w:sz="4" w:space="0"/>
                    <w:right w:val="single" w:color="auto" w:sz="4" w:space="0"/>
                  </w:tcBorders>
                  <w:tcMar>
                    <w:left w:w="28" w:type="dxa"/>
                    <w:right w:w="28" w:type="dxa"/>
                  </w:tcMar>
                  <w:vAlign w:val="center"/>
                </w:tcPr>
                <w:p>
                  <w:pPr>
                    <w:adjustRightInd w:val="0"/>
                    <w:spacing w:line="240" w:lineRule="exact"/>
                    <w:ind w:firstLine="0" w:firstLineChars="0"/>
                    <w:jc w:val="center"/>
                    <w:rPr>
                      <w:snapToGrid w:val="0"/>
                      <w:kern w:val="0"/>
                      <w:sz w:val="18"/>
                      <w:szCs w:val="18"/>
                    </w:rPr>
                  </w:pPr>
                  <w:r>
                    <w:rPr>
                      <w:snapToGrid w:val="0"/>
                      <w:kern w:val="0"/>
                      <w:sz w:val="18"/>
                      <w:szCs w:val="18"/>
                    </w:rPr>
                    <w:t>资源利用效率要求</w:t>
                  </w:r>
                </w:p>
              </w:tc>
              <w:tc>
                <w:tcPr>
                  <w:tcW w:w="197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717"/>
                    <w:tabs>
                      <w:tab w:val="left" w:pos="283"/>
                    </w:tabs>
                    <w:spacing w:line="240" w:lineRule="exact"/>
                    <w:ind w:firstLine="0" w:firstLineChars="0"/>
                    <w:jc w:val="both"/>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ab/>
                  </w:r>
                  <w:r>
                    <w:rPr>
                      <w:rFonts w:ascii="Times New Roman" w:hAnsi="Times New Roman" w:cs="Times New Roman"/>
                      <w:sz w:val="18"/>
                      <w:szCs w:val="18"/>
                    </w:rPr>
                    <w:t>推进非常规水资源利用。促进再生水利用，凡能使用再生水的工业企业，优先使用再生水。</w:t>
                  </w:r>
                </w:p>
                <w:p>
                  <w:pPr>
                    <w:adjustRightInd w:val="0"/>
                    <w:spacing w:line="240" w:lineRule="exact"/>
                    <w:ind w:firstLine="0" w:firstLineChars="0"/>
                    <w:jc w:val="both"/>
                    <w:rPr>
                      <w:snapToGrid w:val="0"/>
                      <w:kern w:val="0"/>
                      <w:sz w:val="18"/>
                      <w:szCs w:val="18"/>
                    </w:rPr>
                  </w:pPr>
                  <w:r>
                    <w:rPr>
                      <w:sz w:val="18"/>
                      <w:szCs w:val="18"/>
                    </w:rPr>
                    <w:t>2、</w:t>
                  </w:r>
                  <w:r>
                    <w:rPr>
                      <w:sz w:val="18"/>
                      <w:szCs w:val="18"/>
                    </w:rPr>
                    <w:tab/>
                  </w:r>
                  <w:r>
                    <w:rPr>
                      <w:sz w:val="18"/>
                      <w:szCs w:val="18"/>
                    </w:rPr>
                    <w:t>项目落地严格控制在规划指标范围内，不得占用基本农田、河道等禁止建设区。</w:t>
                  </w:r>
                </w:p>
              </w:tc>
              <w:tc>
                <w:tcPr>
                  <w:tcW w:w="158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jc w:val="both"/>
                    <w:rPr>
                      <w:rFonts w:ascii="Times New Roman"/>
                      <w:sz w:val="18"/>
                      <w:szCs w:val="18"/>
                    </w:rPr>
                  </w:pPr>
                  <w:r>
                    <w:rPr>
                      <w:rFonts w:ascii="Times New Roman"/>
                      <w:sz w:val="18"/>
                      <w:szCs w:val="18"/>
                    </w:rPr>
                    <w:t>项目用水由迁安市九江线材有限责任公司统一供给，接自厂区东南侧现有生产生活给水管道，已办理取水许可证，可满足用水需求。项目废水经管道排入场地北侧厂区现有污水管道，最终排入迁安市九江线材有限责任公司污水处理站，处理后回用于生产，不外排。项目位于河北迁安经济开发区(迁安市木厂口镇)，公司现有厂区内，不新增占地</w:t>
                  </w:r>
                  <w:r>
                    <w:rPr>
                      <w:rFonts w:hint="eastAsia" w:ascii="Times New Roman"/>
                      <w:sz w:val="18"/>
                      <w:szCs w:val="18"/>
                    </w:rPr>
                    <w:t>。</w:t>
                  </w:r>
                </w:p>
              </w:tc>
              <w:tc>
                <w:tcPr>
                  <w:tcW w:w="41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8"/>
                    <w:spacing w:beforeLines="0" w:afterLines="0" w:line="240" w:lineRule="exact"/>
                    <w:ind w:firstLine="0" w:firstLineChars="0"/>
                    <w:rPr>
                      <w:rFonts w:ascii="Times New Roman"/>
                      <w:sz w:val="18"/>
                      <w:szCs w:val="18"/>
                    </w:rPr>
                  </w:pPr>
                  <w:r>
                    <w:rPr>
                      <w:rFonts w:ascii="Times New Roman"/>
                      <w:sz w:val="18"/>
                      <w:szCs w:val="18"/>
                    </w:rPr>
                    <w:t>符合</w:t>
                  </w:r>
                </w:p>
              </w:tc>
            </w:tr>
          </w:tbl>
          <w:p>
            <w:pPr>
              <w:autoSpaceDE w:val="0"/>
              <w:autoSpaceDN w:val="0"/>
              <w:adjustRightInd w:val="0"/>
              <w:snapToGrid w:val="0"/>
              <w:ind w:firstLine="482"/>
              <w:rPr>
                <w:rFonts w:eastAsiaTheme="minorEastAsia"/>
                <w:b/>
                <w:bCs/>
                <w:kern w:val="0"/>
                <w:szCs w:val="21"/>
              </w:rPr>
            </w:pPr>
          </w:p>
        </w:tc>
      </w:tr>
    </w:tbl>
    <w:p>
      <w:pPr>
        <w:outlineLvl w:val="0"/>
        <w:rPr>
          <w:rFonts w:eastAsiaTheme="minorEastAsia"/>
          <w:color w:val="0000FF"/>
          <w:sz w:val="36"/>
          <w:szCs w:val="32"/>
        </w:rPr>
        <w:sectPr>
          <w:footerReference r:id="rId7" w:type="default"/>
          <w:pgSz w:w="11906" w:h="16838"/>
          <w:pgMar w:top="1701" w:right="1531" w:bottom="1701" w:left="1531" w:header="851" w:footer="1077" w:gutter="0"/>
          <w:pgNumType w:start="1"/>
          <w:cols w:space="720" w:num="1"/>
          <w:docGrid w:linePitch="312" w:charSpace="0"/>
        </w:sectPr>
      </w:pPr>
    </w:p>
    <w:p>
      <w:pPr>
        <w:pStyle w:val="72"/>
        <w:snapToGrid w:val="0"/>
        <w:spacing w:before="0" w:beforeAutospacing="0" w:after="0" w:afterAutospacing="0" w:line="240" w:lineRule="auto"/>
        <w:ind w:firstLine="0" w:firstLineChars="0"/>
        <w:outlineLvl w:val="0"/>
        <w:rPr>
          <w:rFonts w:ascii="Times New Roman" w:hAnsi="Times New Roman" w:eastAsiaTheme="minorEastAsia"/>
          <w:b/>
          <w:bCs/>
          <w:snapToGrid w:val="0"/>
          <w:sz w:val="32"/>
          <w:szCs w:val="32"/>
        </w:rPr>
      </w:pPr>
      <w:r>
        <w:rPr>
          <w:rFonts w:ascii="Times New Roman" w:hAnsi="Times New Roman" w:eastAsiaTheme="minorEastAsia"/>
          <w:b/>
          <w:bCs/>
          <w:snapToGrid w:val="0"/>
          <w:sz w:val="32"/>
          <w:szCs w:val="32"/>
        </w:rPr>
        <w:t>二、建设项目工程分析</w:t>
      </w:r>
    </w:p>
    <w:tbl>
      <w:tblPr>
        <w:tblStyle w:val="7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86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251" w:type="pct"/>
            <w:shd w:val="clear" w:color="auto" w:fill="auto"/>
            <w:vAlign w:val="center"/>
          </w:tcPr>
          <w:p>
            <w:pPr>
              <w:pStyle w:val="72"/>
              <w:adjustRightInd w:val="0"/>
              <w:snapToGrid w:val="0"/>
              <w:spacing w:before="0" w:beforeAutospacing="0" w:after="0" w:afterAutospacing="0" w:line="240" w:lineRule="auto"/>
              <w:ind w:firstLine="0" w:firstLineChars="0"/>
              <w:jc w:val="center"/>
              <w:rPr>
                <w:rFonts w:ascii="Times New Roman" w:hAnsi="Times New Roman"/>
                <w:color w:val="0000FF"/>
                <w:szCs w:val="24"/>
              </w:rPr>
            </w:pPr>
            <w:r>
              <w:rPr>
                <w:rFonts w:ascii="Times New Roman" w:hAnsi="Times New Roman"/>
                <w:bCs/>
                <w:szCs w:val="24"/>
              </w:rPr>
              <w:t>建设内容</w:t>
            </w:r>
          </w:p>
        </w:tc>
        <w:tc>
          <w:tcPr>
            <w:tcW w:w="4748" w:type="pct"/>
            <w:shd w:val="clear" w:color="auto" w:fill="auto"/>
          </w:tcPr>
          <w:p>
            <w:pPr>
              <w:autoSpaceDE w:val="0"/>
              <w:autoSpaceDN w:val="0"/>
              <w:adjustRightInd w:val="0"/>
              <w:snapToGrid w:val="0"/>
              <w:ind w:firstLine="482"/>
              <w:rPr>
                <w:b/>
                <w:bCs/>
              </w:rPr>
            </w:pPr>
            <w:r>
              <w:rPr>
                <w:b/>
                <w:bCs/>
              </w:rPr>
              <w:t>1、项目由来</w:t>
            </w:r>
          </w:p>
          <w:p>
            <w:pPr>
              <w:pStyle w:val="153"/>
              <w:spacing w:line="360" w:lineRule="auto"/>
              <w:ind w:firstLine="480"/>
              <w:jc w:val="both"/>
              <w:rPr>
                <w:rFonts w:ascii="Times New Roman" w:hAnsi="Times New Roman" w:cs="Times New Roman"/>
                <w:color w:val="auto"/>
                <w:kern w:val="2"/>
              </w:rPr>
            </w:pPr>
            <w:r>
              <w:rPr>
                <w:rFonts w:hint="eastAsia" w:ascii="Times New Roman" w:hAnsi="Times New Roman" w:cs="Times New Roman"/>
                <w:color w:val="auto"/>
                <w:kern w:val="2"/>
              </w:rPr>
              <w:t>迁安市九江线材有限责任公司成立于2002年4月，是一家集烧结、球团、炼铁、炼钢、轧钢于一体的大型钢铁联合企业。</w:t>
            </w:r>
          </w:p>
          <w:p>
            <w:pPr>
              <w:widowControl/>
              <w:ind w:firstLine="480"/>
              <w:jc w:val="both"/>
            </w:pPr>
            <w:r>
              <w:rPr>
                <w:rFonts w:hint="eastAsia" w:ascii="宋体" w:hAnsi="宋体" w:cs="宋体"/>
                <w:color w:val="000000"/>
                <w:kern w:val="0"/>
                <w:lang w:bidi="ar"/>
              </w:rPr>
              <w:t>为积极响应国家鼓励企业兼并重组，提高产业集中度的政策要求，落实《唐山市贯彻落实</w:t>
            </w:r>
            <w:r>
              <w:rPr>
                <w:color w:val="000000"/>
                <w:kern w:val="0"/>
                <w:lang w:bidi="ar"/>
              </w:rPr>
              <w:t>&lt;</w:t>
            </w:r>
            <w:r>
              <w:rPr>
                <w:rFonts w:hint="eastAsia" w:ascii="宋体" w:hAnsi="宋体" w:cs="宋体"/>
                <w:color w:val="000000"/>
                <w:kern w:val="0"/>
                <w:lang w:bidi="ar"/>
              </w:rPr>
              <w:t>河北省建设京津冀生态环境支撑区“十四五”规划</w:t>
            </w:r>
            <w:r>
              <w:rPr>
                <w:color w:val="000000"/>
                <w:kern w:val="0"/>
                <w:lang w:bidi="ar"/>
              </w:rPr>
              <w:t>&gt;</w:t>
            </w:r>
            <w:r>
              <w:rPr>
                <w:rFonts w:hint="eastAsia" w:ascii="宋体" w:hAnsi="宋体" w:cs="宋体"/>
                <w:color w:val="000000"/>
                <w:kern w:val="0"/>
                <w:lang w:bidi="ar"/>
              </w:rPr>
              <w:t>的实施方案》，九江线材已于</w:t>
            </w:r>
            <w:r>
              <w:rPr>
                <w:color w:val="000000"/>
                <w:kern w:val="0"/>
                <w:lang w:bidi="ar"/>
              </w:rPr>
              <w:t>2021</w:t>
            </w:r>
            <w:r>
              <w:rPr>
                <w:rFonts w:hint="eastAsia" w:ascii="宋体" w:hAnsi="宋体" w:cs="宋体"/>
                <w:color w:val="000000"/>
                <w:kern w:val="0"/>
                <w:lang w:bidi="ar"/>
              </w:rPr>
              <w:t>年初完成实质性兼并重组唐山德龙钢铁有限公司(以下简称</w:t>
            </w:r>
            <w:r>
              <w:rPr>
                <w:color w:val="000000"/>
                <w:kern w:val="0"/>
                <w:lang w:bidi="ar"/>
              </w:rPr>
              <w:t>“</w:t>
            </w:r>
            <w:r>
              <w:rPr>
                <w:rFonts w:hint="eastAsia" w:ascii="宋体" w:hAnsi="宋体" w:cs="宋体"/>
                <w:color w:val="000000"/>
                <w:kern w:val="0"/>
                <w:lang w:bidi="ar"/>
              </w:rPr>
              <w:t>唐山德龙</w:t>
            </w:r>
            <w:r>
              <w:rPr>
                <w:color w:val="000000"/>
                <w:kern w:val="0"/>
                <w:lang w:bidi="ar"/>
              </w:rPr>
              <w:t>”</w:t>
            </w:r>
            <w:r>
              <w:rPr>
                <w:rFonts w:hint="eastAsia" w:ascii="宋体" w:hAnsi="宋体" w:cs="宋体"/>
                <w:color w:val="000000"/>
                <w:kern w:val="0"/>
                <w:lang w:bidi="ar"/>
              </w:rPr>
              <w:t>)实施“整合重</w:t>
            </w:r>
            <w:r>
              <w:rPr>
                <w:rFonts w:hint="eastAsia"/>
                <w:color w:val="000000"/>
                <w:kern w:val="0"/>
                <w:lang w:bidi="ar"/>
              </w:rPr>
              <w:t>组减量置换项目”，于</w:t>
            </w:r>
            <w:r>
              <w:rPr>
                <w:color w:val="000000"/>
                <w:kern w:val="0"/>
                <w:lang w:bidi="ar"/>
              </w:rPr>
              <w:t>2022</w:t>
            </w:r>
            <w:r>
              <w:rPr>
                <w:rFonts w:hint="eastAsia"/>
                <w:color w:val="000000"/>
                <w:kern w:val="0"/>
                <w:lang w:bidi="ar"/>
              </w:rPr>
              <w:t>年</w:t>
            </w:r>
            <w:r>
              <w:rPr>
                <w:color w:val="000000"/>
                <w:kern w:val="0"/>
                <w:lang w:bidi="ar"/>
              </w:rPr>
              <w:t>2</w:t>
            </w:r>
            <w:r>
              <w:rPr>
                <w:rFonts w:hint="eastAsia"/>
                <w:color w:val="000000"/>
                <w:kern w:val="0"/>
                <w:lang w:bidi="ar"/>
              </w:rPr>
              <w:t>月</w:t>
            </w:r>
            <w:r>
              <w:rPr>
                <w:color w:val="000000"/>
                <w:kern w:val="0"/>
                <w:lang w:bidi="ar"/>
              </w:rPr>
              <w:t>10</w:t>
            </w:r>
            <w:r>
              <w:rPr>
                <w:rFonts w:hint="eastAsia"/>
                <w:color w:val="000000"/>
                <w:kern w:val="0"/>
                <w:lang w:bidi="ar"/>
              </w:rPr>
              <w:t>日委托河北正润环境科技有限公司承担“迁安市九江线材有限责任公司整合重组减量置换项目”的环境影响评价工作，并于2022年8月18日取得河北省生态环境厅的批复，批复文号为</w:t>
            </w:r>
            <w:r>
              <w:rPr>
                <w:color w:val="000000"/>
                <w:kern w:val="0"/>
                <w:lang w:bidi="ar"/>
              </w:rPr>
              <w:t>冀环审</w:t>
            </w:r>
            <w:r>
              <w:rPr>
                <w:rFonts w:hint="eastAsia"/>
                <w:color w:val="000000"/>
                <w:kern w:val="0"/>
                <w:lang w:bidi="ar"/>
              </w:rPr>
              <w:t>[</w:t>
            </w:r>
            <w:r>
              <w:rPr>
                <w:color w:val="000000"/>
                <w:kern w:val="0"/>
                <w:lang w:bidi="ar"/>
              </w:rPr>
              <w:t>2022</w:t>
            </w:r>
            <w:r>
              <w:rPr>
                <w:rFonts w:hint="eastAsia"/>
                <w:color w:val="000000"/>
                <w:kern w:val="0"/>
                <w:lang w:bidi="ar"/>
              </w:rPr>
              <w:t>]</w:t>
            </w:r>
            <w:r>
              <w:rPr>
                <w:color w:val="000000"/>
                <w:kern w:val="0"/>
                <w:lang w:bidi="ar"/>
              </w:rPr>
              <w:t>72号</w:t>
            </w:r>
            <w:r>
              <w:rPr>
                <w:rFonts w:hint="eastAsia"/>
                <w:color w:val="000000"/>
                <w:kern w:val="0"/>
                <w:lang w:bidi="ar"/>
              </w:rPr>
              <w:t>，该项目将置换建设</w:t>
            </w:r>
            <w:r>
              <w:rPr>
                <w:color w:val="000000"/>
                <w:kern w:val="0"/>
                <w:lang w:bidi="ar"/>
              </w:rPr>
              <w:t>2</w:t>
            </w:r>
            <w:r>
              <w:rPr>
                <w:rFonts w:hint="eastAsia"/>
                <w:color w:val="000000"/>
                <w:kern w:val="0"/>
                <w:lang w:bidi="ar"/>
              </w:rPr>
              <w:t>座</w:t>
            </w:r>
            <w:r>
              <w:rPr>
                <w:color w:val="000000"/>
                <w:kern w:val="0"/>
                <w:lang w:bidi="ar"/>
              </w:rPr>
              <w:t>1250m</w:t>
            </w:r>
            <w:r>
              <w:rPr>
                <w:rFonts w:hint="eastAsia"/>
                <w:color w:val="000000"/>
                <w:kern w:val="0"/>
                <w:vertAlign w:val="superscript"/>
                <w:lang w:bidi="ar"/>
              </w:rPr>
              <w:t>3</w:t>
            </w:r>
            <w:r>
              <w:rPr>
                <w:rFonts w:hint="eastAsia"/>
                <w:color w:val="000000"/>
                <w:kern w:val="0"/>
                <w:lang w:bidi="ar"/>
              </w:rPr>
              <w:t>高炉，</w:t>
            </w:r>
            <w:r>
              <w:rPr>
                <w:color w:val="000000"/>
                <w:kern w:val="0"/>
                <w:lang w:bidi="ar"/>
              </w:rPr>
              <w:t>3</w:t>
            </w:r>
            <w:r>
              <w:rPr>
                <w:rFonts w:hint="eastAsia"/>
                <w:color w:val="000000"/>
                <w:kern w:val="0"/>
                <w:lang w:bidi="ar"/>
              </w:rPr>
              <w:t>座</w:t>
            </w:r>
            <w:r>
              <w:rPr>
                <w:color w:val="000000"/>
                <w:kern w:val="0"/>
                <w:lang w:bidi="ar"/>
              </w:rPr>
              <w:t>100t</w:t>
            </w:r>
            <w:r>
              <w:rPr>
                <w:rFonts w:hint="eastAsia"/>
                <w:color w:val="000000"/>
                <w:kern w:val="0"/>
                <w:lang w:bidi="ar"/>
              </w:rPr>
              <w:t>电炉、</w:t>
            </w:r>
            <w:r>
              <w:rPr>
                <w:color w:val="000000"/>
                <w:kern w:val="0"/>
                <w:lang w:bidi="ar"/>
              </w:rPr>
              <w:t>1</w:t>
            </w:r>
            <w:r>
              <w:rPr>
                <w:rFonts w:hint="eastAsia"/>
                <w:color w:val="000000"/>
                <w:kern w:val="0"/>
                <w:lang w:bidi="ar"/>
              </w:rPr>
              <w:t>座</w:t>
            </w:r>
            <w:r>
              <w:rPr>
                <w:color w:val="000000"/>
                <w:kern w:val="0"/>
                <w:lang w:bidi="ar"/>
              </w:rPr>
              <w:t>105t</w:t>
            </w:r>
            <w:r>
              <w:rPr>
                <w:rFonts w:hint="eastAsia"/>
                <w:color w:val="000000"/>
                <w:kern w:val="0"/>
                <w:lang w:bidi="ar"/>
              </w:rPr>
              <w:t>电炉</w:t>
            </w:r>
            <w:r>
              <w:rPr>
                <w:rFonts w:hint="eastAsia"/>
                <w:color w:val="000000"/>
                <w:kern w:val="0"/>
                <w:lang w:eastAsia="zh-CN" w:bidi="ar"/>
              </w:rPr>
              <w:t>，</w:t>
            </w:r>
            <w:r>
              <w:rPr>
                <w:rFonts w:hint="eastAsia"/>
                <w:color w:val="000000"/>
                <w:kern w:val="0"/>
                <w:lang w:val="en-US" w:eastAsia="zh-CN" w:bidi="ar"/>
              </w:rPr>
              <w:t>会增加煤气的产生量，</w:t>
            </w:r>
            <w:r>
              <w:rPr>
                <w:rFonts w:hint="eastAsia"/>
                <w:color w:val="000000"/>
                <w:kern w:val="0"/>
                <w:lang w:bidi="ar"/>
              </w:rPr>
              <w:t>为了响应国家“节能、减排”的号召，充分利用迁安市九江线材有限责任公司生产剩余的煤气。</w:t>
            </w:r>
            <w:r>
              <w:rPr>
                <w:rFonts w:hint="eastAsia"/>
              </w:rPr>
              <w:t>迁安市九江线材有限责任公司</w:t>
            </w:r>
            <w:r>
              <w:t>拟投资</w:t>
            </w:r>
            <w:r>
              <w:rPr>
                <w:rFonts w:hint="eastAsia"/>
              </w:rPr>
              <w:t>44578.9</w:t>
            </w:r>
            <w:r>
              <w:t>万元用于</w:t>
            </w:r>
            <w:r>
              <w:rPr>
                <w:rFonts w:hint="eastAsia"/>
              </w:rPr>
              <w:t>建设</w:t>
            </w:r>
            <w:r>
              <w:t>整合重组减量置换项目配套资源综合利用项目，项目建成后，年发电量128000万千瓦时。</w:t>
            </w:r>
          </w:p>
          <w:p>
            <w:pPr>
              <w:pStyle w:val="153"/>
              <w:spacing w:line="360" w:lineRule="auto"/>
              <w:ind w:firstLine="480"/>
              <w:jc w:val="both"/>
              <w:rPr>
                <w:rFonts w:ascii="Times New Roman" w:hAnsi="Times New Roman" w:cs="Times New Roman"/>
                <w:color w:val="auto"/>
              </w:rPr>
            </w:pPr>
            <w:r>
              <w:rPr>
                <w:rFonts w:ascii="Times New Roman" w:hAnsi="Times New Roman" w:cs="Times New Roman"/>
                <w:color w:val="auto"/>
                <w:kern w:val="2"/>
              </w:rPr>
              <w:t>根据《中华人民共和国环境影响评价法》和《建设项目环境影响评价分类管理名录》等有关环保政策法规的要求，该项目属于</w:t>
            </w:r>
            <w:r>
              <w:rPr>
                <w:rFonts w:hint="eastAsia" w:ascii="Times New Roman" w:hAnsi="Times New Roman" w:cs="Times New Roman"/>
                <w:color w:val="auto"/>
                <w:kern w:val="2"/>
              </w:rPr>
              <w:t>四十一</w:t>
            </w:r>
            <w:r>
              <w:rPr>
                <w:rFonts w:ascii="Times New Roman" w:hAnsi="Times New Roman" w:cs="Times New Roman"/>
                <w:color w:val="auto"/>
                <w:kern w:val="2"/>
              </w:rPr>
              <w:t>、</w:t>
            </w:r>
            <w:r>
              <w:rPr>
                <w:rFonts w:hint="eastAsia"/>
              </w:rPr>
              <w:t>电力、热力生产和供应业</w:t>
            </w:r>
            <w:r>
              <w:rPr>
                <w:rFonts w:hint="eastAsia" w:ascii="Times New Roman" w:hAnsi="Times New Roman" w:cs="Times New Roman"/>
                <w:color w:val="auto"/>
                <w:kern w:val="2"/>
              </w:rPr>
              <w:t>87燃气发电</w:t>
            </w:r>
            <w:r>
              <w:rPr>
                <w:rFonts w:ascii="Times New Roman" w:hAnsi="Times New Roman" w:cs="Times New Roman"/>
                <w:color w:val="auto"/>
                <w:kern w:val="2"/>
              </w:rPr>
              <w:t>，根据要求，该项目需编制环境影响报告表。</w:t>
            </w:r>
            <w:r>
              <w:rPr>
                <w:rFonts w:hint="eastAsia" w:ascii="Times New Roman" w:hAnsi="Times New Roman" w:cs="Times New Roman"/>
              </w:rPr>
              <w:t>迁安市九江线材有限责任公司</w:t>
            </w:r>
            <w:r>
              <w:rPr>
                <w:rFonts w:ascii="Times New Roman" w:hAnsi="Times New Roman" w:cs="Times New Roman"/>
                <w:color w:val="auto"/>
                <w:kern w:val="2"/>
              </w:rPr>
              <w:t>委托我公</w:t>
            </w:r>
            <w:r>
              <w:rPr>
                <w:rFonts w:ascii="Times New Roman" w:hAnsi="Times New Roman" w:cs="Times New Roman"/>
                <w:color w:val="auto"/>
              </w:rPr>
              <w:t>司进行该项目环境影响评价工作。接受委托后，我单位组织技术人员对本项目进行现场踏勘，详细地搜集了与本项目有关的技术资料，按照《建设项目环境影响报告表编制技术指南</w:t>
            </w:r>
            <w:r>
              <w:rPr>
                <w:rFonts w:hint="eastAsia" w:ascii="Times New Roman" w:hAnsi="Times New Roman" w:cs="Times New Roman"/>
                <w:color w:val="auto"/>
              </w:rPr>
              <w:t>（污染影响类）</w:t>
            </w:r>
            <w:r>
              <w:rPr>
                <w:rFonts w:ascii="Times New Roman" w:hAnsi="Times New Roman" w:cs="Times New Roman"/>
                <w:color w:val="auto"/>
              </w:rPr>
              <w:t>》</w:t>
            </w:r>
            <w:r>
              <w:rPr>
                <w:rFonts w:hint="eastAsia" w:ascii="Times New Roman" w:hAnsi="Times New Roman" w:cs="Times New Roman"/>
                <w:color w:val="auto"/>
              </w:rPr>
              <w:t>（试行）</w:t>
            </w:r>
            <w:r>
              <w:rPr>
                <w:rFonts w:ascii="Times New Roman" w:hAnsi="Times New Roman" w:cs="Times New Roman"/>
                <w:color w:val="auto"/>
              </w:rPr>
              <w:t>等的有关规定，编制完成了本项目环境影响报告表。</w:t>
            </w:r>
          </w:p>
          <w:p>
            <w:pPr>
              <w:autoSpaceDE w:val="0"/>
              <w:autoSpaceDN w:val="0"/>
              <w:adjustRightInd w:val="0"/>
              <w:snapToGrid w:val="0"/>
              <w:spacing w:before="120" w:beforeLines="50"/>
              <w:ind w:firstLine="480"/>
              <w:rPr>
                <w:bCs/>
                <w:kern w:val="0"/>
              </w:rPr>
            </w:pPr>
            <w:r>
              <w:rPr>
                <w:bCs/>
                <w:kern w:val="0"/>
              </w:rPr>
              <w:t>2、主要建设内容</w:t>
            </w:r>
          </w:p>
          <w:p>
            <w:pPr>
              <w:pStyle w:val="153"/>
              <w:spacing w:line="360" w:lineRule="auto"/>
              <w:ind w:firstLine="480"/>
              <w:jc w:val="both"/>
              <w:rPr>
                <w:rFonts w:ascii="Times New Roman" w:hAnsi="Times New Roman" w:cs="Times New Roman"/>
                <w:color w:val="auto"/>
                <w:kern w:val="2"/>
              </w:rPr>
            </w:pPr>
            <w:r>
              <w:rPr>
                <w:rFonts w:ascii="Times New Roman" w:hAnsi="Times New Roman" w:cs="Times New Roman"/>
                <w:color w:val="auto"/>
                <w:kern w:val="2"/>
              </w:rPr>
              <w:t>项目拆除现有50MW发电系统，新建1×145MW超临界煤气发电机组以及配套辅助设施，包含1×425t/h高效超临界煤气锅炉、1×145MW高效超临界中间再热凝汽式汽轮机、1×160MW发电机等，新建主厂房(包含汽机跨、除氧跨、锅炉跨、煤加、除尘器及引风机、烟囱、CEMS小室等)、升压站、脱硫脱硝区及配套附属设施等。年发电量128000万千瓦时。</w:t>
            </w:r>
          </w:p>
          <w:p>
            <w:pPr>
              <w:widowControl/>
              <w:adjustRightInd w:val="0"/>
              <w:snapToGrid w:val="0"/>
              <w:spacing w:line="240" w:lineRule="auto"/>
              <w:ind w:firstLine="0" w:firstLineChars="0"/>
              <w:jc w:val="center"/>
              <w:rPr>
                <w:b/>
                <w:bCs/>
              </w:rPr>
            </w:pPr>
            <w:r>
              <w:rPr>
                <w:b/>
                <w:bCs/>
              </w:rPr>
              <w:t>表</w:t>
            </w:r>
            <w:r>
              <w:rPr>
                <w:rFonts w:hint="eastAsia"/>
                <w:b/>
                <w:bCs/>
              </w:rPr>
              <w:t>9</w:t>
            </w:r>
            <w:r>
              <w:rPr>
                <w:b/>
                <w:bCs/>
              </w:rPr>
              <w:t xml:space="preserve">    项目组成一览表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788"/>
              <w:gridCol w:w="941"/>
              <w:gridCol w:w="4198"/>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z w:val="18"/>
                      <w:szCs w:val="18"/>
                    </w:rPr>
                  </w:pPr>
                  <w:r>
                    <w:rPr>
                      <w:b/>
                      <w:bCs/>
                      <w:sz w:val="18"/>
                      <w:szCs w:val="18"/>
                    </w:rPr>
                    <w:t>工程类别</w:t>
                  </w: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z w:val="18"/>
                      <w:szCs w:val="18"/>
                    </w:rPr>
                  </w:pPr>
                  <w:r>
                    <w:rPr>
                      <w:b/>
                      <w:bCs/>
                      <w:sz w:val="18"/>
                      <w:szCs w:val="18"/>
                    </w:rPr>
                    <w:t>项目名称</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z w:val="18"/>
                      <w:szCs w:val="18"/>
                    </w:rPr>
                  </w:pPr>
                  <w:r>
                    <w:rPr>
                      <w:b/>
                      <w:bCs/>
                      <w:sz w:val="18"/>
                      <w:szCs w:val="18"/>
                    </w:rPr>
                    <w:t>建设内容</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b/>
                      <w:bCs/>
                      <w:sz w:val="18"/>
                      <w:szCs w:val="18"/>
                    </w:rPr>
                  </w:pPr>
                  <w:r>
                    <w:rPr>
                      <w:rFonts w:hint="eastAsia"/>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主体工程</w:t>
                  </w:r>
                </w:p>
              </w:tc>
              <w:tc>
                <w:tcPr>
                  <w:tcW w:w="1066"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主厂房(包含汽机跨、除氧跨、锅炉跨、煤加、脱硫反应器、除尘器及引风机、烟囱、CEMS小室等)</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pPr>
                  <w:r>
                    <w:rPr>
                      <w:rFonts w:hint="eastAsia"/>
                      <w:sz w:val="18"/>
                      <w:szCs w:val="18"/>
                    </w:rPr>
                    <w:t>包括</w:t>
                  </w:r>
                  <w:r>
                    <w:rPr>
                      <w:sz w:val="18"/>
                      <w:szCs w:val="18"/>
                    </w:rPr>
                    <w:t>1×425t/h高效超临界煤气锅炉、1×145MW高效超临界中间再热凝汽式汽轮机、1×160MW发电机</w:t>
                  </w:r>
                  <w:r>
                    <w:rPr>
                      <w:rFonts w:hint="eastAsia"/>
                      <w:sz w:val="18"/>
                      <w:szCs w:val="18"/>
                    </w:rPr>
                    <w:t>；由北向南布置汽机跨及除氧跨。在锅炉及炉后设施拆除后的场地上，由西向东新建锅炉跨、煤加、脱硫反应器、除尘器及引风机及烟囱等。</w:t>
                  </w:r>
                </w:p>
              </w:tc>
              <w:tc>
                <w:tcPr>
                  <w:tcW w:w="511"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配套</w:t>
                  </w:r>
                  <w:r>
                    <w:rPr>
                      <w:sz w:val="18"/>
                      <w:szCs w:val="18"/>
                    </w:rPr>
                    <w:t>工程</w:t>
                  </w: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化水系统</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 w:val="18"/>
                      <w:szCs w:val="18"/>
                    </w:rPr>
                  </w:pPr>
                  <w:r>
                    <w:rPr>
                      <w:rFonts w:hint="eastAsia"/>
                      <w:sz w:val="18"/>
                      <w:szCs w:val="18"/>
                    </w:rPr>
                    <w:t>多介质过滤器出水</w:t>
                  </w:r>
                  <w:r>
                    <w:rPr>
                      <w:sz w:val="18"/>
                      <w:szCs w:val="18"/>
                    </w:rPr>
                    <w:t>→</w:t>
                  </w:r>
                  <w:r>
                    <w:rPr>
                      <w:rFonts w:hint="eastAsia"/>
                      <w:sz w:val="18"/>
                      <w:szCs w:val="18"/>
                    </w:rPr>
                    <w:t>反渗透提升泵(依托)</w:t>
                  </w:r>
                  <w:r>
                    <w:rPr>
                      <w:sz w:val="18"/>
                      <w:szCs w:val="18"/>
                    </w:rPr>
                    <w:t>→</w:t>
                  </w:r>
                  <w:r>
                    <w:rPr>
                      <w:rFonts w:hint="eastAsia"/>
                      <w:sz w:val="18"/>
                      <w:szCs w:val="18"/>
                    </w:rPr>
                    <w:t>一级反渗透装置(新增一套)</w:t>
                  </w:r>
                  <w:r>
                    <w:rPr>
                      <w:sz w:val="18"/>
                      <w:szCs w:val="18"/>
                    </w:rPr>
                    <w:t>→</w:t>
                  </w:r>
                  <w:r>
                    <w:rPr>
                      <w:rFonts w:hint="eastAsia"/>
                      <w:sz w:val="18"/>
                      <w:szCs w:val="18"/>
                    </w:rPr>
                    <w:t>一级反渗透产水箱(依托)</w:t>
                  </w:r>
                  <w:r>
                    <w:rPr>
                      <w:sz w:val="18"/>
                      <w:szCs w:val="18"/>
                    </w:rPr>
                    <w:t>→</w:t>
                  </w:r>
                  <w:r>
                    <w:rPr>
                      <w:rFonts w:hint="eastAsia"/>
                      <w:sz w:val="18"/>
                      <w:szCs w:val="18"/>
                    </w:rPr>
                    <w:t>混床给水泵(依托)</w:t>
                  </w:r>
                  <w:r>
                    <w:rPr>
                      <w:sz w:val="18"/>
                      <w:szCs w:val="18"/>
                    </w:rPr>
                    <w:t>→</w:t>
                  </w:r>
                  <w:r>
                    <w:rPr>
                      <w:rFonts w:hint="eastAsia"/>
                      <w:sz w:val="18"/>
                      <w:szCs w:val="18"/>
                    </w:rPr>
                    <w:t>混合离子交换器(依托)</w:t>
                  </w:r>
                  <w:r>
                    <w:rPr>
                      <w:sz w:val="18"/>
                      <w:szCs w:val="18"/>
                    </w:rPr>
                    <w:t>→EDI</w:t>
                  </w:r>
                  <w:r>
                    <w:rPr>
                      <w:rFonts w:hint="eastAsia"/>
                      <w:sz w:val="18"/>
                      <w:szCs w:val="18"/>
                    </w:rPr>
                    <w:t>给水箱(依托</w:t>
                  </w:r>
                  <w:r>
                    <w:rPr>
                      <w:sz w:val="18"/>
                      <w:szCs w:val="18"/>
                    </w:rPr>
                    <w:t>1</w:t>
                  </w:r>
                  <w:r>
                    <w:rPr>
                      <w:rFonts w:hint="eastAsia"/>
                      <w:sz w:val="18"/>
                      <w:szCs w:val="18"/>
                    </w:rPr>
                    <w:t>台</w:t>
                  </w:r>
                  <w:r>
                    <w:rPr>
                      <w:sz w:val="18"/>
                      <w:szCs w:val="18"/>
                    </w:rPr>
                    <w:t>300m³</w:t>
                  </w:r>
                  <w:r>
                    <w:rPr>
                      <w:rFonts w:hint="eastAsia"/>
                      <w:sz w:val="18"/>
                      <w:szCs w:val="18"/>
                    </w:rPr>
                    <w:t>除盐水箱)</w:t>
                  </w:r>
                  <w:r>
                    <w:rPr>
                      <w:sz w:val="18"/>
                      <w:szCs w:val="18"/>
                    </w:rPr>
                    <w:t>→EDI</w:t>
                  </w:r>
                  <w:r>
                    <w:rPr>
                      <w:rFonts w:hint="eastAsia"/>
                      <w:sz w:val="18"/>
                      <w:szCs w:val="18"/>
                    </w:rPr>
                    <w:t>给水泵(新增)</w:t>
                  </w:r>
                  <w:r>
                    <w:rPr>
                      <w:sz w:val="18"/>
                      <w:szCs w:val="18"/>
                    </w:rPr>
                    <w:t>→EDI</w:t>
                  </w:r>
                  <w:r>
                    <w:rPr>
                      <w:rFonts w:hint="eastAsia"/>
                      <w:sz w:val="18"/>
                      <w:szCs w:val="18"/>
                    </w:rPr>
                    <w:t>装置(新增两套)</w:t>
                  </w:r>
                  <w:r>
                    <w:rPr>
                      <w:sz w:val="18"/>
                      <w:szCs w:val="18"/>
                    </w:rPr>
                    <w:t>→</w:t>
                  </w:r>
                  <w:r>
                    <w:rPr>
                      <w:rFonts w:hint="eastAsia"/>
                      <w:sz w:val="18"/>
                      <w:szCs w:val="18"/>
                    </w:rPr>
                    <w:t>除盐水箱(新增一台</w:t>
                  </w:r>
                  <w:r>
                    <w:rPr>
                      <w:sz w:val="18"/>
                      <w:szCs w:val="18"/>
                    </w:rPr>
                    <w:t>200m³</w:t>
                  </w:r>
                  <w:r>
                    <w:rPr>
                      <w:rFonts w:hint="eastAsia"/>
                      <w:sz w:val="18"/>
                      <w:szCs w:val="18"/>
                    </w:rPr>
                    <w:t>除盐水箱)</w:t>
                  </w:r>
                  <w:r>
                    <w:rPr>
                      <w:sz w:val="18"/>
                      <w:szCs w:val="18"/>
                    </w:rPr>
                    <w:t>→</w:t>
                  </w:r>
                  <w:r>
                    <w:rPr>
                      <w:rFonts w:hint="eastAsia"/>
                      <w:sz w:val="18"/>
                      <w:szCs w:val="18"/>
                    </w:rPr>
                    <w:t>除盐水泵(新增)</w:t>
                  </w:r>
                  <w:r>
                    <w:rPr>
                      <w:sz w:val="18"/>
                      <w:szCs w:val="18"/>
                    </w:rPr>
                    <w:t>/</w:t>
                  </w:r>
                  <w:r>
                    <w:rPr>
                      <w:rFonts w:hint="eastAsia"/>
                      <w:sz w:val="18"/>
                      <w:szCs w:val="18"/>
                    </w:rPr>
                    <w:t>锅炉上水泵(新增)</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58"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循环水系统</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 w:val="18"/>
                      <w:szCs w:val="18"/>
                    </w:rPr>
                  </w:pPr>
                  <w:r>
                    <w:rPr>
                      <w:rFonts w:hint="eastAsia"/>
                      <w:sz w:val="18"/>
                      <w:szCs w:val="18"/>
                    </w:rPr>
                    <w:t>原有</w:t>
                  </w:r>
                  <w:r>
                    <w:rPr>
                      <w:sz w:val="18"/>
                      <w:szCs w:val="18"/>
                    </w:rPr>
                    <w:t>2000m</w:t>
                  </w:r>
                  <w:r>
                    <w:rPr>
                      <w:sz w:val="18"/>
                      <w:szCs w:val="18"/>
                      <w:vertAlign w:val="superscript"/>
                    </w:rPr>
                    <w:t>2</w:t>
                  </w:r>
                  <w:r>
                    <w:rPr>
                      <w:rFonts w:hint="eastAsia"/>
                      <w:sz w:val="18"/>
                      <w:szCs w:val="18"/>
                    </w:rPr>
                    <w:t>双曲线自然通风冷却塔利旧，新建</w:t>
                  </w:r>
                  <w:r>
                    <w:rPr>
                      <w:sz w:val="18"/>
                      <w:szCs w:val="18"/>
                    </w:rPr>
                    <w:t>2000m</w:t>
                  </w:r>
                  <w:r>
                    <w:rPr>
                      <w:sz w:val="18"/>
                      <w:szCs w:val="18"/>
                      <w:vertAlign w:val="superscript"/>
                    </w:rPr>
                    <w:t>2</w:t>
                  </w:r>
                  <w:r>
                    <w:rPr>
                      <w:rFonts w:hint="eastAsia"/>
                      <w:sz w:val="18"/>
                      <w:szCs w:val="18"/>
                    </w:rPr>
                    <w:t>双曲线自然通风冷却塔。</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 w:val="18"/>
                      <w:szCs w:val="18"/>
                    </w:rPr>
                  </w:pPr>
                  <w:r>
                    <w:rPr>
                      <w:rFonts w:hint="eastAsia"/>
                      <w:sz w:val="18"/>
                      <w:szCs w:val="18"/>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辅助工程</w:t>
                  </w: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办公</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 w:val="18"/>
                      <w:szCs w:val="18"/>
                    </w:rPr>
                  </w:pPr>
                  <w:r>
                    <w:rPr>
                      <w:rFonts w:hint="eastAsia"/>
                      <w:sz w:val="18"/>
                      <w:szCs w:val="18"/>
                    </w:rPr>
                    <w:t>依托厂区原有办公楼。</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危废间</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both"/>
                    <w:rPr>
                      <w:sz w:val="18"/>
                      <w:szCs w:val="18"/>
                    </w:rPr>
                  </w:pPr>
                  <w:r>
                    <w:rPr>
                      <w:rFonts w:hint="eastAsia"/>
                      <w:sz w:val="18"/>
                      <w:szCs w:val="18"/>
                    </w:rPr>
                    <w:t>依托厂区原有危废间。设置在轧钢三分厂北侧，面积600m</w:t>
                  </w:r>
                  <w:r>
                    <w:rPr>
                      <w:rFonts w:hint="eastAsia"/>
                      <w:sz w:val="18"/>
                      <w:szCs w:val="18"/>
                      <w:vertAlign w:val="superscript"/>
                    </w:rPr>
                    <w:t>2</w:t>
                  </w:r>
                  <w:r>
                    <w:rPr>
                      <w:rFonts w:hint="eastAsia"/>
                      <w:sz w:val="18"/>
                      <w:szCs w:val="18"/>
                    </w:rPr>
                    <w:t>，全厂共用。</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58"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公用工程</w:t>
                  </w: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供水</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 w:val="18"/>
                      <w:szCs w:val="18"/>
                    </w:rPr>
                  </w:pPr>
                  <w:r>
                    <w:rPr>
                      <w:rFonts w:hint="eastAsia"/>
                      <w:sz w:val="18"/>
                      <w:szCs w:val="18"/>
                    </w:rPr>
                    <w:t>由迁安市九江线材有限责任公司统一供给，接自厂区东南侧现有生产生活给水管道</w:t>
                  </w:r>
                  <w:r>
                    <w:rPr>
                      <w:sz w:val="18"/>
                      <w:szCs w:val="18"/>
                    </w:rPr>
                    <w:t>。</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供电</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 w:val="18"/>
                      <w:szCs w:val="18"/>
                    </w:rPr>
                  </w:pPr>
                  <w:r>
                    <w:rPr>
                      <w:rFonts w:hint="eastAsia"/>
                      <w:sz w:val="18"/>
                      <w:szCs w:val="18"/>
                    </w:rPr>
                    <w:t>由迁安市九江线材有限责任公司供给，从已有</w:t>
                  </w:r>
                  <w:r>
                    <w:rPr>
                      <w:sz w:val="18"/>
                      <w:szCs w:val="18"/>
                    </w:rPr>
                    <w:t>10kV</w:t>
                  </w:r>
                  <w:r>
                    <w:rPr>
                      <w:rFonts w:hint="eastAsia"/>
                      <w:sz w:val="18"/>
                      <w:szCs w:val="18"/>
                    </w:rPr>
                    <w:t>供电网络引一路</w:t>
                  </w:r>
                  <w:r>
                    <w:rPr>
                      <w:sz w:val="18"/>
                      <w:szCs w:val="18"/>
                    </w:rPr>
                    <w:t>10kV</w:t>
                  </w:r>
                  <w:r>
                    <w:rPr>
                      <w:rFonts w:hint="eastAsia"/>
                      <w:sz w:val="18"/>
                      <w:szCs w:val="18"/>
                    </w:rPr>
                    <w:t>电源(约</w:t>
                  </w:r>
                  <w:r>
                    <w:rPr>
                      <w:sz w:val="18"/>
                      <w:szCs w:val="18"/>
                    </w:rPr>
                    <w:t>16MVA</w:t>
                  </w:r>
                  <w:r>
                    <w:rPr>
                      <w:rFonts w:hint="eastAsia"/>
                      <w:sz w:val="18"/>
                      <w:szCs w:val="18"/>
                    </w:rPr>
                    <w:t>)，作为本工程的备用电源，并兼作启动电源。</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58"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供热</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由迁安市九江线材有限责任公司统一供给。</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供气</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kern w:val="0"/>
                      <w:szCs w:val="21"/>
                    </w:rPr>
                  </w:pPr>
                  <w:r>
                    <w:rPr>
                      <w:rFonts w:hint="eastAsia"/>
                      <w:sz w:val="18"/>
                      <w:szCs w:val="18"/>
                    </w:rPr>
                    <w:t>高炉煤气、转炉煤气、压缩空气、氮气由迁安市九江线材有限责任公司供给，接自厂区南侧现有煤气管廊，并沿新建管架向北敷设至锅炉区域。</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环保工程</w:t>
                  </w:r>
                </w:p>
              </w:tc>
              <w:tc>
                <w:tcPr>
                  <w:tcW w:w="1066"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废气</w:t>
                  </w:r>
                </w:p>
              </w:tc>
              <w:tc>
                <w:tcPr>
                  <w:tcW w:w="561" w:type="pct"/>
                  <w:tcBorders>
                    <w:top w:val="single" w:color="auto" w:sz="4" w:space="0"/>
                    <w:left w:val="single" w:color="auto" w:sz="4" w:space="0"/>
                    <w:bottom w:val="single" w:color="auto" w:sz="4" w:space="0"/>
                    <w:right w:val="single" w:color="auto" w:sz="4" w:space="0"/>
                  </w:tcBorders>
                  <w:vAlign w:val="center"/>
                </w:tcPr>
                <w:p>
                  <w:pPr>
                    <w:pStyle w:val="128"/>
                    <w:spacing w:beforeLines="0" w:afterLines="0" w:line="240" w:lineRule="auto"/>
                    <w:ind w:firstLine="0" w:firstLineChars="0"/>
                    <w:rPr>
                      <w:rFonts w:ascii="Times New Roman"/>
                      <w:kern w:val="2"/>
                      <w:sz w:val="18"/>
                      <w:szCs w:val="18"/>
                    </w:rPr>
                  </w:pPr>
                  <w:r>
                    <w:rPr>
                      <w:rFonts w:hint="eastAsia" w:ascii="Times New Roman"/>
                      <w:kern w:val="2"/>
                      <w:sz w:val="18"/>
                      <w:szCs w:val="18"/>
                    </w:rPr>
                    <w:t>燃烧废气</w:t>
                  </w:r>
                </w:p>
              </w:tc>
              <w:tc>
                <w:tcPr>
                  <w:tcW w:w="250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both"/>
                    <w:rPr>
                      <w:sz w:val="18"/>
                      <w:szCs w:val="18"/>
                    </w:rPr>
                  </w:pPr>
                  <w:r>
                    <w:rPr>
                      <w:rFonts w:hint="eastAsia"/>
                      <w:sz w:val="18"/>
                      <w:szCs w:val="18"/>
                    </w:rPr>
                    <w:t>SCR脱硝+干法脱硫+布袋除尘器+100m高排气筒</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561" w:type="pct"/>
                  <w:tcBorders>
                    <w:top w:val="single" w:color="auto" w:sz="4" w:space="0"/>
                    <w:left w:val="single" w:color="auto" w:sz="4" w:space="0"/>
                    <w:bottom w:val="single" w:color="auto" w:sz="4" w:space="0"/>
                    <w:right w:val="single" w:color="auto" w:sz="4" w:space="0"/>
                  </w:tcBorders>
                  <w:vAlign w:val="center"/>
                </w:tcPr>
                <w:p>
                  <w:pPr>
                    <w:pStyle w:val="128"/>
                    <w:spacing w:beforeLines="0" w:afterLines="0" w:line="240" w:lineRule="auto"/>
                    <w:ind w:firstLine="0" w:firstLineChars="0"/>
                    <w:rPr>
                      <w:rFonts w:hint="default" w:ascii="Times New Roman" w:eastAsia="宋体"/>
                      <w:kern w:val="2"/>
                      <w:sz w:val="18"/>
                      <w:szCs w:val="18"/>
                      <w:lang w:val="en-US" w:eastAsia="zh-CN"/>
                    </w:rPr>
                  </w:pPr>
                  <w:r>
                    <w:rPr>
                      <w:rFonts w:hint="eastAsia" w:ascii="Times New Roman"/>
                      <w:kern w:val="2"/>
                      <w:sz w:val="18"/>
                      <w:szCs w:val="18"/>
                      <w:lang w:val="en-US" w:eastAsia="zh-CN"/>
                    </w:rPr>
                    <w:t>氨水罐</w:t>
                  </w:r>
                </w:p>
              </w:tc>
              <w:tc>
                <w:tcPr>
                  <w:tcW w:w="250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both"/>
                    <w:rPr>
                      <w:rFonts w:hint="eastAsia" w:eastAsia="宋体"/>
                      <w:sz w:val="18"/>
                      <w:szCs w:val="18"/>
                      <w:lang w:eastAsia="zh-CN"/>
                    </w:rPr>
                  </w:pPr>
                  <w:r>
                    <w:rPr>
                      <w:rFonts w:hint="eastAsia"/>
                      <w:sz w:val="18"/>
                      <w:szCs w:val="18"/>
                      <w:lang w:val="en-US" w:eastAsia="zh-CN"/>
                    </w:rPr>
                    <w:t>密闭</w:t>
                  </w:r>
                  <w:r>
                    <w:rPr>
                      <w:rFonts w:hint="eastAsia"/>
                      <w:sz w:val="18"/>
                      <w:szCs w:val="18"/>
                    </w:rPr>
                    <w:t>氨水罐</w:t>
                  </w:r>
                  <w:r>
                    <w:rPr>
                      <w:rFonts w:hint="eastAsia"/>
                      <w:sz w:val="18"/>
                      <w:szCs w:val="18"/>
                      <w:lang w:eastAsia="zh-CN"/>
                    </w:rPr>
                    <w:t>，</w:t>
                  </w:r>
                  <w:r>
                    <w:rPr>
                      <w:rFonts w:hint="eastAsia"/>
                      <w:sz w:val="18"/>
                      <w:szCs w:val="18"/>
                    </w:rPr>
                    <w:t>管路均采用全密闭工艺</w:t>
                  </w:r>
                  <w:r>
                    <w:rPr>
                      <w:rFonts w:hint="eastAsia"/>
                      <w:sz w:val="18"/>
                      <w:szCs w:val="18"/>
                      <w:lang w:eastAsia="zh-CN"/>
                    </w:rPr>
                    <w:t>，</w:t>
                  </w:r>
                  <w:r>
                    <w:rPr>
                      <w:rFonts w:hint="eastAsia"/>
                      <w:sz w:val="18"/>
                      <w:szCs w:val="18"/>
                      <w:lang w:val="en-US" w:eastAsia="zh-CN"/>
                    </w:rPr>
                    <w:t>装卸料采取平衡管工艺。</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561" w:type="pct"/>
                  <w:tcBorders>
                    <w:top w:val="single" w:color="auto" w:sz="4" w:space="0"/>
                    <w:left w:val="single" w:color="auto" w:sz="4" w:space="0"/>
                    <w:bottom w:val="single" w:color="auto" w:sz="4" w:space="0"/>
                    <w:right w:val="single" w:color="auto" w:sz="4" w:space="0"/>
                  </w:tcBorders>
                  <w:vAlign w:val="center"/>
                </w:tcPr>
                <w:p>
                  <w:pPr>
                    <w:pStyle w:val="128"/>
                    <w:spacing w:beforeLines="0" w:afterLines="0" w:line="240" w:lineRule="auto"/>
                    <w:ind w:firstLine="0" w:firstLineChars="0"/>
                    <w:rPr>
                      <w:rFonts w:hint="default" w:ascii="Times New Roman" w:eastAsia="宋体"/>
                      <w:kern w:val="2"/>
                      <w:sz w:val="18"/>
                      <w:szCs w:val="18"/>
                      <w:lang w:val="en-US" w:eastAsia="zh-CN"/>
                    </w:rPr>
                  </w:pPr>
                  <w:r>
                    <w:rPr>
                      <w:rFonts w:hint="eastAsia" w:ascii="Times New Roman"/>
                      <w:kern w:val="2"/>
                      <w:sz w:val="18"/>
                      <w:szCs w:val="18"/>
                      <w:lang w:val="en-US" w:eastAsia="zh-CN"/>
                    </w:rPr>
                    <w:t>酸罐</w:t>
                  </w:r>
                </w:p>
              </w:tc>
              <w:tc>
                <w:tcPr>
                  <w:tcW w:w="250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both"/>
                    <w:rPr>
                      <w:rFonts w:hint="eastAsia" w:eastAsia="宋体"/>
                      <w:sz w:val="18"/>
                      <w:szCs w:val="18"/>
                      <w:lang w:val="en-US" w:eastAsia="zh-CN"/>
                    </w:rPr>
                  </w:pPr>
                  <w:r>
                    <w:rPr>
                      <w:rFonts w:hint="eastAsia"/>
                      <w:sz w:val="18"/>
                      <w:szCs w:val="18"/>
                      <w:lang w:val="en-US" w:eastAsia="zh-CN"/>
                    </w:rPr>
                    <w:t>密闭酸罐，</w:t>
                  </w:r>
                  <w:r>
                    <w:rPr>
                      <w:rFonts w:hint="eastAsia"/>
                      <w:sz w:val="18"/>
                      <w:szCs w:val="18"/>
                    </w:rPr>
                    <w:t>管路均采用全密闭工艺</w:t>
                  </w:r>
                  <w:r>
                    <w:rPr>
                      <w:rFonts w:hint="eastAsia"/>
                      <w:sz w:val="18"/>
                      <w:szCs w:val="18"/>
                      <w:lang w:eastAsia="zh-CN"/>
                    </w:rPr>
                    <w:t>。</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561" w:type="pct"/>
                  <w:tcBorders>
                    <w:top w:val="single" w:color="auto" w:sz="4" w:space="0"/>
                    <w:left w:val="single" w:color="auto" w:sz="4" w:space="0"/>
                    <w:bottom w:val="single" w:color="auto" w:sz="4" w:space="0"/>
                    <w:right w:val="single" w:color="auto" w:sz="4" w:space="0"/>
                  </w:tcBorders>
                  <w:vAlign w:val="center"/>
                </w:tcPr>
                <w:p>
                  <w:pPr>
                    <w:pStyle w:val="128"/>
                    <w:spacing w:beforeLines="0" w:afterLines="0" w:line="240" w:lineRule="auto"/>
                    <w:ind w:firstLine="0" w:firstLineChars="0"/>
                    <w:rPr>
                      <w:rFonts w:hint="default" w:ascii="Times New Roman"/>
                      <w:kern w:val="2"/>
                      <w:sz w:val="18"/>
                      <w:szCs w:val="18"/>
                      <w:lang w:val="en-US" w:eastAsia="zh-CN"/>
                    </w:rPr>
                  </w:pPr>
                  <w:r>
                    <w:rPr>
                      <w:rFonts w:hint="eastAsia" w:ascii="Times New Roman"/>
                      <w:kern w:val="2"/>
                      <w:sz w:val="18"/>
                      <w:szCs w:val="18"/>
                      <w:lang w:val="en-US" w:eastAsia="zh-CN"/>
                    </w:rPr>
                    <w:t>主油箱</w:t>
                  </w:r>
                </w:p>
              </w:tc>
              <w:tc>
                <w:tcPr>
                  <w:tcW w:w="250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both"/>
                    <w:rPr>
                      <w:rFonts w:hint="default"/>
                      <w:sz w:val="18"/>
                      <w:szCs w:val="18"/>
                      <w:lang w:val="en-US" w:eastAsia="zh-CN"/>
                    </w:rPr>
                  </w:pPr>
                  <w:r>
                    <w:rPr>
                      <w:rFonts w:hint="eastAsia"/>
                      <w:sz w:val="18"/>
                      <w:szCs w:val="18"/>
                      <w:lang w:val="en-US" w:eastAsia="zh-CN"/>
                    </w:rPr>
                    <w:t>油雾吸收净化装置</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sz w:val="18"/>
                      <w:szCs w:val="18"/>
                    </w:rPr>
                  </w:pPr>
                  <w:r>
                    <w:rPr>
                      <w:rFonts w:hint="eastAsia"/>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废水</w:t>
                  </w:r>
                </w:p>
              </w:tc>
              <w:tc>
                <w:tcPr>
                  <w:tcW w:w="3064" w:type="pct"/>
                  <w:gridSpan w:val="2"/>
                  <w:tcBorders>
                    <w:top w:val="single" w:color="auto" w:sz="4" w:space="0"/>
                    <w:left w:val="single" w:color="auto" w:sz="4" w:space="0"/>
                    <w:right w:val="single" w:color="auto" w:sz="4" w:space="0"/>
                  </w:tcBorders>
                  <w:vAlign w:val="center"/>
                </w:tcPr>
                <w:p>
                  <w:pPr>
                    <w:widowControl/>
                    <w:spacing w:line="240" w:lineRule="auto"/>
                    <w:ind w:firstLine="0" w:firstLineChars="0"/>
                    <w:rPr>
                      <w:sz w:val="18"/>
                      <w:szCs w:val="18"/>
                    </w:rPr>
                  </w:pPr>
                  <w:r>
                    <w:rPr>
                      <w:rFonts w:hint="eastAsia"/>
                      <w:sz w:val="18"/>
                      <w:szCs w:val="18"/>
                    </w:rPr>
                    <w:t>本工程循环冷却水系统排污水、锅炉启动系统冲洗排水、除盐水制备工序产生的浓盐水经管道排入场地北侧厂区现有污水管道，混床再生产生的酸、碱废水经地沟排至机组排水槽内，并加入少量酸、碱进行调节，与其他生产废水一同排入迁安市九江线材有限责任公司厂区综合污水处理站，处理后回用于生产。</w:t>
                  </w:r>
                </w:p>
              </w:tc>
              <w:tc>
                <w:tcPr>
                  <w:tcW w:w="511"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噪声</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 w:val="18"/>
                      <w:szCs w:val="18"/>
                    </w:rPr>
                  </w:pPr>
                  <w:r>
                    <w:rPr>
                      <w:sz w:val="18"/>
                      <w:szCs w:val="18"/>
                    </w:rPr>
                    <w:t>选用低噪声设备，机械设备采用基础减震、厂房隔声。</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一般固废</w:t>
                  </w:r>
                </w:p>
              </w:tc>
              <w:tc>
                <w:tcPr>
                  <w:tcW w:w="3064" w:type="pct"/>
                  <w:gridSpan w:val="2"/>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rPr>
                      <w:sz w:val="18"/>
                      <w:szCs w:val="18"/>
                    </w:rPr>
                  </w:pPr>
                  <w:r>
                    <w:rPr>
                      <w:rFonts w:hint="eastAsia"/>
                      <w:sz w:val="18"/>
                      <w:szCs w:val="18"/>
                    </w:rPr>
                    <w:t>树脂再生后循环使用；除尘灰收集后作为化工原料外售</w:t>
                  </w:r>
                  <w:r>
                    <w:rPr>
                      <w:rFonts w:hint="eastAsia"/>
                      <w:sz w:val="18"/>
                      <w:szCs w:val="18"/>
                      <w:lang w:eastAsia="zh-CN"/>
                    </w:rPr>
                    <w:t>，</w:t>
                  </w:r>
                  <w:r>
                    <w:rPr>
                      <w:rFonts w:hint="eastAsia"/>
                      <w:sz w:val="18"/>
                      <w:szCs w:val="18"/>
                      <w:lang w:val="en-US" w:eastAsia="zh-CN"/>
                    </w:rPr>
                    <w:t>废布袋收集后由厂家回收</w:t>
                  </w:r>
                  <w:r>
                    <w:rPr>
                      <w:rFonts w:hint="eastAsia"/>
                      <w:sz w:val="18"/>
                      <w:szCs w:val="18"/>
                    </w:rPr>
                    <w:t>。</w:t>
                  </w:r>
                </w:p>
              </w:tc>
              <w:tc>
                <w:tcPr>
                  <w:tcW w:w="511"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p>
              </w:tc>
              <w:tc>
                <w:tcPr>
                  <w:tcW w:w="10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sz w:val="18"/>
                      <w:szCs w:val="18"/>
                    </w:rPr>
                    <w:t>危险废物</w:t>
                  </w:r>
                </w:p>
              </w:tc>
              <w:tc>
                <w:tcPr>
                  <w:tcW w:w="306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sz w:val="18"/>
                      <w:szCs w:val="18"/>
                    </w:rPr>
                  </w:pPr>
                  <w:r>
                    <w:rPr>
                      <w:rFonts w:hint="eastAsia"/>
                      <w:sz w:val="18"/>
                      <w:szCs w:val="18"/>
                    </w:rPr>
                    <w:t>废SCR催化剂(HW50，钒钛系)、废矿物油(废液压油、废润滑油)</w:t>
                  </w:r>
                  <w:r>
                    <w:rPr>
                      <w:sz w:val="18"/>
                      <w:szCs w:val="18"/>
                    </w:rPr>
                    <w:t>、废滤芯、滤纸和滤网等危险废物集中收集于塑料桶内与废油桶</w:t>
                  </w:r>
                  <w:r>
                    <w:rPr>
                      <w:rFonts w:hint="eastAsia"/>
                      <w:sz w:val="18"/>
                      <w:szCs w:val="18"/>
                    </w:rPr>
                    <w:t>在危废间暂存后</w:t>
                  </w:r>
                  <w:r>
                    <w:rPr>
                      <w:sz w:val="18"/>
                      <w:szCs w:val="18"/>
                    </w:rPr>
                    <w:t>，定期交与有资质的单位处置。</w:t>
                  </w:r>
                </w:p>
              </w:tc>
              <w:tc>
                <w:tcPr>
                  <w:tcW w:w="5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sz w:val="18"/>
                      <w:szCs w:val="18"/>
                    </w:rPr>
                  </w:pPr>
                  <w:r>
                    <w:rPr>
                      <w:rFonts w:hint="eastAsia"/>
                      <w:sz w:val="18"/>
                      <w:szCs w:val="18"/>
                    </w:rPr>
                    <w:t>依托</w:t>
                  </w:r>
                </w:p>
              </w:tc>
            </w:tr>
          </w:tbl>
          <w:p>
            <w:pPr>
              <w:tabs>
                <w:tab w:val="left" w:pos="2375"/>
                <w:tab w:val="center" w:pos="4239"/>
              </w:tabs>
              <w:adjustRightInd w:val="0"/>
              <w:snapToGrid w:val="0"/>
              <w:spacing w:before="120" w:beforeLines="50"/>
              <w:ind w:firstLine="480"/>
            </w:pPr>
            <w:r>
              <w:rPr>
                <w:rFonts w:hint="eastAsia"/>
              </w:rPr>
              <w:t>3、</w:t>
            </w:r>
            <w:r>
              <w:t>主要产品及产能</w:t>
            </w:r>
          </w:p>
          <w:p>
            <w:pPr>
              <w:widowControl/>
              <w:adjustRightInd w:val="0"/>
              <w:snapToGrid w:val="0"/>
              <w:spacing w:line="240" w:lineRule="auto"/>
              <w:ind w:firstLine="0" w:firstLineChars="0"/>
              <w:jc w:val="center"/>
              <w:rPr>
                <w:b/>
                <w:bCs/>
              </w:rPr>
            </w:pPr>
            <w:r>
              <w:rPr>
                <w:b/>
                <w:bCs/>
              </w:rPr>
              <w:t>表</w:t>
            </w:r>
            <w:r>
              <w:rPr>
                <w:rFonts w:hint="eastAsia"/>
                <w:b/>
                <w:bCs/>
              </w:rPr>
              <w:t>10</w:t>
            </w:r>
            <w:r>
              <w:rPr>
                <w:b/>
                <w:bCs/>
              </w:rPr>
              <w:t xml:space="preserve">    产品种类及规模一览表</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167"/>
              <w:gridCol w:w="2607"/>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3" w:type="pct"/>
                  <w:vAlign w:val="center"/>
                </w:tcPr>
                <w:p>
                  <w:pPr>
                    <w:pStyle w:val="133"/>
                    <w:spacing w:line="240" w:lineRule="auto"/>
                    <w:ind w:firstLine="0" w:firstLineChars="0"/>
                    <w:jc w:val="center"/>
                    <w:rPr>
                      <w:rFonts w:ascii="Times New Roman"/>
                      <w:color w:val="000000"/>
                      <w:sz w:val="18"/>
                      <w:szCs w:val="18"/>
                    </w:rPr>
                  </w:pPr>
                  <w:r>
                    <w:rPr>
                      <w:rFonts w:ascii="Times New Roman"/>
                      <w:color w:val="000000"/>
                      <w:sz w:val="18"/>
                      <w:szCs w:val="18"/>
                    </w:rPr>
                    <w:t>序号</w:t>
                  </w:r>
                </w:p>
              </w:tc>
              <w:tc>
                <w:tcPr>
                  <w:tcW w:w="1888" w:type="pct"/>
                  <w:vAlign w:val="center"/>
                </w:tcPr>
                <w:p>
                  <w:pPr>
                    <w:pStyle w:val="133"/>
                    <w:spacing w:line="240" w:lineRule="auto"/>
                    <w:ind w:firstLine="0" w:firstLineChars="0"/>
                    <w:jc w:val="center"/>
                    <w:rPr>
                      <w:rFonts w:ascii="Times New Roman"/>
                      <w:color w:val="000000"/>
                      <w:sz w:val="18"/>
                      <w:szCs w:val="18"/>
                    </w:rPr>
                  </w:pPr>
                  <w:r>
                    <w:rPr>
                      <w:rFonts w:ascii="Times New Roman"/>
                      <w:color w:val="000000"/>
                      <w:sz w:val="18"/>
                      <w:szCs w:val="18"/>
                    </w:rPr>
                    <w:t>产品名称</w:t>
                  </w:r>
                </w:p>
              </w:tc>
              <w:tc>
                <w:tcPr>
                  <w:tcW w:w="1554" w:type="pct"/>
                  <w:vAlign w:val="center"/>
                </w:tcPr>
                <w:p>
                  <w:pPr>
                    <w:pStyle w:val="133"/>
                    <w:spacing w:line="240" w:lineRule="auto"/>
                    <w:ind w:firstLine="0" w:firstLineChars="0"/>
                    <w:jc w:val="center"/>
                    <w:rPr>
                      <w:rFonts w:ascii="Times New Roman"/>
                      <w:color w:val="000000"/>
                      <w:sz w:val="18"/>
                      <w:szCs w:val="18"/>
                    </w:rPr>
                  </w:pPr>
                  <w:r>
                    <w:rPr>
                      <w:rFonts w:ascii="Times New Roman"/>
                      <w:color w:val="000000"/>
                      <w:sz w:val="18"/>
                      <w:szCs w:val="18"/>
                    </w:rPr>
                    <w:t>单位</w:t>
                  </w:r>
                </w:p>
              </w:tc>
              <w:tc>
                <w:tcPr>
                  <w:tcW w:w="893" w:type="pct"/>
                  <w:vAlign w:val="center"/>
                </w:tcPr>
                <w:p>
                  <w:pPr>
                    <w:pStyle w:val="133"/>
                    <w:spacing w:line="240" w:lineRule="auto"/>
                    <w:ind w:firstLine="0" w:firstLineChars="0"/>
                    <w:jc w:val="center"/>
                    <w:rPr>
                      <w:rFonts w:ascii="Times New Roman"/>
                      <w:color w:val="000000"/>
                      <w:sz w:val="18"/>
                      <w:szCs w:val="18"/>
                    </w:rPr>
                  </w:pPr>
                  <w:r>
                    <w:rPr>
                      <w:rFonts w:ascii="Times New Roman"/>
                      <w:color w:val="00000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3" w:type="pct"/>
                  <w:vAlign w:val="center"/>
                </w:tcPr>
                <w:p>
                  <w:pPr>
                    <w:pStyle w:val="133"/>
                    <w:spacing w:line="240" w:lineRule="auto"/>
                    <w:ind w:firstLine="0" w:firstLineChars="0"/>
                    <w:jc w:val="center"/>
                    <w:rPr>
                      <w:rFonts w:ascii="Times New Roman"/>
                      <w:color w:val="000000"/>
                      <w:sz w:val="18"/>
                      <w:szCs w:val="18"/>
                    </w:rPr>
                  </w:pPr>
                  <w:r>
                    <w:rPr>
                      <w:rFonts w:ascii="Times New Roman"/>
                      <w:color w:val="000000"/>
                      <w:sz w:val="18"/>
                      <w:szCs w:val="18"/>
                    </w:rPr>
                    <w:t>1</w:t>
                  </w:r>
                </w:p>
              </w:tc>
              <w:tc>
                <w:tcPr>
                  <w:tcW w:w="1888" w:type="pct"/>
                  <w:vAlign w:val="center"/>
                </w:tcPr>
                <w:p>
                  <w:pPr>
                    <w:pStyle w:val="133"/>
                    <w:spacing w:line="240" w:lineRule="auto"/>
                    <w:ind w:firstLine="0" w:firstLineChars="0"/>
                    <w:jc w:val="center"/>
                    <w:rPr>
                      <w:rFonts w:ascii="Times New Roman"/>
                      <w:color w:val="000000"/>
                      <w:sz w:val="18"/>
                      <w:szCs w:val="18"/>
                    </w:rPr>
                  </w:pPr>
                  <w:r>
                    <w:rPr>
                      <w:rFonts w:hint="eastAsia" w:ascii="Times New Roman"/>
                      <w:color w:val="000000"/>
                      <w:sz w:val="18"/>
                      <w:szCs w:val="18"/>
                    </w:rPr>
                    <w:t>发电量</w:t>
                  </w:r>
                </w:p>
              </w:tc>
              <w:tc>
                <w:tcPr>
                  <w:tcW w:w="1554" w:type="pct"/>
                  <w:vAlign w:val="center"/>
                </w:tcPr>
                <w:p>
                  <w:pPr>
                    <w:pStyle w:val="133"/>
                    <w:spacing w:line="240" w:lineRule="auto"/>
                    <w:ind w:firstLine="0" w:firstLineChars="0"/>
                    <w:jc w:val="center"/>
                    <w:rPr>
                      <w:rFonts w:ascii="Times New Roman"/>
                      <w:color w:val="000000"/>
                      <w:sz w:val="18"/>
                      <w:szCs w:val="18"/>
                    </w:rPr>
                  </w:pPr>
                  <w:r>
                    <w:rPr>
                      <w:rFonts w:hint="eastAsia" w:ascii="Times New Roman"/>
                      <w:color w:val="000000"/>
                      <w:sz w:val="18"/>
                      <w:szCs w:val="18"/>
                    </w:rPr>
                    <w:t>kWh</w:t>
                  </w:r>
                </w:p>
              </w:tc>
              <w:tc>
                <w:tcPr>
                  <w:tcW w:w="893" w:type="pct"/>
                  <w:vAlign w:val="center"/>
                </w:tcPr>
                <w:p>
                  <w:pPr>
                    <w:pStyle w:val="133"/>
                    <w:spacing w:line="240" w:lineRule="auto"/>
                    <w:ind w:firstLine="0" w:firstLineChars="0"/>
                    <w:jc w:val="center"/>
                    <w:rPr>
                      <w:rFonts w:ascii="Times New Roman"/>
                      <w:color w:val="000000"/>
                      <w:sz w:val="18"/>
                      <w:szCs w:val="18"/>
                    </w:rPr>
                  </w:pPr>
                  <w:r>
                    <w:rPr>
                      <w:rFonts w:hint="eastAsia" w:ascii="Times New Roman"/>
                      <w:color w:val="000000"/>
                      <w:sz w:val="18"/>
                      <w:szCs w:val="18"/>
                    </w:rPr>
                    <w:t>128000万</w:t>
                  </w:r>
                </w:p>
              </w:tc>
            </w:tr>
          </w:tbl>
          <w:p>
            <w:pPr>
              <w:tabs>
                <w:tab w:val="left" w:pos="2375"/>
                <w:tab w:val="center" w:pos="4239"/>
              </w:tabs>
              <w:adjustRightInd w:val="0"/>
              <w:snapToGrid w:val="0"/>
              <w:spacing w:before="120" w:beforeLines="50"/>
              <w:ind w:firstLine="480"/>
            </w:pPr>
            <w:r>
              <w:rPr>
                <w:rFonts w:hint="eastAsia"/>
              </w:rPr>
              <w:t>4、</w:t>
            </w:r>
            <w:r>
              <w:t>主要生产单元</w:t>
            </w:r>
          </w:p>
          <w:p>
            <w:pPr>
              <w:tabs>
                <w:tab w:val="left" w:pos="2375"/>
                <w:tab w:val="center" w:pos="4239"/>
              </w:tabs>
              <w:adjustRightInd w:val="0"/>
              <w:snapToGrid w:val="0"/>
              <w:ind w:firstLine="480"/>
            </w:pPr>
            <w:r>
              <w:t>项目主要生产单元及主要建构筑物具体见表</w:t>
            </w:r>
            <w:r>
              <w:rPr>
                <w:rFonts w:hint="eastAsia"/>
              </w:rPr>
              <w:t>11</w:t>
            </w:r>
            <w:r>
              <w:t>。</w:t>
            </w:r>
          </w:p>
          <w:p>
            <w:pPr>
              <w:widowControl/>
              <w:adjustRightInd w:val="0"/>
              <w:snapToGrid w:val="0"/>
              <w:spacing w:line="240" w:lineRule="auto"/>
              <w:ind w:firstLine="0" w:firstLineChars="0"/>
              <w:jc w:val="center"/>
              <w:rPr>
                <w:b/>
                <w:bCs/>
              </w:rPr>
            </w:pPr>
            <w:r>
              <w:rPr>
                <w:b/>
                <w:bCs/>
              </w:rPr>
              <w:t>表</w:t>
            </w:r>
            <w:r>
              <w:rPr>
                <w:rFonts w:hint="eastAsia"/>
                <w:b/>
                <w:bCs/>
              </w:rPr>
              <w:t>11</w:t>
            </w:r>
            <w:r>
              <w:rPr>
                <w:b/>
                <w:bCs/>
              </w:rPr>
              <w:t xml:space="preserve">    项目主要建筑物一览表</w:t>
            </w:r>
          </w:p>
          <w:tbl>
            <w:tblPr>
              <w:tblStyle w:val="7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9"/>
              <w:gridCol w:w="2928"/>
              <w:gridCol w:w="2253"/>
              <w:gridCol w:w="735"/>
              <w:gridCol w:w="792"/>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序号</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工程名称</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结构型式</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层数</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面积(</w:t>
                  </w:r>
                  <w:r>
                    <w:rPr>
                      <w:rFonts w:hint="eastAsia"/>
                      <w:sz w:val="18"/>
                      <w:szCs w:val="18"/>
                    </w:rPr>
                    <w:t>m</w:t>
                  </w:r>
                  <w:r>
                    <w:rPr>
                      <w:rFonts w:hint="eastAsia"/>
                      <w:sz w:val="18"/>
                      <w:szCs w:val="18"/>
                      <w:vertAlign w:val="superscript"/>
                    </w:rPr>
                    <w:t>2</w:t>
                  </w:r>
                  <w:r>
                    <w:rPr>
                      <w:sz w:val="18"/>
                      <w:szCs w:val="18"/>
                    </w:rPr>
                    <w:t>)</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施工情况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lang w:val="zh-CN"/>
                    </w:rPr>
                    <w:t>主厂房</w:t>
                  </w:r>
                  <w:r>
                    <w:rPr>
                      <w:rFonts w:hint="eastAsia"/>
                      <w:sz w:val="18"/>
                      <w:szCs w:val="18"/>
                    </w:rPr>
                    <w:t>(</w:t>
                  </w:r>
                  <w:r>
                    <w:rPr>
                      <w:sz w:val="18"/>
                      <w:szCs w:val="18"/>
                      <w:lang w:val="zh-CN"/>
                    </w:rPr>
                    <w:t>汽机跨、除氧跨、</w:t>
                  </w:r>
                  <w:r>
                    <w:rPr>
                      <w:sz w:val="18"/>
                      <w:szCs w:val="18"/>
                    </w:rPr>
                    <w:t>锅炉跨等</w:t>
                  </w:r>
                  <w:r>
                    <w:rPr>
                      <w:rFonts w:hint="eastAsia"/>
                      <w:sz w:val="18"/>
                      <w:szCs w:val="18"/>
                    </w:rPr>
                    <w:t>)</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lang w:val="zh-CN"/>
                    </w:rPr>
                    <w:t>钢筋混凝土框排架结构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2/5</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2257.50</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2</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精处理车间</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钢筋混凝土</w:t>
                  </w:r>
                  <w:r>
                    <w:rPr>
                      <w:sz w:val="18"/>
                      <w:szCs w:val="18"/>
                    </w:rPr>
                    <w:t>框架</w:t>
                  </w:r>
                  <w:r>
                    <w:rPr>
                      <w:sz w:val="18"/>
                      <w:szCs w:val="18"/>
                      <w:lang w:val="zh-CN"/>
                    </w:rPr>
                    <w:t>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160</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3</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高厂变/主变压器室</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钢筋混凝土框架结构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81</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4</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rPr>
                    <w:t>自然通风冷却塔</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钢筋混凝土结构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rPr>
                    <w:t>/</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2000</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5</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循环水泵房</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钢筋混凝土框架结构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353.10</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6</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机械通风冷却塔</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钢筋混凝土结构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7</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灰库及研磨机房</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钢筋混凝土框架结构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111.60</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8</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CEMS小室</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钢筋混凝土框架结构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12</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lang w:val="zh-CN"/>
                    </w:rPr>
                  </w:pPr>
                  <w:r>
                    <w:rPr>
                      <w:sz w:val="18"/>
                      <w:szCs w:val="18"/>
                      <w:lang w:val="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9</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管道支架</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混凝土结构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w:t>
                  </w:r>
                </w:p>
              </w:tc>
              <w:tc>
                <w:tcPr>
                  <w:tcW w:w="472"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w:t>
                  </w:r>
                </w:p>
              </w:tc>
              <w:tc>
                <w:tcPr>
                  <w:tcW w:w="614"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8"/>
                    <w:snapToGrid w:val="0"/>
                    <w:spacing w:before="0" w:beforeLines="0" w:after="0" w:afterLines="0" w:line="360" w:lineRule="atLeast"/>
                    <w:rPr>
                      <w:sz w:val="18"/>
                      <w:szCs w:val="18"/>
                    </w:rPr>
                  </w:pPr>
                  <w:r>
                    <w:rPr>
                      <w:sz w:val="18"/>
                      <w:szCs w:val="18"/>
                    </w:rPr>
                    <w:t>10</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研磨机房及变频器室、配电室</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lang w:val="zh-CN"/>
                    </w:rPr>
                  </w:pPr>
                  <w:r>
                    <w:rPr>
                      <w:color w:val="auto"/>
                      <w:kern w:val="2"/>
                      <w:sz w:val="18"/>
                      <w:szCs w:val="18"/>
                      <w:lang w:val="zh-CN"/>
                    </w:rPr>
                    <w:t>钢筋混凝土框架结构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1</w:t>
                  </w:r>
                </w:p>
              </w:tc>
              <w:tc>
                <w:tcPr>
                  <w:tcW w:w="472"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520</w:t>
                  </w:r>
                </w:p>
              </w:tc>
              <w:tc>
                <w:tcPr>
                  <w:tcW w:w="614"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lang w:val="zh-CN"/>
                    </w:rPr>
                  </w:pPr>
                  <w:r>
                    <w:rPr>
                      <w:color w:val="auto"/>
                      <w:kern w:val="2"/>
                      <w:sz w:val="18"/>
                      <w:szCs w:val="18"/>
                      <w:lang w:val="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11</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引风机房</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lang w:val="zh-CN"/>
                    </w:rPr>
                  </w:pPr>
                  <w:r>
                    <w:rPr>
                      <w:color w:val="auto"/>
                      <w:kern w:val="2"/>
                      <w:sz w:val="18"/>
                      <w:szCs w:val="18"/>
                      <w:lang w:val="zh-CN"/>
                    </w:rPr>
                    <w:t>钢筋混凝土框架结构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1</w:t>
                  </w:r>
                </w:p>
              </w:tc>
              <w:tc>
                <w:tcPr>
                  <w:tcW w:w="472"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198</w:t>
                  </w:r>
                </w:p>
              </w:tc>
              <w:tc>
                <w:tcPr>
                  <w:tcW w:w="614"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lang w:val="zh-CN"/>
                    </w:rPr>
                  </w:pPr>
                  <w:r>
                    <w:rPr>
                      <w:color w:val="auto"/>
                      <w:kern w:val="2"/>
                      <w:sz w:val="18"/>
                      <w:szCs w:val="18"/>
                      <w:lang w:val="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12</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氨水站区</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钢结构+混凝土</w:t>
                  </w:r>
                </w:p>
              </w:tc>
              <w:tc>
                <w:tcPr>
                  <w:tcW w:w="438"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1</w:t>
                  </w:r>
                </w:p>
              </w:tc>
              <w:tc>
                <w:tcPr>
                  <w:tcW w:w="472"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rPr>
                    <w:t>229.32</w:t>
                  </w:r>
                </w:p>
              </w:tc>
              <w:tc>
                <w:tcPr>
                  <w:tcW w:w="614"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lang w:val="zh-CN"/>
                    </w:rPr>
                  </w:pPr>
                  <w:r>
                    <w:rPr>
                      <w:color w:val="auto"/>
                      <w:kern w:val="2"/>
                      <w:sz w:val="18"/>
                      <w:szCs w:val="18"/>
                      <w:lang w:val="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87"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rFonts w:hint="default" w:eastAsia="宋体"/>
                      <w:color w:val="auto"/>
                      <w:kern w:val="2"/>
                      <w:sz w:val="18"/>
                      <w:szCs w:val="18"/>
                      <w:lang w:val="en-US" w:eastAsia="zh-CN"/>
                    </w:rPr>
                  </w:pPr>
                  <w:r>
                    <w:rPr>
                      <w:rFonts w:hint="eastAsia"/>
                      <w:color w:val="auto"/>
                      <w:kern w:val="2"/>
                      <w:sz w:val="18"/>
                      <w:szCs w:val="18"/>
                      <w:lang w:val="en-US" w:eastAsia="zh-CN"/>
                    </w:rPr>
                    <w:t>13</w:t>
                  </w:r>
                </w:p>
              </w:tc>
              <w:tc>
                <w:tcPr>
                  <w:tcW w:w="1745"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rFonts w:hint="eastAsia" w:eastAsia="宋体"/>
                      <w:color w:val="auto"/>
                      <w:kern w:val="2"/>
                      <w:sz w:val="18"/>
                      <w:szCs w:val="18"/>
                      <w:lang w:val="en-US" w:eastAsia="zh-CN"/>
                    </w:rPr>
                  </w:pPr>
                  <w:r>
                    <w:rPr>
                      <w:rFonts w:hint="eastAsia"/>
                      <w:color w:val="auto"/>
                      <w:kern w:val="2"/>
                      <w:sz w:val="18"/>
                      <w:szCs w:val="18"/>
                      <w:lang w:val="en-US" w:eastAsia="zh-CN"/>
                    </w:rPr>
                    <w:t>灰库</w:t>
                  </w:r>
                </w:p>
              </w:tc>
              <w:tc>
                <w:tcPr>
                  <w:tcW w:w="1343"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color w:val="auto"/>
                      <w:kern w:val="2"/>
                      <w:sz w:val="18"/>
                      <w:szCs w:val="18"/>
                    </w:rPr>
                  </w:pPr>
                  <w:r>
                    <w:rPr>
                      <w:color w:val="auto"/>
                      <w:kern w:val="2"/>
                      <w:sz w:val="18"/>
                      <w:szCs w:val="18"/>
                      <w:lang w:val="zh-CN"/>
                    </w:rPr>
                    <w:t>钢筋混凝土框架结构</w:t>
                  </w:r>
                </w:p>
              </w:tc>
              <w:tc>
                <w:tcPr>
                  <w:tcW w:w="438"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rFonts w:hint="eastAsia" w:eastAsia="宋体"/>
                      <w:color w:val="auto"/>
                      <w:kern w:val="2"/>
                      <w:sz w:val="18"/>
                      <w:szCs w:val="18"/>
                      <w:lang w:val="en-US" w:eastAsia="zh-CN"/>
                    </w:rPr>
                  </w:pPr>
                  <w:r>
                    <w:rPr>
                      <w:rFonts w:hint="eastAsia"/>
                      <w:color w:val="auto"/>
                      <w:kern w:val="2"/>
                      <w:sz w:val="18"/>
                      <w:szCs w:val="18"/>
                      <w:lang w:val="en-US" w:eastAsia="zh-CN"/>
                    </w:rPr>
                    <w:t>1</w:t>
                  </w:r>
                </w:p>
              </w:tc>
              <w:tc>
                <w:tcPr>
                  <w:tcW w:w="472"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rFonts w:hint="default" w:eastAsia="宋体"/>
                      <w:color w:val="auto"/>
                      <w:kern w:val="2"/>
                      <w:sz w:val="18"/>
                      <w:szCs w:val="18"/>
                      <w:lang w:val="en-US" w:eastAsia="zh-CN"/>
                    </w:rPr>
                  </w:pPr>
                  <w:r>
                    <w:rPr>
                      <w:rFonts w:hint="eastAsia"/>
                      <w:color w:val="auto"/>
                      <w:kern w:val="2"/>
                      <w:sz w:val="18"/>
                      <w:szCs w:val="18"/>
                      <w:lang w:val="en-US" w:eastAsia="zh-CN"/>
                    </w:rPr>
                    <w:t>20</w:t>
                  </w:r>
                </w:p>
              </w:tc>
              <w:tc>
                <w:tcPr>
                  <w:tcW w:w="614" w:type="pct"/>
                  <w:tcBorders>
                    <w:top w:val="single" w:color="auto" w:sz="4" w:space="0"/>
                    <w:left w:val="single" w:color="auto" w:sz="4" w:space="0"/>
                    <w:bottom w:val="single" w:color="auto" w:sz="4" w:space="0"/>
                    <w:right w:val="single" w:color="auto" w:sz="4" w:space="0"/>
                  </w:tcBorders>
                  <w:vAlign w:val="center"/>
                </w:tcPr>
                <w:p>
                  <w:pPr>
                    <w:pStyle w:val="1719"/>
                    <w:spacing w:line="360" w:lineRule="atLeast"/>
                    <w:rPr>
                      <w:rFonts w:hint="eastAsia" w:eastAsia="宋体"/>
                      <w:color w:val="auto"/>
                      <w:kern w:val="2"/>
                      <w:sz w:val="18"/>
                      <w:szCs w:val="18"/>
                      <w:lang w:val="en-US" w:eastAsia="zh-CN"/>
                    </w:rPr>
                  </w:pPr>
                  <w:r>
                    <w:rPr>
                      <w:rFonts w:hint="eastAsia"/>
                      <w:color w:val="auto"/>
                      <w:kern w:val="2"/>
                      <w:sz w:val="18"/>
                      <w:szCs w:val="18"/>
                      <w:lang w:val="en-US" w:eastAsia="zh-CN"/>
                    </w:rPr>
                    <w:t>新建</w:t>
                  </w:r>
                </w:p>
              </w:tc>
            </w:tr>
          </w:tbl>
          <w:p>
            <w:pPr>
              <w:tabs>
                <w:tab w:val="left" w:pos="2375"/>
                <w:tab w:val="center" w:pos="4239"/>
              </w:tabs>
              <w:adjustRightInd w:val="0"/>
              <w:snapToGrid w:val="0"/>
              <w:ind w:firstLine="480"/>
              <w:jc w:val="both"/>
            </w:pPr>
            <w:r>
              <w:rPr>
                <w:rFonts w:hint="eastAsia"/>
              </w:rPr>
              <w:t>5、主</w:t>
            </w:r>
            <w:r>
              <w:t>要生产设施及设施参数</w:t>
            </w:r>
          </w:p>
          <w:p>
            <w:pPr>
              <w:tabs>
                <w:tab w:val="left" w:pos="2375"/>
                <w:tab w:val="center" w:pos="4239"/>
              </w:tabs>
              <w:adjustRightInd w:val="0"/>
              <w:snapToGrid w:val="0"/>
              <w:ind w:firstLine="480"/>
              <w:jc w:val="both"/>
            </w:pPr>
            <w:r>
              <w:t>项目主要生产设施及设施参数见下表。</w:t>
            </w:r>
          </w:p>
          <w:p>
            <w:pPr>
              <w:widowControl/>
              <w:adjustRightInd w:val="0"/>
              <w:snapToGrid w:val="0"/>
              <w:spacing w:line="240" w:lineRule="auto"/>
              <w:ind w:firstLine="0" w:firstLineChars="0"/>
              <w:jc w:val="center"/>
              <w:rPr>
                <w:b/>
                <w:bCs/>
              </w:rPr>
            </w:pPr>
            <w:r>
              <w:rPr>
                <w:b/>
                <w:bCs/>
              </w:rPr>
              <w:t>表</w:t>
            </w:r>
            <w:r>
              <w:rPr>
                <w:rFonts w:hint="eastAsia"/>
                <w:b/>
                <w:bCs/>
              </w:rPr>
              <w:t>12</w:t>
            </w:r>
            <w:r>
              <w:rPr>
                <w:b/>
                <w:bCs/>
              </w:rPr>
              <w:t xml:space="preserve">    主要生产设备一览表</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441"/>
              <w:gridCol w:w="1766"/>
              <w:gridCol w:w="3559"/>
              <w:gridCol w:w="661"/>
              <w:gridCol w:w="673"/>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367" w:type="pct"/>
                  <w:vAlign w:val="center"/>
                </w:tcPr>
                <w:p>
                  <w:pPr>
                    <w:spacing w:line="280" w:lineRule="exact"/>
                    <w:ind w:firstLine="0" w:firstLineChars="0"/>
                    <w:jc w:val="center"/>
                    <w:rPr>
                      <w:kern w:val="0"/>
                      <w:sz w:val="18"/>
                      <w:szCs w:val="18"/>
                    </w:rPr>
                  </w:pPr>
                  <w:r>
                    <w:rPr>
                      <w:kern w:val="0"/>
                      <w:sz w:val="18"/>
                      <w:szCs w:val="18"/>
                    </w:rPr>
                    <w:t>序号</w:t>
                  </w:r>
                </w:p>
              </w:tc>
              <w:tc>
                <w:tcPr>
                  <w:tcW w:w="1316" w:type="pct"/>
                  <w:gridSpan w:val="2"/>
                  <w:vAlign w:val="center"/>
                </w:tcPr>
                <w:p>
                  <w:pPr>
                    <w:spacing w:line="280" w:lineRule="exact"/>
                    <w:ind w:firstLine="0" w:firstLineChars="0"/>
                    <w:jc w:val="center"/>
                    <w:rPr>
                      <w:kern w:val="0"/>
                      <w:sz w:val="18"/>
                      <w:szCs w:val="18"/>
                    </w:rPr>
                  </w:pPr>
                  <w:r>
                    <w:rPr>
                      <w:kern w:val="0"/>
                      <w:sz w:val="18"/>
                      <w:szCs w:val="18"/>
                    </w:rPr>
                    <w:t>设备名称</w:t>
                  </w:r>
                </w:p>
              </w:tc>
              <w:tc>
                <w:tcPr>
                  <w:tcW w:w="2122" w:type="pct"/>
                  <w:vAlign w:val="center"/>
                </w:tcPr>
                <w:p>
                  <w:pPr>
                    <w:spacing w:line="280" w:lineRule="exact"/>
                    <w:ind w:firstLine="0" w:firstLineChars="0"/>
                    <w:jc w:val="center"/>
                    <w:rPr>
                      <w:kern w:val="0"/>
                      <w:sz w:val="18"/>
                      <w:szCs w:val="18"/>
                    </w:rPr>
                  </w:pPr>
                  <w:r>
                    <w:rPr>
                      <w:rFonts w:hint="eastAsia"/>
                      <w:kern w:val="0"/>
                      <w:sz w:val="18"/>
                      <w:szCs w:val="18"/>
                    </w:rPr>
                    <w:t>型号</w:t>
                  </w:r>
                </w:p>
              </w:tc>
              <w:tc>
                <w:tcPr>
                  <w:tcW w:w="394" w:type="pct"/>
                  <w:vAlign w:val="center"/>
                </w:tcPr>
                <w:p>
                  <w:pPr>
                    <w:spacing w:line="280" w:lineRule="exact"/>
                    <w:ind w:firstLine="0" w:firstLineChars="0"/>
                    <w:jc w:val="center"/>
                    <w:rPr>
                      <w:kern w:val="0"/>
                      <w:sz w:val="18"/>
                      <w:szCs w:val="18"/>
                    </w:rPr>
                  </w:pPr>
                  <w:r>
                    <w:rPr>
                      <w:kern w:val="0"/>
                      <w:sz w:val="18"/>
                      <w:szCs w:val="18"/>
                    </w:rPr>
                    <w:t>单位</w:t>
                  </w:r>
                </w:p>
              </w:tc>
              <w:tc>
                <w:tcPr>
                  <w:tcW w:w="401" w:type="pct"/>
                  <w:vAlign w:val="center"/>
                </w:tcPr>
                <w:p>
                  <w:pPr>
                    <w:spacing w:line="280" w:lineRule="exact"/>
                    <w:ind w:firstLine="0" w:firstLineChars="0"/>
                    <w:jc w:val="center"/>
                    <w:rPr>
                      <w:kern w:val="0"/>
                      <w:sz w:val="18"/>
                      <w:szCs w:val="18"/>
                    </w:rPr>
                  </w:pPr>
                  <w:r>
                    <w:rPr>
                      <w:kern w:val="0"/>
                      <w:sz w:val="18"/>
                      <w:szCs w:val="18"/>
                    </w:rPr>
                    <w:t>数量</w:t>
                  </w:r>
                </w:p>
              </w:tc>
              <w:tc>
                <w:tcPr>
                  <w:tcW w:w="397" w:type="pct"/>
                  <w:vAlign w:val="center"/>
                </w:tcPr>
                <w:p>
                  <w:pPr>
                    <w:spacing w:line="280" w:lineRule="exact"/>
                    <w:ind w:firstLine="0" w:firstLineChars="0"/>
                    <w:jc w:val="center"/>
                    <w:rPr>
                      <w:kern w:val="0"/>
                      <w:sz w:val="18"/>
                      <w:szCs w:val="18"/>
                    </w:rPr>
                  </w:pPr>
                  <w:r>
                    <w:rPr>
                      <w:rFonts w:hint="eastAsia"/>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1</w:t>
                  </w:r>
                </w:p>
              </w:tc>
              <w:tc>
                <w:tcPr>
                  <w:tcW w:w="1316" w:type="pct"/>
                  <w:gridSpan w:val="2"/>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锅炉</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425t/h</w:t>
                  </w:r>
                  <w:r>
                    <w:rPr>
                      <w:rFonts w:hint="eastAsia"/>
                      <w:color w:val="000000"/>
                      <w:spacing w:val="6"/>
                      <w:kern w:val="0"/>
                      <w:sz w:val="18"/>
                      <w:szCs w:val="18"/>
                      <w:lang w:bidi="ar"/>
                    </w:rPr>
                    <w:t>，</w:t>
                  </w:r>
                  <w:r>
                    <w:rPr>
                      <w:color w:val="000000"/>
                      <w:spacing w:val="6"/>
                      <w:kern w:val="0"/>
                      <w:sz w:val="18"/>
                      <w:szCs w:val="18"/>
                      <w:lang w:bidi="ar"/>
                    </w:rPr>
                    <w:t>25.4MPa</w:t>
                  </w:r>
                  <w:r>
                    <w:rPr>
                      <w:rFonts w:hint="eastAsia"/>
                      <w:color w:val="000000"/>
                      <w:spacing w:val="6"/>
                      <w:kern w:val="0"/>
                      <w:sz w:val="18"/>
                      <w:szCs w:val="18"/>
                      <w:lang w:bidi="ar"/>
                    </w:rPr>
                    <w:t>，</w:t>
                  </w:r>
                  <w:r>
                    <w:rPr>
                      <w:color w:val="000000"/>
                      <w:spacing w:val="6"/>
                      <w:kern w:val="0"/>
                      <w:sz w:val="18"/>
                      <w:szCs w:val="18"/>
                      <w:lang w:bidi="ar"/>
                    </w:rPr>
                    <w:t>605°C/603°C</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2</w:t>
                  </w:r>
                </w:p>
              </w:tc>
              <w:tc>
                <w:tcPr>
                  <w:tcW w:w="1316" w:type="pct"/>
                  <w:gridSpan w:val="2"/>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汽轮机</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N145-24.2/600/600</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3</w:t>
                  </w:r>
                </w:p>
              </w:tc>
              <w:tc>
                <w:tcPr>
                  <w:tcW w:w="1316" w:type="pct"/>
                  <w:gridSpan w:val="2"/>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发电机</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QF-160-15.75</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4</w:t>
                  </w:r>
                </w:p>
              </w:tc>
              <w:tc>
                <w:tcPr>
                  <w:tcW w:w="1316" w:type="pct"/>
                  <w:gridSpan w:val="2"/>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脱硫、除尘、脱硝系统</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套</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5</w:t>
                  </w:r>
                </w:p>
              </w:tc>
              <w:tc>
                <w:tcPr>
                  <w:tcW w:w="263" w:type="pct"/>
                  <w:vMerge w:val="restar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锅炉给水处理系统</w:t>
                  </w: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一级反渗透提升水泵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Q=87 m³/h</w:t>
                  </w:r>
                  <w:r>
                    <w:rPr>
                      <w:rFonts w:hint="eastAsia"/>
                      <w:color w:val="000000"/>
                      <w:spacing w:val="6"/>
                      <w:kern w:val="0"/>
                      <w:sz w:val="18"/>
                      <w:szCs w:val="18"/>
                      <w:lang w:bidi="ar"/>
                    </w:rPr>
                    <w:t>，</w:t>
                  </w:r>
                  <w:r>
                    <w:rPr>
                      <w:color w:val="000000"/>
                      <w:spacing w:val="6"/>
                      <w:kern w:val="0"/>
                      <w:sz w:val="18"/>
                      <w:szCs w:val="18"/>
                      <w:lang w:bidi="ar"/>
                    </w:rPr>
                    <w:t>H=0.38MPa</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6</w:t>
                  </w:r>
                </w:p>
              </w:tc>
              <w:tc>
                <w:tcPr>
                  <w:tcW w:w="263" w:type="pct"/>
                  <w:vMerge w:val="continue"/>
                  <w:vAlign w:val="center"/>
                </w:tcPr>
                <w:p>
                  <w:pPr>
                    <w:widowControl/>
                    <w:spacing w:line="280" w:lineRule="exact"/>
                    <w:ind w:firstLine="0" w:firstLineChars="0"/>
                    <w:jc w:val="center"/>
                    <w:textAlignment w:val="center"/>
                    <w:rPr>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一级反渗透装置</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Q=25</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w:t>
                  </w:r>
                  <w:r>
                    <w:rPr>
                      <w:color w:val="000000"/>
                      <w:spacing w:val="6"/>
                      <w:kern w:val="0"/>
                      <w:sz w:val="18"/>
                      <w:szCs w:val="18"/>
                      <w:lang w:bidi="ar"/>
                    </w:rPr>
                    <w:t>25℃</w:t>
                  </w:r>
                  <w:r>
                    <w:rPr>
                      <w:rFonts w:hint="eastAsia"/>
                      <w:color w:val="000000"/>
                      <w:spacing w:val="6"/>
                      <w:kern w:val="0"/>
                      <w:sz w:val="18"/>
                      <w:szCs w:val="18"/>
                      <w:lang w:bidi="ar"/>
                    </w:rPr>
                    <w:t>)，回收率</w:t>
                  </w:r>
                  <w:r>
                    <w:rPr>
                      <w:color w:val="000000"/>
                      <w:spacing w:val="6"/>
                      <w:kern w:val="0"/>
                      <w:sz w:val="18"/>
                      <w:szCs w:val="18"/>
                      <w:lang w:bidi="ar"/>
                    </w:rPr>
                    <w:t>75%</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套</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7</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混合离子交换器</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Q=50</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8</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除盐水箱</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V=300</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3</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9</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除盐水泵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Q=47</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w:t>
                  </w:r>
                  <w:r>
                    <w:rPr>
                      <w:color w:val="000000"/>
                      <w:spacing w:val="6"/>
                      <w:kern w:val="0"/>
                      <w:sz w:val="18"/>
                      <w:szCs w:val="18"/>
                      <w:lang w:bidi="ar"/>
                    </w:rPr>
                    <w:t>H=0.44MPa</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10</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锅炉上水泵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Q=30~60</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w:t>
                  </w:r>
                  <w:r>
                    <w:rPr>
                      <w:color w:val="000000"/>
                      <w:spacing w:val="6"/>
                      <w:kern w:val="0"/>
                      <w:sz w:val="18"/>
                      <w:szCs w:val="18"/>
                      <w:lang w:bidi="ar"/>
                    </w:rPr>
                    <w:t>H=0.76~0.67MPa</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11</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一级反渗透装置(组装式)</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Q=25m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/h(25℃)，回收率75%</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套</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12</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EDI装置</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Q=30m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/h(25℃)，回收率90%</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13</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EDI给水泵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Q=34m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/h，H=0.5MPa</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14</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除盐水箱</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V=200m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，钢制聚脲防腐</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15</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除盐水泵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Q=10m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/h，H=0.5MPa</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16</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锅炉上水泵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Q=150m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/h，H=0.7MPa</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17</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EDI</w:t>
                  </w:r>
                  <w:r>
                    <w:rPr>
                      <w:rFonts w:hint="eastAsia"/>
                      <w:color w:val="000000"/>
                      <w:spacing w:val="6"/>
                      <w:kern w:val="0"/>
                      <w:sz w:val="18"/>
                      <w:szCs w:val="18"/>
                      <w:lang w:bidi="ar"/>
                    </w:rPr>
                    <w:t>化学清洗装置保安过滤器滤芯</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Q=2</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，过滤精度</w:t>
                  </w:r>
                  <w:r>
                    <w:rPr>
                      <w:color w:val="000000"/>
                      <w:spacing w:val="6"/>
                      <w:kern w:val="0"/>
                      <w:sz w:val="18"/>
                      <w:szCs w:val="18"/>
                      <w:lang w:bidi="ar"/>
                    </w:rPr>
                    <w:t>1μm</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支</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20</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18</w:t>
                  </w:r>
                </w:p>
              </w:tc>
              <w:tc>
                <w:tcPr>
                  <w:tcW w:w="263" w:type="pct"/>
                  <w:vMerge w:val="restar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凝结水精处理系统</w:t>
                  </w: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前置过滤器</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Q=165t/h</w:t>
                  </w:r>
                  <w:r>
                    <w:rPr>
                      <w:rFonts w:hint="eastAsia"/>
                      <w:color w:val="000000"/>
                      <w:spacing w:val="6"/>
                      <w:kern w:val="0"/>
                      <w:sz w:val="18"/>
                      <w:szCs w:val="18"/>
                      <w:lang w:bidi="ar"/>
                    </w:rPr>
                    <w:t>，</w:t>
                  </w:r>
                  <w:r>
                    <w:rPr>
                      <w:color w:val="000000"/>
                      <w:spacing w:val="6"/>
                      <w:kern w:val="0"/>
                      <w:sz w:val="18"/>
                      <w:szCs w:val="18"/>
                      <w:lang w:bidi="ar"/>
                    </w:rPr>
                    <w:t>PN3.5MPa</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19</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高速混床</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Q=330t/h</w:t>
                  </w:r>
                  <w:r>
                    <w:rPr>
                      <w:rFonts w:hint="eastAsia"/>
                      <w:color w:val="000000"/>
                      <w:spacing w:val="6"/>
                      <w:kern w:val="0"/>
                      <w:sz w:val="18"/>
                      <w:szCs w:val="18"/>
                      <w:lang w:bidi="ar"/>
                    </w:rPr>
                    <w:t>，</w:t>
                  </w:r>
                  <w:r>
                    <w:rPr>
                      <w:color w:val="000000"/>
                      <w:spacing w:val="6"/>
                      <w:kern w:val="0"/>
                      <w:sz w:val="18"/>
                      <w:szCs w:val="18"/>
                      <w:lang w:bidi="ar"/>
                    </w:rPr>
                    <w:t>PN3.5MPa</w:t>
                  </w:r>
                  <w:r>
                    <w:rPr>
                      <w:rFonts w:hint="eastAsia"/>
                      <w:color w:val="000000"/>
                      <w:spacing w:val="6"/>
                      <w:kern w:val="0"/>
                      <w:sz w:val="18"/>
                      <w:szCs w:val="18"/>
                      <w:lang w:bidi="ar"/>
                    </w:rPr>
                    <w:t>，阳树脂</w:t>
                  </w:r>
                  <w:r>
                    <w:rPr>
                      <w:color w:val="000000"/>
                      <w:spacing w:val="6"/>
                      <w:kern w:val="0"/>
                      <w:sz w:val="18"/>
                      <w:szCs w:val="18"/>
                      <w:lang w:bidi="ar"/>
                    </w:rPr>
                    <w:t>660mm</w:t>
                  </w:r>
                  <w:r>
                    <w:rPr>
                      <w:rFonts w:hint="eastAsia"/>
                      <w:color w:val="000000"/>
                      <w:spacing w:val="6"/>
                      <w:kern w:val="0"/>
                      <w:sz w:val="18"/>
                      <w:szCs w:val="18"/>
                      <w:lang w:bidi="ar"/>
                    </w:rPr>
                    <w:t>，阴树脂</w:t>
                  </w:r>
                  <w:r>
                    <w:rPr>
                      <w:color w:val="000000"/>
                      <w:spacing w:val="6"/>
                      <w:kern w:val="0"/>
                      <w:sz w:val="18"/>
                      <w:szCs w:val="18"/>
                      <w:lang w:bidi="ar"/>
                    </w:rPr>
                    <w:t>440mm</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kern w:val="0"/>
                      <w:sz w:val="18"/>
                      <w:szCs w:val="18"/>
                    </w:rPr>
                    <w:t>20</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树脂捕捉器</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DN500</w:t>
                  </w:r>
                  <w:r>
                    <w:rPr>
                      <w:rFonts w:hint="eastAsia"/>
                      <w:color w:val="000000"/>
                      <w:spacing w:val="6"/>
                      <w:kern w:val="0"/>
                      <w:sz w:val="18"/>
                      <w:szCs w:val="18"/>
                      <w:lang w:bidi="ar"/>
                    </w:rPr>
                    <w:t>，</w:t>
                  </w:r>
                  <w:r>
                    <w:rPr>
                      <w:color w:val="000000"/>
                      <w:spacing w:val="6"/>
                      <w:kern w:val="0"/>
                      <w:sz w:val="18"/>
                      <w:szCs w:val="18"/>
                      <w:lang w:bidi="ar"/>
                    </w:rPr>
                    <w:t>PN3.5MPa</w:t>
                  </w:r>
                  <w:r>
                    <w:rPr>
                      <w:rFonts w:hint="eastAsia"/>
                      <w:color w:val="000000"/>
                      <w:spacing w:val="6"/>
                      <w:kern w:val="0"/>
                      <w:sz w:val="18"/>
                      <w:szCs w:val="18"/>
                      <w:lang w:bidi="ar"/>
                    </w:rPr>
                    <w:t>与混床配套</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21</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再循环泵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Q=230</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w:t>
                  </w:r>
                  <w:r>
                    <w:rPr>
                      <w:color w:val="000000"/>
                      <w:spacing w:val="6"/>
                      <w:kern w:val="0"/>
                      <w:sz w:val="18"/>
                      <w:szCs w:val="18"/>
                      <w:lang w:bidi="ar"/>
                    </w:rPr>
                    <w:t>H=0.3MPa</w:t>
                  </w:r>
                  <w:r>
                    <w:rPr>
                      <w:rFonts w:hint="eastAsia"/>
                      <w:color w:val="000000"/>
                      <w:spacing w:val="6"/>
                      <w:kern w:val="0"/>
                      <w:sz w:val="18"/>
                      <w:szCs w:val="18"/>
                      <w:lang w:bidi="ar"/>
                    </w:rPr>
                    <w:t>，</w:t>
                  </w:r>
                  <w:r>
                    <w:rPr>
                      <w:color w:val="000000"/>
                      <w:spacing w:val="6"/>
                      <w:kern w:val="0"/>
                      <w:sz w:val="18"/>
                      <w:szCs w:val="18"/>
                      <w:lang w:bidi="ar"/>
                    </w:rPr>
                    <w:t>N=30kW</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22</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精处理取样架</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套</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23</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树脂分离罐</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DN1300/DN2100</w:t>
                  </w:r>
                  <w:r>
                    <w:rPr>
                      <w:rFonts w:hint="eastAsia"/>
                      <w:color w:val="000000"/>
                      <w:spacing w:val="6"/>
                      <w:kern w:val="0"/>
                      <w:sz w:val="18"/>
                      <w:szCs w:val="18"/>
                      <w:lang w:bidi="ar"/>
                    </w:rPr>
                    <w:t>，</w:t>
                  </w:r>
                  <w:r>
                    <w:rPr>
                      <w:color w:val="000000"/>
                      <w:spacing w:val="6"/>
                      <w:kern w:val="0"/>
                      <w:sz w:val="18"/>
                      <w:szCs w:val="18"/>
                      <w:lang w:bidi="ar"/>
                    </w:rPr>
                    <w:t>PN0.6MPa</w:t>
                  </w:r>
                  <w:r>
                    <w:rPr>
                      <w:rFonts w:hint="eastAsia"/>
                      <w:color w:val="000000"/>
                      <w:spacing w:val="6"/>
                      <w:kern w:val="0"/>
                      <w:sz w:val="18"/>
                      <w:szCs w:val="18"/>
                      <w:lang w:bidi="ar"/>
                    </w:rPr>
                    <w:t>，钢制衬胶</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24</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阴再生罐</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DN1200</w:t>
                  </w:r>
                  <w:r>
                    <w:rPr>
                      <w:rFonts w:hint="eastAsia"/>
                      <w:color w:val="000000"/>
                      <w:spacing w:val="6"/>
                      <w:kern w:val="0"/>
                      <w:sz w:val="18"/>
                      <w:szCs w:val="18"/>
                      <w:lang w:bidi="ar"/>
                    </w:rPr>
                    <w:t>，</w:t>
                  </w:r>
                  <w:r>
                    <w:rPr>
                      <w:color w:val="000000"/>
                      <w:spacing w:val="6"/>
                      <w:kern w:val="0"/>
                      <w:sz w:val="18"/>
                      <w:szCs w:val="18"/>
                      <w:lang w:bidi="ar"/>
                    </w:rPr>
                    <w:t>PN0.6MPa</w:t>
                  </w:r>
                  <w:r>
                    <w:rPr>
                      <w:rFonts w:hint="eastAsia"/>
                      <w:color w:val="000000"/>
                      <w:spacing w:val="6"/>
                      <w:kern w:val="0"/>
                      <w:sz w:val="18"/>
                      <w:szCs w:val="18"/>
                      <w:lang w:bidi="ar"/>
                    </w:rPr>
                    <w:t>，钢制衬胶</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25</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阳再生兼贮存罐</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DN1500</w:t>
                  </w:r>
                  <w:r>
                    <w:rPr>
                      <w:rFonts w:hint="eastAsia"/>
                      <w:color w:val="000000"/>
                      <w:spacing w:val="6"/>
                      <w:kern w:val="0"/>
                      <w:sz w:val="18"/>
                      <w:szCs w:val="18"/>
                      <w:lang w:bidi="ar"/>
                    </w:rPr>
                    <w:t>，</w:t>
                  </w:r>
                  <w:r>
                    <w:rPr>
                      <w:color w:val="000000"/>
                      <w:spacing w:val="6"/>
                      <w:kern w:val="0"/>
                      <w:sz w:val="18"/>
                      <w:szCs w:val="18"/>
                      <w:lang w:bidi="ar"/>
                    </w:rPr>
                    <w:t>PN0.6MPa</w:t>
                  </w:r>
                  <w:r>
                    <w:rPr>
                      <w:rFonts w:hint="eastAsia"/>
                      <w:color w:val="000000"/>
                      <w:spacing w:val="6"/>
                      <w:kern w:val="0"/>
                      <w:sz w:val="18"/>
                      <w:szCs w:val="18"/>
                      <w:lang w:bidi="ar"/>
                    </w:rPr>
                    <w:t>，钢制衬胶</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26</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废水树脂捕捉器</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DN800</w:t>
                  </w:r>
                  <w:r>
                    <w:rPr>
                      <w:rFonts w:hint="eastAsia"/>
                      <w:color w:val="000000"/>
                      <w:spacing w:val="6"/>
                      <w:kern w:val="0"/>
                      <w:sz w:val="18"/>
                      <w:szCs w:val="18"/>
                      <w:lang w:bidi="ar"/>
                    </w:rPr>
                    <w:t>，</w:t>
                  </w:r>
                  <w:r>
                    <w:rPr>
                      <w:color w:val="000000"/>
                      <w:spacing w:val="6"/>
                      <w:kern w:val="0"/>
                      <w:sz w:val="18"/>
                      <w:szCs w:val="18"/>
                      <w:lang w:bidi="ar"/>
                    </w:rPr>
                    <w:t>PN0.6MPa</w:t>
                  </w:r>
                  <w:r>
                    <w:rPr>
                      <w:rFonts w:hint="eastAsia"/>
                      <w:color w:val="000000"/>
                      <w:spacing w:val="6"/>
                      <w:kern w:val="0"/>
                      <w:sz w:val="18"/>
                      <w:szCs w:val="18"/>
                      <w:lang w:bidi="ar"/>
                    </w:rPr>
                    <w:t>，钢制衬胶</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27</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冲洗水泵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Q=80</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w:t>
                  </w:r>
                  <w:r>
                    <w:rPr>
                      <w:color w:val="000000"/>
                      <w:spacing w:val="6"/>
                      <w:kern w:val="0"/>
                      <w:sz w:val="18"/>
                      <w:szCs w:val="18"/>
                      <w:lang w:bidi="ar"/>
                    </w:rPr>
                    <w:t>H=0.5MPa</w:t>
                  </w:r>
                  <w:r>
                    <w:rPr>
                      <w:rFonts w:hint="eastAsia"/>
                      <w:color w:val="000000"/>
                      <w:spacing w:val="6"/>
                      <w:kern w:val="0"/>
                      <w:sz w:val="18"/>
                      <w:szCs w:val="18"/>
                      <w:lang w:bidi="ar"/>
                    </w:rPr>
                    <w:t>，</w:t>
                  </w:r>
                  <w:r>
                    <w:rPr>
                      <w:color w:val="000000"/>
                      <w:spacing w:val="6"/>
                      <w:kern w:val="0"/>
                      <w:sz w:val="18"/>
                      <w:szCs w:val="18"/>
                      <w:lang w:bidi="ar"/>
                    </w:rPr>
                    <w:t>N=18.5kW</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28</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反洗水泵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Q=42</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w:t>
                  </w:r>
                  <w:r>
                    <w:rPr>
                      <w:color w:val="000000"/>
                      <w:spacing w:val="6"/>
                      <w:kern w:val="0"/>
                      <w:sz w:val="18"/>
                      <w:szCs w:val="18"/>
                      <w:lang w:bidi="ar"/>
                    </w:rPr>
                    <w:t>H=0.41MPa</w:t>
                  </w:r>
                  <w:r>
                    <w:rPr>
                      <w:rFonts w:hint="eastAsia"/>
                      <w:color w:val="000000"/>
                      <w:spacing w:val="6"/>
                      <w:kern w:val="0"/>
                      <w:sz w:val="18"/>
                      <w:szCs w:val="18"/>
                      <w:lang w:bidi="ar"/>
                    </w:rPr>
                    <w:t>，</w:t>
                  </w:r>
                  <w:r>
                    <w:rPr>
                      <w:color w:val="000000"/>
                      <w:spacing w:val="6"/>
                      <w:kern w:val="0"/>
                      <w:sz w:val="18"/>
                      <w:szCs w:val="18"/>
                      <w:lang w:bidi="ar"/>
                    </w:rPr>
                    <w:t>N=11kW</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29</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罗茨风机</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Q=7.0N</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/min</w:t>
                  </w:r>
                  <w:r>
                    <w:rPr>
                      <w:rFonts w:hint="eastAsia"/>
                      <w:color w:val="000000"/>
                      <w:spacing w:val="6"/>
                      <w:kern w:val="0"/>
                      <w:sz w:val="18"/>
                      <w:szCs w:val="18"/>
                      <w:lang w:bidi="ar"/>
                    </w:rPr>
                    <w:t>，</w:t>
                  </w:r>
                  <w:r>
                    <w:rPr>
                      <w:color w:val="000000"/>
                      <w:spacing w:val="6"/>
                      <w:kern w:val="0"/>
                      <w:sz w:val="18"/>
                      <w:szCs w:val="18"/>
                      <w:lang w:bidi="ar"/>
                    </w:rPr>
                    <w:t>P=80kPa</w:t>
                  </w:r>
                  <w:r>
                    <w:rPr>
                      <w:rFonts w:hint="eastAsia"/>
                      <w:color w:val="000000"/>
                      <w:spacing w:val="6"/>
                      <w:kern w:val="0"/>
                      <w:sz w:val="18"/>
                      <w:szCs w:val="18"/>
                      <w:lang w:bidi="ar"/>
                    </w:rPr>
                    <w:t>，</w:t>
                  </w:r>
                  <w:r>
                    <w:rPr>
                      <w:color w:val="000000"/>
                      <w:spacing w:val="6"/>
                      <w:kern w:val="0"/>
                      <w:sz w:val="18"/>
                      <w:szCs w:val="18"/>
                      <w:lang w:bidi="ar"/>
                    </w:rPr>
                    <w:t>N=18.5kW</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30</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压缩空气罐</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V=6</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w:t>
                  </w:r>
                  <w:r>
                    <w:rPr>
                      <w:color w:val="000000"/>
                      <w:spacing w:val="6"/>
                      <w:kern w:val="0"/>
                      <w:sz w:val="18"/>
                      <w:szCs w:val="18"/>
                      <w:lang w:bidi="ar"/>
                    </w:rPr>
                    <w:t>P=0.9MPa</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31</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电热水箱</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V=4.5</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w:t>
                  </w:r>
                  <w:r>
                    <w:rPr>
                      <w:color w:val="000000"/>
                      <w:spacing w:val="6"/>
                      <w:kern w:val="0"/>
                      <w:sz w:val="18"/>
                      <w:szCs w:val="18"/>
                      <w:lang w:bidi="ar"/>
                    </w:rPr>
                    <w:t>PN0.6MPa</w:t>
                  </w:r>
                  <w:r>
                    <w:rPr>
                      <w:rFonts w:hint="eastAsia"/>
                      <w:color w:val="000000"/>
                      <w:spacing w:val="6"/>
                      <w:kern w:val="0"/>
                      <w:sz w:val="18"/>
                      <w:szCs w:val="18"/>
                      <w:lang w:bidi="ar"/>
                    </w:rPr>
                    <w:t>，</w:t>
                  </w:r>
                  <w:r>
                    <w:rPr>
                      <w:color w:val="000000"/>
                      <w:spacing w:val="6"/>
                      <w:kern w:val="0"/>
                      <w:sz w:val="18"/>
                      <w:szCs w:val="18"/>
                      <w:lang w:bidi="ar"/>
                    </w:rPr>
                    <w:t>SS304</w:t>
                  </w:r>
                  <w:r>
                    <w:rPr>
                      <w:rFonts w:hint="eastAsia"/>
                      <w:color w:val="000000"/>
                      <w:spacing w:val="6"/>
                      <w:kern w:val="0"/>
                      <w:sz w:val="18"/>
                      <w:szCs w:val="18"/>
                      <w:lang w:bidi="ar"/>
                    </w:rPr>
                    <w:t>，</w:t>
                  </w:r>
                  <w:r>
                    <w:rPr>
                      <w:color w:val="000000"/>
                      <w:spacing w:val="6"/>
                      <w:kern w:val="0"/>
                      <w:sz w:val="18"/>
                      <w:szCs w:val="18"/>
                      <w:lang w:bidi="ar"/>
                    </w:rPr>
                    <w:t>N=120KW</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32</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酸储罐</w:t>
                  </w:r>
                </w:p>
              </w:tc>
              <w:tc>
                <w:tcPr>
                  <w:tcW w:w="2122" w:type="pct"/>
                  <w:vAlign w:val="center"/>
                </w:tcPr>
                <w:p>
                  <w:pPr>
                    <w:widowControl/>
                    <w:spacing w:line="280" w:lineRule="exact"/>
                    <w:ind w:firstLine="0" w:firstLineChars="0"/>
                    <w:jc w:val="center"/>
                    <w:textAlignment w:val="center"/>
                    <w:rPr>
                      <w:rFonts w:hint="eastAsia" w:eastAsia="宋体"/>
                      <w:color w:val="000000"/>
                      <w:spacing w:val="6"/>
                      <w:kern w:val="0"/>
                      <w:sz w:val="18"/>
                      <w:szCs w:val="18"/>
                      <w:highlight w:val="none"/>
                      <w:lang w:val="en-US" w:eastAsia="zh-CN" w:bidi="ar"/>
                    </w:rPr>
                  </w:pPr>
                  <w:r>
                    <w:rPr>
                      <w:color w:val="000000"/>
                      <w:spacing w:val="6"/>
                      <w:kern w:val="0"/>
                      <w:sz w:val="18"/>
                      <w:szCs w:val="18"/>
                      <w:highlight w:val="none"/>
                      <w:lang w:bidi="ar"/>
                    </w:rPr>
                    <w:t>V=10</w:t>
                  </w:r>
                  <w:r>
                    <w:rPr>
                      <w:rFonts w:hint="eastAsia"/>
                      <w:color w:val="000000"/>
                      <w:spacing w:val="6"/>
                      <w:kern w:val="0"/>
                      <w:sz w:val="18"/>
                      <w:szCs w:val="18"/>
                      <w:highlight w:val="none"/>
                      <w:lang w:bidi="ar"/>
                    </w:rPr>
                    <w:t>m</w:t>
                  </w:r>
                  <w:r>
                    <w:rPr>
                      <w:rFonts w:hint="eastAsia"/>
                      <w:color w:val="000000"/>
                      <w:spacing w:val="6"/>
                      <w:kern w:val="0"/>
                      <w:sz w:val="18"/>
                      <w:szCs w:val="18"/>
                      <w:highlight w:val="none"/>
                      <w:vertAlign w:val="superscript"/>
                      <w:lang w:bidi="ar"/>
                    </w:rPr>
                    <w:t>3</w:t>
                  </w:r>
                  <w:r>
                    <w:rPr>
                      <w:rFonts w:hint="eastAsia"/>
                      <w:color w:val="000000"/>
                      <w:spacing w:val="6"/>
                      <w:kern w:val="0"/>
                      <w:sz w:val="18"/>
                      <w:szCs w:val="18"/>
                      <w:highlight w:val="none"/>
                      <w:lang w:bidi="ar"/>
                    </w:rPr>
                    <w:t>，钢制衬胶</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33</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碱储罐</w:t>
                  </w:r>
                </w:p>
              </w:tc>
              <w:tc>
                <w:tcPr>
                  <w:tcW w:w="2122" w:type="pct"/>
                  <w:vAlign w:val="center"/>
                </w:tcPr>
                <w:p>
                  <w:pPr>
                    <w:widowControl/>
                    <w:spacing w:line="280" w:lineRule="exact"/>
                    <w:ind w:firstLine="0" w:firstLineChars="0"/>
                    <w:jc w:val="center"/>
                    <w:textAlignment w:val="center"/>
                    <w:rPr>
                      <w:color w:val="000000"/>
                      <w:spacing w:val="6"/>
                      <w:kern w:val="0"/>
                      <w:sz w:val="18"/>
                      <w:szCs w:val="18"/>
                      <w:highlight w:val="none"/>
                      <w:lang w:bidi="ar"/>
                    </w:rPr>
                  </w:pPr>
                  <w:r>
                    <w:rPr>
                      <w:color w:val="000000"/>
                      <w:spacing w:val="6"/>
                      <w:kern w:val="0"/>
                      <w:sz w:val="18"/>
                      <w:szCs w:val="18"/>
                      <w:highlight w:val="none"/>
                      <w:lang w:bidi="ar"/>
                    </w:rPr>
                    <w:t>V=10</w:t>
                  </w:r>
                  <w:r>
                    <w:rPr>
                      <w:rFonts w:hint="eastAsia"/>
                      <w:color w:val="000000"/>
                      <w:spacing w:val="6"/>
                      <w:kern w:val="0"/>
                      <w:sz w:val="18"/>
                      <w:szCs w:val="18"/>
                      <w:highlight w:val="none"/>
                      <w:lang w:bidi="ar"/>
                    </w:rPr>
                    <w:t>m</w:t>
                  </w:r>
                  <w:r>
                    <w:rPr>
                      <w:rFonts w:hint="eastAsia"/>
                      <w:color w:val="000000"/>
                      <w:spacing w:val="6"/>
                      <w:kern w:val="0"/>
                      <w:sz w:val="18"/>
                      <w:szCs w:val="18"/>
                      <w:highlight w:val="none"/>
                      <w:vertAlign w:val="superscript"/>
                      <w:lang w:bidi="ar"/>
                    </w:rPr>
                    <w:t>3</w:t>
                  </w:r>
                  <w:r>
                    <w:rPr>
                      <w:rFonts w:hint="eastAsia"/>
                      <w:color w:val="000000"/>
                      <w:spacing w:val="6"/>
                      <w:kern w:val="0"/>
                      <w:sz w:val="18"/>
                      <w:szCs w:val="18"/>
                      <w:highlight w:val="none"/>
                      <w:lang w:bidi="ar"/>
                    </w:rPr>
                    <w:t>，钢制衬胶</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34</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卸酸泵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Q=20</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w:t>
                  </w:r>
                  <w:r>
                    <w:rPr>
                      <w:color w:val="000000"/>
                      <w:spacing w:val="6"/>
                      <w:kern w:val="0"/>
                      <w:sz w:val="18"/>
                      <w:szCs w:val="18"/>
                      <w:lang w:bidi="ar"/>
                    </w:rPr>
                    <w:t>H=0.2MPa</w:t>
                  </w:r>
                  <w:r>
                    <w:rPr>
                      <w:rFonts w:hint="eastAsia"/>
                      <w:color w:val="000000"/>
                      <w:spacing w:val="6"/>
                      <w:kern w:val="0"/>
                      <w:sz w:val="18"/>
                      <w:szCs w:val="18"/>
                      <w:lang w:bidi="ar"/>
                    </w:rPr>
                    <w:t>，</w:t>
                  </w:r>
                  <w:r>
                    <w:rPr>
                      <w:color w:val="000000"/>
                      <w:spacing w:val="6"/>
                      <w:kern w:val="0"/>
                      <w:sz w:val="18"/>
                      <w:szCs w:val="18"/>
                      <w:lang w:bidi="ar"/>
                    </w:rPr>
                    <w:t>N=5.5kW</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35</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卸碱泵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Q=20</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w:t>
                  </w:r>
                  <w:r>
                    <w:rPr>
                      <w:color w:val="000000"/>
                      <w:spacing w:val="6"/>
                      <w:kern w:val="0"/>
                      <w:sz w:val="18"/>
                      <w:szCs w:val="18"/>
                      <w:lang w:bidi="ar"/>
                    </w:rPr>
                    <w:t>H=0.2MPa</w:t>
                  </w:r>
                  <w:r>
                    <w:rPr>
                      <w:rFonts w:hint="eastAsia"/>
                      <w:color w:val="000000"/>
                      <w:spacing w:val="6"/>
                      <w:kern w:val="0"/>
                      <w:sz w:val="18"/>
                      <w:szCs w:val="18"/>
                      <w:lang w:bidi="ar"/>
                    </w:rPr>
                    <w:t>，</w:t>
                  </w:r>
                  <w:r>
                    <w:rPr>
                      <w:color w:val="000000"/>
                      <w:spacing w:val="6"/>
                      <w:kern w:val="0"/>
                      <w:sz w:val="18"/>
                      <w:szCs w:val="18"/>
                      <w:lang w:bidi="ar"/>
                    </w:rPr>
                    <w:t>N=5.5kW</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36</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酸计量箱</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V=2</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，钢制衬胶</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37</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碱计量箱</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V=2</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，钢制衬胶</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38</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酸喷射器</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与阳再生罐配套</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39</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碱喷射器</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与阴再生罐配套</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40</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酸雾吸收器</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DN400</w:t>
                  </w:r>
                  <w:r>
                    <w:rPr>
                      <w:rFonts w:hint="eastAsia"/>
                      <w:color w:val="000000"/>
                      <w:spacing w:val="6"/>
                      <w:kern w:val="0"/>
                      <w:sz w:val="18"/>
                      <w:szCs w:val="18"/>
                      <w:lang w:bidi="ar"/>
                    </w:rPr>
                    <w:t>，</w:t>
                  </w:r>
                  <w:r>
                    <w:rPr>
                      <w:color w:val="000000"/>
                      <w:spacing w:val="6"/>
                      <w:kern w:val="0"/>
                      <w:sz w:val="18"/>
                      <w:szCs w:val="18"/>
                      <w:lang w:bidi="ar"/>
                    </w:rPr>
                    <w:t>UPVC</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41</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二氧化碳吸收器</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与碱储存罐、碱计量箱配套</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套</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42</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树脂添加斗</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V=0.15</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43</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中和池排污泵</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Q=150</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color w:val="000000"/>
                      <w:spacing w:val="6"/>
                      <w:kern w:val="0"/>
                      <w:sz w:val="18"/>
                      <w:szCs w:val="18"/>
                      <w:lang w:bidi="ar"/>
                    </w:rPr>
                    <w:t>/h</w:t>
                  </w:r>
                  <w:r>
                    <w:rPr>
                      <w:rFonts w:hint="eastAsia"/>
                      <w:color w:val="000000"/>
                      <w:spacing w:val="6"/>
                      <w:kern w:val="0"/>
                      <w:sz w:val="18"/>
                      <w:szCs w:val="18"/>
                      <w:lang w:bidi="ar"/>
                    </w:rPr>
                    <w:t>，</w:t>
                  </w:r>
                  <w:r>
                    <w:rPr>
                      <w:color w:val="000000"/>
                      <w:spacing w:val="6"/>
                      <w:kern w:val="0"/>
                      <w:sz w:val="18"/>
                      <w:szCs w:val="18"/>
                      <w:lang w:bidi="ar"/>
                    </w:rPr>
                    <w:t>H=0.2MPa</w:t>
                  </w:r>
                  <w:r>
                    <w:rPr>
                      <w:rFonts w:hint="eastAsia"/>
                      <w:color w:val="000000"/>
                      <w:spacing w:val="6"/>
                      <w:kern w:val="0"/>
                      <w:sz w:val="18"/>
                      <w:szCs w:val="18"/>
                      <w:lang w:bidi="ar"/>
                    </w:rPr>
                    <w:t>，</w:t>
                  </w:r>
                  <w:r>
                    <w:rPr>
                      <w:color w:val="000000"/>
                      <w:spacing w:val="6"/>
                      <w:kern w:val="0"/>
                      <w:sz w:val="18"/>
                      <w:szCs w:val="18"/>
                      <w:lang w:bidi="ar"/>
                    </w:rPr>
                    <w:t>N=22kW</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2</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44</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安全淋浴器</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含洗眼器</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套</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7" w:type="pct"/>
                  <w:vAlign w:val="center"/>
                </w:tcPr>
                <w:p>
                  <w:pPr>
                    <w:spacing w:line="280" w:lineRule="exact"/>
                    <w:ind w:firstLine="0" w:firstLineChars="0"/>
                    <w:jc w:val="center"/>
                    <w:rPr>
                      <w:kern w:val="0"/>
                      <w:sz w:val="18"/>
                      <w:szCs w:val="18"/>
                    </w:rPr>
                  </w:pPr>
                  <w:r>
                    <w:rPr>
                      <w:rFonts w:hint="eastAsia"/>
                      <w:kern w:val="0"/>
                      <w:sz w:val="18"/>
                      <w:szCs w:val="18"/>
                    </w:rPr>
                    <w:t>45</w:t>
                  </w:r>
                </w:p>
              </w:tc>
              <w:tc>
                <w:tcPr>
                  <w:tcW w:w="263" w:type="pct"/>
                  <w:vMerge w:val="continue"/>
                  <w:vAlign w:val="center"/>
                </w:tcPr>
                <w:p>
                  <w:pPr>
                    <w:widowControl/>
                    <w:spacing w:line="280" w:lineRule="exact"/>
                    <w:ind w:firstLine="0" w:firstLineChars="0"/>
                    <w:jc w:val="center"/>
                    <w:textAlignment w:val="center"/>
                    <w:rPr>
                      <w:spacing w:val="6"/>
                      <w:kern w:val="0"/>
                      <w:sz w:val="18"/>
                      <w:szCs w:val="18"/>
                    </w:rPr>
                  </w:pPr>
                </w:p>
              </w:tc>
              <w:tc>
                <w:tcPr>
                  <w:tcW w:w="1052" w:type="pct"/>
                  <w:vAlign w:val="center"/>
                </w:tcPr>
                <w:p>
                  <w:pPr>
                    <w:widowControl/>
                    <w:spacing w:line="280" w:lineRule="exact"/>
                    <w:ind w:firstLine="0" w:firstLineChars="0"/>
                    <w:jc w:val="center"/>
                    <w:textAlignment w:val="center"/>
                    <w:rPr>
                      <w:spacing w:val="6"/>
                      <w:kern w:val="0"/>
                      <w:sz w:val="18"/>
                      <w:szCs w:val="18"/>
                    </w:rPr>
                  </w:pPr>
                  <w:r>
                    <w:rPr>
                      <w:rFonts w:hint="eastAsia"/>
                      <w:spacing w:val="6"/>
                      <w:kern w:val="0"/>
                      <w:sz w:val="18"/>
                      <w:szCs w:val="18"/>
                    </w:rPr>
                    <w:t>再生水箱</w:t>
                  </w:r>
                </w:p>
              </w:tc>
              <w:tc>
                <w:tcPr>
                  <w:tcW w:w="2122" w:type="pct"/>
                  <w:vAlign w:val="center"/>
                </w:tcPr>
                <w:p>
                  <w:pPr>
                    <w:widowControl/>
                    <w:spacing w:line="280" w:lineRule="exact"/>
                    <w:ind w:firstLine="0" w:firstLineChars="0"/>
                    <w:jc w:val="center"/>
                    <w:textAlignment w:val="center"/>
                    <w:rPr>
                      <w:color w:val="000000"/>
                      <w:spacing w:val="6"/>
                      <w:kern w:val="0"/>
                      <w:sz w:val="18"/>
                      <w:szCs w:val="18"/>
                      <w:lang w:bidi="ar"/>
                    </w:rPr>
                  </w:pPr>
                  <w:r>
                    <w:rPr>
                      <w:color w:val="000000"/>
                      <w:spacing w:val="6"/>
                      <w:kern w:val="0"/>
                      <w:sz w:val="18"/>
                      <w:szCs w:val="18"/>
                      <w:lang w:bidi="ar"/>
                    </w:rPr>
                    <w:t>V=50</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r>
                    <w:rPr>
                      <w:rFonts w:hint="eastAsia"/>
                      <w:color w:val="000000"/>
                      <w:spacing w:val="6"/>
                      <w:kern w:val="0"/>
                      <w:sz w:val="18"/>
                      <w:szCs w:val="18"/>
                      <w:lang w:bidi="ar"/>
                    </w:rPr>
                    <w:t>，</w:t>
                  </w:r>
                  <w:r>
                    <w:rPr>
                      <w:color w:val="000000"/>
                      <w:spacing w:val="6"/>
                      <w:kern w:val="0"/>
                      <w:sz w:val="18"/>
                      <w:szCs w:val="18"/>
                      <w:lang w:bidi="ar"/>
                    </w:rPr>
                    <w:t>S30408</w:t>
                  </w:r>
                </w:p>
              </w:tc>
              <w:tc>
                <w:tcPr>
                  <w:tcW w:w="394"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台</w:t>
                  </w:r>
                </w:p>
              </w:tc>
              <w:tc>
                <w:tcPr>
                  <w:tcW w:w="401"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1</w:t>
                  </w:r>
                </w:p>
              </w:tc>
              <w:tc>
                <w:tcPr>
                  <w:tcW w:w="397" w:type="pct"/>
                  <w:vAlign w:val="center"/>
                </w:tcPr>
                <w:p>
                  <w:pPr>
                    <w:widowControl/>
                    <w:spacing w:line="280" w:lineRule="exact"/>
                    <w:ind w:firstLine="0" w:firstLineChars="0"/>
                    <w:jc w:val="center"/>
                    <w:textAlignment w:val="center"/>
                    <w:rPr>
                      <w:color w:val="000000"/>
                      <w:spacing w:val="6"/>
                      <w:kern w:val="0"/>
                      <w:sz w:val="18"/>
                      <w:szCs w:val="18"/>
                      <w:lang w:bidi="ar"/>
                    </w:rPr>
                  </w:pPr>
                  <w:r>
                    <w:rPr>
                      <w:rFonts w:hint="eastAsia"/>
                      <w:color w:val="000000"/>
                      <w:spacing w:val="6"/>
                      <w:kern w:val="0"/>
                      <w:sz w:val="18"/>
                      <w:szCs w:val="18"/>
                      <w:lang w:bidi="ar"/>
                    </w:rPr>
                    <w:t>新建</w:t>
                  </w:r>
                </w:p>
              </w:tc>
            </w:tr>
          </w:tbl>
          <w:p>
            <w:pPr>
              <w:tabs>
                <w:tab w:val="left" w:pos="2375"/>
                <w:tab w:val="center" w:pos="4239"/>
              </w:tabs>
              <w:adjustRightInd w:val="0"/>
              <w:snapToGrid w:val="0"/>
              <w:spacing w:before="120" w:beforeLines="50"/>
              <w:ind w:firstLine="480"/>
            </w:pPr>
            <w:r>
              <w:rPr>
                <w:rFonts w:hint="eastAsia"/>
              </w:rPr>
              <w:t>6、</w:t>
            </w:r>
            <w:r>
              <w:t>主要原辅材料及燃料</w:t>
            </w:r>
          </w:p>
          <w:p>
            <w:pPr>
              <w:tabs>
                <w:tab w:val="left" w:pos="2375"/>
                <w:tab w:val="center" w:pos="4239"/>
              </w:tabs>
              <w:adjustRightInd w:val="0"/>
              <w:snapToGrid w:val="0"/>
              <w:ind w:firstLine="480"/>
            </w:pPr>
            <w:r>
              <w:t>项目原料材料及能源消耗一览表见表</w:t>
            </w:r>
            <w:r>
              <w:rPr>
                <w:rFonts w:hint="eastAsia"/>
              </w:rPr>
              <w:t>13，</w:t>
            </w:r>
            <w:r>
              <w:t>高炉煤气</w:t>
            </w:r>
            <w:r>
              <w:rPr>
                <w:rFonts w:hint="eastAsia"/>
              </w:rPr>
              <w:t>和转炉煤气</w:t>
            </w:r>
            <w:r>
              <w:t>成分</w:t>
            </w:r>
            <w:r>
              <w:rPr>
                <w:rFonts w:hint="eastAsia"/>
              </w:rPr>
              <w:t>见表14项目实施前后煤气平衡见表15、16</w:t>
            </w:r>
            <w:r>
              <w:t>。</w:t>
            </w:r>
          </w:p>
          <w:p>
            <w:pPr>
              <w:widowControl/>
              <w:adjustRightInd w:val="0"/>
              <w:snapToGrid w:val="0"/>
              <w:ind w:firstLine="0" w:firstLineChars="0"/>
              <w:jc w:val="center"/>
              <w:rPr>
                <w:b/>
                <w:bCs/>
              </w:rPr>
            </w:pPr>
            <w:r>
              <w:rPr>
                <w:b/>
                <w:bCs/>
              </w:rPr>
              <w:t>表</w:t>
            </w:r>
            <w:r>
              <w:rPr>
                <w:rFonts w:hint="eastAsia"/>
                <w:b/>
                <w:bCs/>
              </w:rPr>
              <w:t>13</w:t>
            </w:r>
            <w:r>
              <w:rPr>
                <w:b/>
                <w:bCs/>
              </w:rPr>
              <w:t xml:space="preserve">    主要原辅材料及能源消耗一览表</w:t>
            </w:r>
          </w:p>
          <w:tbl>
            <w:tblPr>
              <w:tblStyle w:val="79"/>
              <w:tblW w:w="8239"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0" w:type="dxa"/>
                <w:bottom w:w="0" w:type="dxa"/>
                <w:right w:w="0" w:type="dxa"/>
              </w:tblCellMar>
            </w:tblPr>
            <w:tblGrid>
              <w:gridCol w:w="706"/>
              <w:gridCol w:w="1501"/>
              <w:gridCol w:w="1365"/>
              <w:gridCol w:w="1867"/>
              <w:gridCol w:w="280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序号</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原辅材料名称</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单位/年</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消耗量</w:t>
                  </w:r>
                </w:p>
              </w:tc>
              <w:tc>
                <w:tcPr>
                  <w:tcW w:w="2800"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1</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高炉煤气</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10</w:t>
                  </w:r>
                  <w:r>
                    <w:rPr>
                      <w:rFonts w:hint="eastAsia"/>
                      <w:sz w:val="18"/>
                      <w:szCs w:val="18"/>
                      <w:vertAlign w:val="superscript"/>
                    </w:rPr>
                    <w:t>4</w:t>
                  </w:r>
                  <w:r>
                    <w:rPr>
                      <w:rFonts w:hint="eastAsia"/>
                      <w:sz w:val="18"/>
                      <w:szCs w:val="18"/>
                    </w:rPr>
                    <w:t>N</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214422</w:t>
                  </w:r>
                </w:p>
              </w:tc>
              <w:tc>
                <w:tcPr>
                  <w:tcW w:w="2800" w:type="dxa"/>
                  <w:vMerge w:val="restart"/>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由迁安市九江线材有限责任公司供给，接自厂区南侧现有煤气管廊</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2</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转炉煤气</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10</w:t>
                  </w:r>
                  <w:r>
                    <w:rPr>
                      <w:rFonts w:hint="eastAsia"/>
                      <w:sz w:val="18"/>
                      <w:szCs w:val="18"/>
                      <w:vertAlign w:val="superscript"/>
                    </w:rPr>
                    <w:t>4</w:t>
                  </w:r>
                  <w:r>
                    <w:rPr>
                      <w:rFonts w:hint="eastAsia"/>
                      <w:sz w:val="18"/>
                      <w:szCs w:val="18"/>
                    </w:rPr>
                    <w:t>N</w:t>
                  </w: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23825</w:t>
                  </w:r>
                </w:p>
              </w:tc>
              <w:tc>
                <w:tcPr>
                  <w:tcW w:w="2800" w:type="dxa"/>
                  <w:vMerge w:val="continue"/>
                  <w:tcBorders>
                    <w:bottom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3</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小苏打粉</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rFonts w:hint="default" w:eastAsia="宋体"/>
                      <w:sz w:val="18"/>
                      <w:szCs w:val="18"/>
                      <w:lang w:val="en-US" w:eastAsia="zh-CN"/>
                    </w:rPr>
                  </w:pPr>
                  <w:r>
                    <w:rPr>
                      <w:rFonts w:hint="eastAsia"/>
                      <w:sz w:val="18"/>
                      <w:szCs w:val="18"/>
                      <w:lang w:val="en-US" w:eastAsia="zh-CN"/>
                    </w:rPr>
                    <w:t>3520</w:t>
                  </w:r>
                </w:p>
              </w:tc>
              <w:tc>
                <w:tcPr>
                  <w:tcW w:w="2800" w:type="dxa"/>
                  <w:tcBorders>
                    <w:top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外购，吨袋装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11"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4</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氮气</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720万</w:t>
                  </w:r>
                </w:p>
              </w:tc>
              <w:tc>
                <w:tcPr>
                  <w:tcW w:w="2800" w:type="dxa"/>
                  <w:tcBorders>
                    <w:top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用于煤气管道吹扫</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5</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压缩空气</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color w:val="000000"/>
                      <w:spacing w:val="6"/>
                      <w:kern w:val="0"/>
                      <w:sz w:val="18"/>
                      <w:szCs w:val="18"/>
                      <w:lang w:bidi="ar"/>
                    </w:rPr>
                    <w:t>m</w:t>
                  </w:r>
                  <w:r>
                    <w:rPr>
                      <w:rFonts w:hint="eastAsia"/>
                      <w:color w:val="000000"/>
                      <w:spacing w:val="6"/>
                      <w:kern w:val="0"/>
                      <w:sz w:val="18"/>
                      <w:szCs w:val="18"/>
                      <w:vertAlign w:val="superscript"/>
                      <w:lang w:bidi="ar"/>
                    </w:rPr>
                    <w:t>3</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18万</w:t>
                  </w:r>
                </w:p>
              </w:tc>
              <w:tc>
                <w:tcPr>
                  <w:tcW w:w="2800" w:type="dxa"/>
                  <w:tcBorders>
                    <w:top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r>
                    <w:rPr>
                      <w:sz w:val="18"/>
                      <w:szCs w:val="18"/>
                    </w:rPr>
                    <w:t>精处理系统仪表用气</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6</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蒸汽</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100</w:t>
                  </w:r>
                </w:p>
              </w:tc>
              <w:tc>
                <w:tcPr>
                  <w:tcW w:w="2800" w:type="dxa"/>
                  <w:tcBorders>
                    <w:bottom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启动用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7</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离子交换树脂</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0.66</w:t>
                  </w:r>
                </w:p>
              </w:tc>
              <w:tc>
                <w:tcPr>
                  <w:tcW w:w="2800" w:type="dxa"/>
                  <w:tcBorders>
                    <w:top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用于凝结水精处理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8</w:t>
                  </w:r>
                </w:p>
              </w:tc>
              <w:tc>
                <w:tcPr>
                  <w:tcW w:w="1501" w:type="dxa"/>
                  <w:vAlign w:val="center"/>
                </w:tcPr>
                <w:p>
                  <w:pPr>
                    <w:widowControl/>
                    <w:adjustRightInd w:val="0"/>
                    <w:snapToGrid w:val="0"/>
                    <w:spacing w:line="240" w:lineRule="auto"/>
                    <w:ind w:firstLine="0" w:firstLineChars="0"/>
                    <w:jc w:val="center"/>
                    <w:rPr>
                      <w:sz w:val="18"/>
                      <w:szCs w:val="18"/>
                      <w:highlight w:val="none"/>
                    </w:rPr>
                  </w:pPr>
                  <w:r>
                    <w:rPr>
                      <w:rFonts w:hint="eastAsia"/>
                      <w:sz w:val="18"/>
                      <w:szCs w:val="18"/>
                      <w:highlight w:val="none"/>
                      <w:lang w:val="en-US" w:eastAsia="zh-CN"/>
                    </w:rPr>
                    <w:t>30%</w:t>
                  </w:r>
                  <w:r>
                    <w:rPr>
                      <w:sz w:val="18"/>
                      <w:szCs w:val="18"/>
                      <w:highlight w:val="none"/>
                    </w:rPr>
                    <w:t>HCl</w:t>
                  </w:r>
                </w:p>
              </w:tc>
              <w:tc>
                <w:tcPr>
                  <w:tcW w:w="1365" w:type="dxa"/>
                  <w:vAlign w:val="center"/>
                </w:tcPr>
                <w:p>
                  <w:pPr>
                    <w:widowControl/>
                    <w:adjustRightInd w:val="0"/>
                    <w:snapToGrid w:val="0"/>
                    <w:spacing w:line="240" w:lineRule="auto"/>
                    <w:ind w:firstLine="0" w:firstLineChars="0"/>
                    <w:jc w:val="center"/>
                    <w:rPr>
                      <w:sz w:val="18"/>
                      <w:szCs w:val="18"/>
                      <w:highlight w:val="none"/>
                    </w:rPr>
                  </w:pPr>
                  <w:r>
                    <w:rPr>
                      <w:rFonts w:hint="eastAsia"/>
                      <w:sz w:val="18"/>
                      <w:szCs w:val="18"/>
                      <w:highlight w:val="none"/>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rFonts w:hint="default" w:eastAsia="宋体"/>
                      <w:sz w:val="18"/>
                      <w:szCs w:val="18"/>
                      <w:lang w:val="en-US" w:eastAsia="zh-CN"/>
                    </w:rPr>
                  </w:pPr>
                  <w:r>
                    <w:rPr>
                      <w:rFonts w:hint="eastAsia"/>
                      <w:sz w:val="18"/>
                      <w:szCs w:val="18"/>
                      <w:lang w:val="en-US" w:eastAsia="zh-CN"/>
                    </w:rPr>
                    <w:t>18.6</w:t>
                  </w:r>
                </w:p>
              </w:tc>
              <w:tc>
                <w:tcPr>
                  <w:tcW w:w="2800" w:type="dxa"/>
                  <w:vMerge w:val="restart"/>
                  <w:tcBorders>
                    <w:top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eastAsia="宋体"/>
                      <w:sz w:val="18"/>
                      <w:szCs w:val="18"/>
                      <w:lang w:val="en-US" w:eastAsia="zh-CN"/>
                    </w:rPr>
                  </w:pPr>
                  <w:r>
                    <w:rPr>
                      <w:rFonts w:hint="eastAsia"/>
                      <w:sz w:val="18"/>
                      <w:szCs w:val="18"/>
                    </w:rPr>
                    <w:t>用于离子交换树脂再生</w:t>
                  </w:r>
                  <w:r>
                    <w:rPr>
                      <w:rFonts w:hint="eastAsia"/>
                      <w:sz w:val="18"/>
                      <w:szCs w:val="18"/>
                      <w:lang w:eastAsia="zh-CN"/>
                    </w:rPr>
                    <w:t>，</w:t>
                  </w:r>
                  <w:r>
                    <w:rPr>
                      <w:rFonts w:hint="eastAsia"/>
                      <w:sz w:val="18"/>
                      <w:szCs w:val="18"/>
                      <w:highlight w:val="none"/>
                      <w:lang w:val="en-US" w:eastAsia="zh-CN"/>
                    </w:rPr>
                    <w:t>30%</w:t>
                  </w:r>
                  <w:r>
                    <w:rPr>
                      <w:sz w:val="18"/>
                      <w:szCs w:val="18"/>
                      <w:highlight w:val="none"/>
                    </w:rPr>
                    <w:t>HCl</w:t>
                  </w:r>
                  <w:r>
                    <w:rPr>
                      <w:rFonts w:hint="eastAsia"/>
                      <w:sz w:val="18"/>
                      <w:szCs w:val="18"/>
                      <w:lang w:val="en-US" w:eastAsia="zh-CN"/>
                    </w:rPr>
                    <w:t>的最大存在量为6.48t，</w:t>
                  </w:r>
                  <w:r>
                    <w:rPr>
                      <w:rFonts w:hint="eastAsia"/>
                      <w:sz w:val="18"/>
                      <w:szCs w:val="18"/>
                      <w:highlight w:val="none"/>
                      <w:lang w:val="en-US" w:eastAsia="zh-CN"/>
                    </w:rPr>
                    <w:t>30%</w:t>
                  </w:r>
                  <w:r>
                    <w:rPr>
                      <w:sz w:val="18"/>
                      <w:szCs w:val="18"/>
                      <w:highlight w:val="none"/>
                    </w:rPr>
                    <w:t>NaOH</w:t>
                  </w:r>
                  <w:r>
                    <w:rPr>
                      <w:rFonts w:hint="eastAsia"/>
                      <w:sz w:val="18"/>
                      <w:szCs w:val="18"/>
                      <w:highlight w:val="none"/>
                      <w:lang w:val="en-US" w:eastAsia="zh-CN"/>
                    </w:rPr>
                    <w:t>的最大存在量为8t，酸碱罐区位于主厂房除氧跨东侧。</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9</w:t>
                  </w:r>
                </w:p>
              </w:tc>
              <w:tc>
                <w:tcPr>
                  <w:tcW w:w="1501" w:type="dxa"/>
                  <w:vAlign w:val="center"/>
                </w:tcPr>
                <w:p>
                  <w:pPr>
                    <w:widowControl/>
                    <w:adjustRightInd w:val="0"/>
                    <w:snapToGrid w:val="0"/>
                    <w:spacing w:line="240" w:lineRule="auto"/>
                    <w:ind w:firstLine="0" w:firstLineChars="0"/>
                    <w:jc w:val="center"/>
                    <w:rPr>
                      <w:sz w:val="18"/>
                      <w:szCs w:val="18"/>
                      <w:highlight w:val="none"/>
                    </w:rPr>
                  </w:pPr>
                  <w:r>
                    <w:rPr>
                      <w:rFonts w:hint="eastAsia"/>
                      <w:sz w:val="18"/>
                      <w:szCs w:val="18"/>
                      <w:highlight w:val="none"/>
                      <w:lang w:val="en-US" w:eastAsia="zh-CN"/>
                    </w:rPr>
                    <w:t>30%</w:t>
                  </w:r>
                  <w:r>
                    <w:rPr>
                      <w:sz w:val="18"/>
                      <w:szCs w:val="18"/>
                      <w:highlight w:val="none"/>
                    </w:rPr>
                    <w:t>NaOH</w:t>
                  </w:r>
                </w:p>
              </w:tc>
              <w:tc>
                <w:tcPr>
                  <w:tcW w:w="1365" w:type="dxa"/>
                  <w:vAlign w:val="center"/>
                </w:tcPr>
                <w:p>
                  <w:pPr>
                    <w:widowControl/>
                    <w:adjustRightInd w:val="0"/>
                    <w:snapToGrid w:val="0"/>
                    <w:spacing w:line="240" w:lineRule="auto"/>
                    <w:ind w:firstLine="0" w:firstLineChars="0"/>
                    <w:jc w:val="center"/>
                    <w:rPr>
                      <w:sz w:val="18"/>
                      <w:szCs w:val="18"/>
                      <w:highlight w:val="none"/>
                    </w:rPr>
                  </w:pPr>
                  <w:r>
                    <w:rPr>
                      <w:rFonts w:hint="eastAsia"/>
                      <w:sz w:val="18"/>
                      <w:szCs w:val="18"/>
                      <w:highlight w:val="none"/>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rFonts w:hint="default" w:eastAsia="宋体"/>
                      <w:sz w:val="18"/>
                      <w:szCs w:val="18"/>
                      <w:lang w:val="en-US" w:eastAsia="zh-CN"/>
                    </w:rPr>
                  </w:pPr>
                  <w:r>
                    <w:rPr>
                      <w:rFonts w:hint="eastAsia"/>
                      <w:sz w:val="18"/>
                      <w:szCs w:val="18"/>
                      <w:lang w:val="en-US" w:eastAsia="zh-CN"/>
                    </w:rPr>
                    <w:t>10.7</w:t>
                  </w:r>
                </w:p>
              </w:tc>
              <w:tc>
                <w:tcPr>
                  <w:tcW w:w="2800" w:type="dxa"/>
                  <w:vMerge w:val="continue"/>
                  <w:tcBorders>
                    <w:bottom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sz w:val="18"/>
                      <w:szCs w:val="18"/>
                    </w:rPr>
                  </w:pPr>
                  <w:r>
                    <w:rPr>
                      <w:rFonts w:hint="eastAsia"/>
                      <w:sz w:val="18"/>
                      <w:szCs w:val="18"/>
                    </w:rPr>
                    <w:t>10</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氨水</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rFonts w:hint="default" w:eastAsia="宋体"/>
                      <w:sz w:val="18"/>
                      <w:szCs w:val="18"/>
                      <w:lang w:val="en-US" w:eastAsia="zh-CN"/>
                    </w:rPr>
                  </w:pPr>
                  <w:r>
                    <w:rPr>
                      <w:rFonts w:hint="eastAsia"/>
                      <w:sz w:val="18"/>
                      <w:szCs w:val="18"/>
                      <w:lang w:val="en-US" w:eastAsia="zh-CN"/>
                    </w:rPr>
                    <w:t>1600</w:t>
                  </w:r>
                </w:p>
              </w:tc>
              <w:tc>
                <w:tcPr>
                  <w:tcW w:w="2800" w:type="dxa"/>
                  <w:tcBorders>
                    <w:top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eastAsia" w:eastAsia="宋体"/>
                      <w:sz w:val="18"/>
                      <w:szCs w:val="18"/>
                      <w:lang w:eastAsia="zh-CN"/>
                    </w:rPr>
                  </w:pPr>
                  <w:r>
                    <w:rPr>
                      <w:rFonts w:hint="eastAsia"/>
                      <w:sz w:val="18"/>
                      <w:szCs w:val="18"/>
                    </w:rPr>
                    <w:t>浓度20%，</w:t>
                  </w:r>
                  <w:r>
                    <w:rPr>
                      <w:rFonts w:hint="eastAsia"/>
                      <w:sz w:val="18"/>
                      <w:szCs w:val="18"/>
                      <w:lang w:val="en-US" w:eastAsia="zh-CN"/>
                    </w:rPr>
                    <w:t>最大存在量为69t，位于除尘器及引风机的南侧，</w:t>
                  </w:r>
                  <w:r>
                    <w:rPr>
                      <w:rFonts w:hint="eastAsia"/>
                      <w:sz w:val="18"/>
                      <w:szCs w:val="18"/>
                    </w:rPr>
                    <w:t>用于燃烧废气脱硝</w:t>
                  </w:r>
                  <w:r>
                    <w:rPr>
                      <w:rFonts w:hint="eastAsia"/>
                      <w:sz w:val="18"/>
                      <w:szCs w:val="18"/>
                      <w:lang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06" w:type="dxa"/>
                  <w:vAlign w:val="center"/>
                </w:tcPr>
                <w:p>
                  <w:pPr>
                    <w:widowControl/>
                    <w:adjustRightInd w:val="0"/>
                    <w:snapToGrid w:val="0"/>
                    <w:spacing w:line="240" w:lineRule="auto"/>
                    <w:ind w:firstLine="0" w:firstLineChars="0"/>
                    <w:jc w:val="center"/>
                    <w:rPr>
                      <w:rFonts w:hint="default" w:eastAsia="宋体"/>
                      <w:sz w:val="18"/>
                      <w:szCs w:val="18"/>
                      <w:lang w:val="en-US" w:eastAsia="zh-CN"/>
                    </w:rPr>
                  </w:pPr>
                  <w:r>
                    <w:rPr>
                      <w:rFonts w:hint="eastAsia"/>
                      <w:sz w:val="18"/>
                      <w:szCs w:val="18"/>
                      <w:lang w:val="en-US" w:eastAsia="zh-CN"/>
                    </w:rPr>
                    <w:t>11</w:t>
                  </w:r>
                </w:p>
              </w:tc>
              <w:tc>
                <w:tcPr>
                  <w:tcW w:w="1501" w:type="dxa"/>
                  <w:vAlign w:val="center"/>
                </w:tcPr>
                <w:p>
                  <w:pPr>
                    <w:widowControl/>
                    <w:adjustRightInd w:val="0"/>
                    <w:snapToGrid w:val="0"/>
                    <w:spacing w:line="240" w:lineRule="auto"/>
                    <w:ind w:firstLine="0" w:firstLineChars="0"/>
                    <w:jc w:val="center"/>
                    <w:rPr>
                      <w:rFonts w:hint="default"/>
                      <w:sz w:val="18"/>
                      <w:szCs w:val="18"/>
                      <w:highlight w:val="none"/>
                      <w:lang w:val="en-US" w:eastAsia="zh-CN"/>
                    </w:rPr>
                  </w:pPr>
                  <w:r>
                    <w:rPr>
                      <w:rFonts w:hint="eastAsia"/>
                      <w:sz w:val="18"/>
                      <w:szCs w:val="18"/>
                      <w:highlight w:val="none"/>
                      <w:lang w:val="en-US" w:eastAsia="zh-CN"/>
                    </w:rPr>
                    <w:t>杀菌灭藻剂</w:t>
                  </w:r>
                </w:p>
              </w:tc>
              <w:tc>
                <w:tcPr>
                  <w:tcW w:w="1365" w:type="dxa"/>
                  <w:vAlign w:val="center"/>
                </w:tcPr>
                <w:p>
                  <w:pPr>
                    <w:widowControl/>
                    <w:adjustRightInd w:val="0"/>
                    <w:snapToGrid w:val="0"/>
                    <w:spacing w:line="240" w:lineRule="auto"/>
                    <w:ind w:firstLine="0" w:firstLineChars="0"/>
                    <w:jc w:val="center"/>
                    <w:rPr>
                      <w:rFonts w:hint="eastAsia"/>
                      <w:sz w:val="18"/>
                      <w:szCs w:val="18"/>
                      <w:highlight w:val="none"/>
                    </w:rPr>
                  </w:pPr>
                  <w:r>
                    <w:rPr>
                      <w:rFonts w:hint="eastAsia"/>
                      <w:sz w:val="18"/>
                      <w:szCs w:val="18"/>
                      <w:highlight w:val="none"/>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rFonts w:hint="default"/>
                      <w:sz w:val="18"/>
                      <w:szCs w:val="18"/>
                      <w:highlight w:val="none"/>
                      <w:lang w:val="en-US" w:eastAsia="zh-CN"/>
                    </w:rPr>
                  </w:pPr>
                  <w:r>
                    <w:rPr>
                      <w:rFonts w:hint="eastAsia"/>
                      <w:sz w:val="18"/>
                      <w:szCs w:val="18"/>
                      <w:highlight w:val="none"/>
                      <w:lang w:val="en-US" w:eastAsia="zh-CN"/>
                    </w:rPr>
                    <w:t>40</w:t>
                  </w:r>
                </w:p>
              </w:tc>
              <w:tc>
                <w:tcPr>
                  <w:tcW w:w="2800" w:type="dxa"/>
                  <w:tcBorders>
                    <w:top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sz w:val="18"/>
                      <w:szCs w:val="18"/>
                      <w:highlight w:val="none"/>
                      <w:lang w:val="en-US" w:eastAsia="zh-CN"/>
                    </w:rPr>
                  </w:pPr>
                  <w:r>
                    <w:rPr>
                      <w:rFonts w:hint="eastAsia"/>
                      <w:sz w:val="18"/>
                      <w:szCs w:val="18"/>
                      <w:highlight w:val="none"/>
                      <w:lang w:val="en-US" w:eastAsia="zh-CN"/>
                    </w:rPr>
                    <w:t>氧化性杀菌剂量，有效氯含量＞8%，用于冷却塔杀菌灭藻</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sz w:val="18"/>
                      <w:szCs w:val="18"/>
                    </w:rPr>
                    <w:t>1</w:t>
                  </w:r>
                  <w:r>
                    <w:rPr>
                      <w:rFonts w:hint="eastAsia"/>
                      <w:sz w:val="18"/>
                      <w:szCs w:val="18"/>
                      <w:lang w:val="en-US" w:eastAsia="zh-CN"/>
                    </w:rPr>
                    <w:t>2</w:t>
                  </w:r>
                </w:p>
              </w:tc>
              <w:tc>
                <w:tcPr>
                  <w:tcW w:w="1501" w:type="dxa"/>
                  <w:vAlign w:val="center"/>
                </w:tcPr>
                <w:p>
                  <w:pPr>
                    <w:widowControl/>
                    <w:adjustRightInd w:val="0"/>
                    <w:snapToGrid w:val="0"/>
                    <w:spacing w:line="240" w:lineRule="auto"/>
                    <w:ind w:firstLine="0" w:firstLineChars="0"/>
                    <w:jc w:val="center"/>
                    <w:rPr>
                      <w:rFonts w:hint="eastAsia"/>
                      <w:sz w:val="18"/>
                      <w:szCs w:val="18"/>
                      <w:highlight w:val="none"/>
                      <w:lang w:val="en-US" w:eastAsia="zh-CN"/>
                    </w:rPr>
                  </w:pPr>
                  <w:r>
                    <w:rPr>
                      <w:rFonts w:hint="eastAsia"/>
                      <w:sz w:val="18"/>
                      <w:szCs w:val="18"/>
                      <w:highlight w:val="none"/>
                      <w:lang w:val="en-US" w:eastAsia="zh-CN"/>
                    </w:rPr>
                    <w:t>缓蚀阻垢剂</w:t>
                  </w:r>
                </w:p>
              </w:tc>
              <w:tc>
                <w:tcPr>
                  <w:tcW w:w="1365" w:type="dxa"/>
                  <w:vAlign w:val="center"/>
                </w:tcPr>
                <w:p>
                  <w:pPr>
                    <w:widowControl/>
                    <w:adjustRightInd w:val="0"/>
                    <w:snapToGrid w:val="0"/>
                    <w:spacing w:line="240" w:lineRule="auto"/>
                    <w:ind w:firstLine="0" w:firstLineChars="0"/>
                    <w:jc w:val="center"/>
                    <w:rPr>
                      <w:rFonts w:hint="eastAsia"/>
                      <w:sz w:val="18"/>
                      <w:szCs w:val="18"/>
                      <w:highlight w:val="none"/>
                    </w:rPr>
                  </w:pPr>
                  <w:r>
                    <w:rPr>
                      <w:rFonts w:hint="eastAsia"/>
                      <w:sz w:val="18"/>
                      <w:szCs w:val="18"/>
                      <w:highlight w:val="none"/>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rFonts w:hint="default"/>
                      <w:sz w:val="18"/>
                      <w:szCs w:val="18"/>
                      <w:highlight w:val="none"/>
                      <w:lang w:val="en-US" w:eastAsia="zh-CN"/>
                    </w:rPr>
                  </w:pPr>
                  <w:r>
                    <w:rPr>
                      <w:rFonts w:hint="eastAsia"/>
                      <w:sz w:val="18"/>
                      <w:szCs w:val="18"/>
                      <w:highlight w:val="none"/>
                      <w:lang w:val="en-US" w:eastAsia="zh-CN"/>
                    </w:rPr>
                    <w:t>80</w:t>
                  </w:r>
                </w:p>
              </w:tc>
              <w:tc>
                <w:tcPr>
                  <w:tcW w:w="2800" w:type="dxa"/>
                  <w:tcBorders>
                    <w:top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sz w:val="18"/>
                      <w:szCs w:val="18"/>
                      <w:highlight w:val="none"/>
                      <w:lang w:val="en-US" w:eastAsia="zh-CN"/>
                    </w:rPr>
                  </w:pPr>
                  <w:r>
                    <w:rPr>
                      <w:rFonts w:hint="eastAsia"/>
                      <w:sz w:val="18"/>
                      <w:szCs w:val="18"/>
                      <w:highlight w:val="none"/>
                      <w:lang w:val="en-US" w:eastAsia="zh-CN"/>
                    </w:rPr>
                    <w:t>用于冷却塔阻垢</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sz w:val="18"/>
                      <w:szCs w:val="18"/>
                    </w:rPr>
                    <w:t>1</w:t>
                  </w:r>
                  <w:r>
                    <w:rPr>
                      <w:rFonts w:hint="eastAsia"/>
                      <w:sz w:val="18"/>
                      <w:szCs w:val="18"/>
                      <w:lang w:val="en-US" w:eastAsia="zh-CN"/>
                    </w:rPr>
                    <w:t>3</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润滑油</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0.6</w:t>
                  </w:r>
                </w:p>
              </w:tc>
              <w:tc>
                <w:tcPr>
                  <w:tcW w:w="2800" w:type="dxa"/>
                  <w:tcBorders>
                    <w:top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14</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液压油</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0.2</w:t>
                  </w:r>
                </w:p>
              </w:tc>
              <w:tc>
                <w:tcPr>
                  <w:tcW w:w="2800" w:type="dxa"/>
                  <w:tcBorders>
                    <w:top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15</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电</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万</w:t>
                  </w:r>
                  <w:r>
                    <w:rPr>
                      <w:kern w:val="0"/>
                      <w:sz w:val="18"/>
                      <w:szCs w:val="18"/>
                    </w:rPr>
                    <w:t>kWh</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7956</w:t>
                  </w:r>
                </w:p>
              </w:tc>
              <w:tc>
                <w:tcPr>
                  <w:tcW w:w="2800" w:type="dxa"/>
                  <w:tcBorders>
                    <w:bottom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由迁安市九江线材有限责任公司供给</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06" w:type="dxa"/>
                  <w:vAlign w:val="center"/>
                </w:tcPr>
                <w:p>
                  <w:pPr>
                    <w:widowControl/>
                    <w:adjustRightInd w:val="0"/>
                    <w:snapToGrid w:val="0"/>
                    <w:spacing w:line="240" w:lineRule="auto"/>
                    <w:ind w:firstLine="0" w:firstLineChars="0"/>
                    <w:jc w:val="center"/>
                    <w:rPr>
                      <w:rFonts w:hint="default" w:eastAsia="宋体"/>
                      <w:sz w:val="18"/>
                      <w:szCs w:val="18"/>
                      <w:lang w:val="en-US" w:eastAsia="zh-CN"/>
                    </w:rPr>
                  </w:pPr>
                  <w:r>
                    <w:rPr>
                      <w:rFonts w:hint="eastAsia"/>
                      <w:sz w:val="18"/>
                      <w:szCs w:val="18"/>
                      <w:lang w:val="en-US" w:eastAsia="zh-CN"/>
                    </w:rPr>
                    <w:t>16</w:t>
                  </w:r>
                </w:p>
              </w:tc>
              <w:tc>
                <w:tcPr>
                  <w:tcW w:w="1501" w:type="dxa"/>
                  <w:vAlign w:val="center"/>
                </w:tcPr>
                <w:p>
                  <w:pPr>
                    <w:widowControl/>
                    <w:adjustRightInd w:val="0"/>
                    <w:snapToGrid w:val="0"/>
                    <w:spacing w:line="240" w:lineRule="auto"/>
                    <w:ind w:firstLine="0" w:firstLineChars="0"/>
                    <w:jc w:val="center"/>
                    <w:rPr>
                      <w:sz w:val="18"/>
                      <w:szCs w:val="18"/>
                    </w:rPr>
                  </w:pPr>
                  <w:r>
                    <w:rPr>
                      <w:rFonts w:hint="eastAsia"/>
                      <w:sz w:val="18"/>
                      <w:szCs w:val="18"/>
                    </w:rPr>
                    <w:t>水</w:t>
                  </w:r>
                </w:p>
              </w:tc>
              <w:tc>
                <w:tcPr>
                  <w:tcW w:w="1365" w:type="dxa"/>
                  <w:vAlign w:val="center"/>
                </w:tcPr>
                <w:p>
                  <w:pPr>
                    <w:widowControl/>
                    <w:adjustRightInd w:val="0"/>
                    <w:snapToGrid w:val="0"/>
                    <w:spacing w:line="240" w:lineRule="auto"/>
                    <w:ind w:firstLine="0" w:firstLineChars="0"/>
                    <w:jc w:val="center"/>
                    <w:rPr>
                      <w:sz w:val="18"/>
                      <w:szCs w:val="18"/>
                    </w:rPr>
                  </w:pPr>
                  <w:r>
                    <w:rPr>
                      <w:rFonts w:hint="eastAsia"/>
                      <w:sz w:val="18"/>
                      <w:szCs w:val="18"/>
                    </w:rPr>
                    <w:t>吨</w:t>
                  </w:r>
                </w:p>
              </w:tc>
              <w:tc>
                <w:tcPr>
                  <w:tcW w:w="1867" w:type="dxa"/>
                  <w:tcBorders>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3388720</w:t>
                  </w:r>
                </w:p>
              </w:tc>
              <w:tc>
                <w:tcPr>
                  <w:tcW w:w="2800" w:type="dxa"/>
                  <w:tcBorders>
                    <w:top w:val="single" w:color="auto" w:sz="4" w:space="0"/>
                    <w:right w:val="single" w:color="auto" w:sz="4" w:space="0"/>
                  </w:tcBorders>
                  <w:vAlign w:val="center"/>
                </w:tcPr>
                <w:p>
                  <w:pPr>
                    <w:widowControl/>
                    <w:adjustRightInd w:val="0"/>
                    <w:snapToGrid w:val="0"/>
                    <w:spacing w:line="240" w:lineRule="auto"/>
                    <w:ind w:firstLine="0" w:firstLineChars="0"/>
                    <w:jc w:val="center"/>
                    <w:rPr>
                      <w:sz w:val="18"/>
                      <w:szCs w:val="18"/>
                    </w:rPr>
                  </w:pPr>
                  <w:r>
                    <w:rPr>
                      <w:rFonts w:hint="eastAsia"/>
                      <w:sz w:val="18"/>
                      <w:szCs w:val="18"/>
                    </w:rPr>
                    <w:t>由迁安市九江线材有限责任公司统一供给</w:t>
                  </w:r>
                </w:p>
              </w:tc>
            </w:tr>
          </w:tbl>
          <w:p>
            <w:pPr>
              <w:keepNext/>
              <w:spacing w:line="440" w:lineRule="exact"/>
              <w:ind w:firstLine="482"/>
              <w:jc w:val="center"/>
              <w:rPr>
                <w:b/>
              </w:rPr>
            </w:pPr>
            <w:r>
              <w:rPr>
                <w:b/>
              </w:rPr>
              <w:t>表</w:t>
            </w:r>
            <w:r>
              <w:rPr>
                <w:rFonts w:hint="eastAsia"/>
                <w:b/>
              </w:rPr>
              <w:t>14</w:t>
            </w:r>
            <w:r>
              <w:rPr>
                <w:b/>
              </w:rPr>
              <w:t xml:space="preserve">    高炉煤气</w:t>
            </w:r>
            <w:r>
              <w:rPr>
                <w:rFonts w:hint="eastAsia"/>
                <w:b/>
              </w:rPr>
              <w:t>和转炉煤气</w:t>
            </w:r>
            <w:r>
              <w:rPr>
                <w:b/>
              </w:rPr>
              <w:t>成分一览表</w:t>
            </w:r>
          </w:p>
          <w:tbl>
            <w:tblPr>
              <w:tblStyle w:val="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2196"/>
              <w:gridCol w:w="1678"/>
              <w:gridCol w:w="1693"/>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689" w:type="pct"/>
                  <w:vMerge w:val="restart"/>
                  <w:vAlign w:val="center"/>
                </w:tcPr>
                <w:p>
                  <w:pPr>
                    <w:widowControl/>
                    <w:spacing w:line="360" w:lineRule="exact"/>
                    <w:ind w:firstLine="0" w:firstLineChars="0"/>
                    <w:jc w:val="center"/>
                    <w:rPr>
                      <w:color w:val="000000"/>
                      <w:kern w:val="0"/>
                      <w:sz w:val="18"/>
                      <w:szCs w:val="18"/>
                    </w:rPr>
                  </w:pPr>
                  <w:r>
                    <w:rPr>
                      <w:color w:val="000000"/>
                      <w:kern w:val="0"/>
                      <w:sz w:val="18"/>
                      <w:szCs w:val="18"/>
                    </w:rPr>
                    <w:t>序号</w:t>
                  </w:r>
                </w:p>
              </w:tc>
              <w:tc>
                <w:tcPr>
                  <w:tcW w:w="1309" w:type="pct"/>
                  <w:vMerge w:val="restar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项目</w:t>
                  </w:r>
                </w:p>
              </w:tc>
              <w:tc>
                <w:tcPr>
                  <w:tcW w:w="1000" w:type="pct"/>
                  <w:vMerge w:val="restar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单位</w:t>
                  </w:r>
                </w:p>
              </w:tc>
              <w:tc>
                <w:tcPr>
                  <w:tcW w:w="2001" w:type="pct"/>
                  <w:gridSpan w:val="2"/>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89" w:type="pct"/>
                  <w:vMerge w:val="continue"/>
                  <w:vAlign w:val="center"/>
                </w:tcPr>
                <w:p>
                  <w:pPr>
                    <w:widowControl/>
                    <w:spacing w:line="360" w:lineRule="exact"/>
                    <w:ind w:firstLine="0" w:firstLineChars="0"/>
                    <w:jc w:val="center"/>
                    <w:rPr>
                      <w:color w:val="000000"/>
                      <w:kern w:val="0"/>
                      <w:sz w:val="18"/>
                      <w:szCs w:val="18"/>
                    </w:rPr>
                  </w:pPr>
                </w:p>
              </w:tc>
              <w:tc>
                <w:tcPr>
                  <w:tcW w:w="1309" w:type="pct"/>
                  <w:vMerge w:val="continue"/>
                  <w:vAlign w:val="center"/>
                </w:tcPr>
                <w:p>
                  <w:pPr>
                    <w:pStyle w:val="957"/>
                    <w:ind w:firstLine="0" w:firstLineChars="0"/>
                    <w:rPr>
                      <w:rFonts w:ascii="Times New Roman" w:hAnsi="Times New Roman"/>
                      <w:b w:val="0"/>
                      <w:sz w:val="18"/>
                      <w:szCs w:val="18"/>
                    </w:rPr>
                  </w:pPr>
                </w:p>
              </w:tc>
              <w:tc>
                <w:tcPr>
                  <w:tcW w:w="1000" w:type="pct"/>
                  <w:vMerge w:val="continue"/>
                  <w:vAlign w:val="center"/>
                </w:tcPr>
                <w:p>
                  <w:pPr>
                    <w:pStyle w:val="957"/>
                    <w:ind w:firstLine="0" w:firstLineChars="0"/>
                    <w:rPr>
                      <w:rFonts w:ascii="Times New Roman" w:hAnsi="Times New Roman"/>
                      <w:b w:val="0"/>
                      <w:sz w:val="18"/>
                      <w:szCs w:val="18"/>
                    </w:rPr>
                  </w:pP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BFG</w:t>
                  </w:r>
                  <w:r>
                    <w:rPr>
                      <w:rFonts w:hint="eastAsia" w:ascii="Times New Roman" w:hAnsi="Times New Roman"/>
                      <w:b w:val="0"/>
                      <w:sz w:val="18"/>
                      <w:szCs w:val="18"/>
                    </w:rPr>
                    <w:t>(</w:t>
                  </w:r>
                  <w:r>
                    <w:rPr>
                      <w:rFonts w:ascii="Times New Roman" w:hAnsi="Times New Roman"/>
                      <w:b w:val="0"/>
                      <w:sz w:val="18"/>
                      <w:szCs w:val="18"/>
                    </w:rPr>
                    <w:t>高炉煤气</w:t>
                  </w:r>
                  <w:r>
                    <w:rPr>
                      <w:rFonts w:hint="eastAsia" w:ascii="Times New Roman" w:hAnsi="Times New Roman"/>
                      <w:b w:val="0"/>
                      <w:sz w:val="18"/>
                      <w:szCs w:val="18"/>
                    </w:rPr>
                    <w:t>)</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LDG</w:t>
                  </w:r>
                  <w:r>
                    <w:rPr>
                      <w:rFonts w:hint="eastAsia" w:ascii="Times New Roman" w:hAnsi="Times New Roman"/>
                      <w:b w:val="0"/>
                      <w:sz w:val="18"/>
                      <w:szCs w:val="18"/>
                    </w:rPr>
                    <w:t>(</w:t>
                  </w:r>
                  <w:r>
                    <w:rPr>
                      <w:rFonts w:ascii="Times New Roman" w:hAnsi="Times New Roman"/>
                      <w:b w:val="0"/>
                      <w:sz w:val="18"/>
                      <w:szCs w:val="18"/>
                    </w:rPr>
                    <w:t>转炉煤气</w:t>
                  </w:r>
                  <w:r>
                    <w:rPr>
                      <w:rFonts w:hint="eastAsia" w:ascii="Times New Roman" w:hAnsi="Times New Roman"/>
                      <w:b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1</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供给压力：正常</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kPa</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5-20</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2</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供给温度：正常</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40</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3</w:t>
                  </w:r>
                </w:p>
              </w:tc>
              <w:tc>
                <w:tcPr>
                  <w:tcW w:w="4310" w:type="pct"/>
                  <w:gridSpan w:val="4"/>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成份</w:t>
                  </w:r>
                  <w:r>
                    <w:rPr>
                      <w:rFonts w:hint="eastAsia" w:ascii="Times New Roman" w:hAnsi="Times New Roman"/>
                      <w:b w:val="0"/>
                      <w:sz w:val="18"/>
                      <w:szCs w:val="18"/>
                    </w:rPr>
                    <w:t>(</w:t>
                  </w:r>
                  <w:r>
                    <w:rPr>
                      <w:rFonts w:ascii="Times New Roman" w:hAnsi="Times New Roman"/>
                      <w:b w:val="0"/>
                      <w:sz w:val="18"/>
                      <w:szCs w:val="18"/>
                    </w:rPr>
                    <w:t>正常</w:t>
                  </w:r>
                  <w:r>
                    <w:rPr>
                      <w:rFonts w:hint="eastAsia" w:ascii="Times New Roman" w:hAnsi="Times New Roman"/>
                      <w:b w:val="0"/>
                      <w:sz w:val="18"/>
                      <w:szCs w:val="18"/>
                    </w:rPr>
                    <w:t>)</w:t>
                  </w:r>
                  <w:r>
                    <w:rPr>
                      <w:rFonts w:ascii="Times New Roman" w:hAnsi="Times New Roman"/>
                      <w:b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4</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N</w:t>
                  </w:r>
                  <w:r>
                    <w:rPr>
                      <w:rFonts w:ascii="Times New Roman" w:hAnsi="Times New Roman"/>
                      <w:b w:val="0"/>
                      <w:sz w:val="18"/>
                      <w:szCs w:val="18"/>
                      <w:vertAlign w:val="subscript"/>
                    </w:rPr>
                    <w:t>2</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wet-Vol %</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56.94</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5</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H</w:t>
                  </w:r>
                  <w:r>
                    <w:rPr>
                      <w:rFonts w:ascii="Times New Roman" w:hAnsi="Times New Roman"/>
                      <w:b w:val="0"/>
                      <w:sz w:val="18"/>
                      <w:szCs w:val="18"/>
                      <w:vertAlign w:val="subscript"/>
                    </w:rPr>
                    <w:t>2</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wet-Vol %</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1.9</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6</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CO</w:t>
                  </w:r>
                  <w:r>
                    <w:rPr>
                      <w:rFonts w:ascii="Times New Roman" w:hAnsi="Times New Roman"/>
                      <w:b w:val="0"/>
                      <w:sz w:val="18"/>
                      <w:szCs w:val="18"/>
                      <w:vertAlign w:val="subscript"/>
                    </w:rPr>
                    <w:t>2</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wet-Vol %</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15.5</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7</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CO</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wet-Vol %</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24</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8</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CH</w:t>
                  </w:r>
                  <w:r>
                    <w:rPr>
                      <w:rFonts w:ascii="Times New Roman" w:hAnsi="Times New Roman"/>
                      <w:b w:val="0"/>
                      <w:sz w:val="18"/>
                      <w:szCs w:val="18"/>
                      <w:vertAlign w:val="subscript"/>
                    </w:rPr>
                    <w:t>4</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wet-Vol %</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9</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CnHm</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wet-Vol %</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10</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O</w:t>
                  </w:r>
                  <w:r>
                    <w:rPr>
                      <w:rFonts w:ascii="Times New Roman" w:hAnsi="Times New Roman"/>
                      <w:b w:val="0"/>
                      <w:sz w:val="18"/>
                      <w:szCs w:val="18"/>
                      <w:vertAlign w:val="subscript"/>
                    </w:rPr>
                    <w:t>2</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wet-Vol %</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1.66</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color w:val="000000"/>
                      <w:kern w:val="0"/>
                      <w:sz w:val="18"/>
                      <w:szCs w:val="18"/>
                    </w:rPr>
                  </w:pPr>
                  <w:r>
                    <w:rPr>
                      <w:color w:val="000000"/>
                      <w:kern w:val="0"/>
                      <w:sz w:val="18"/>
                      <w:szCs w:val="18"/>
                    </w:rPr>
                    <w:t>11</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低位发热值</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kcal/Nm</w:t>
                  </w:r>
                  <w:r>
                    <w:rPr>
                      <w:rFonts w:ascii="Times New Roman" w:hAnsi="Times New Roman"/>
                      <w:b w:val="0"/>
                      <w:sz w:val="18"/>
                      <w:szCs w:val="18"/>
                      <w:vertAlign w:val="superscript"/>
                    </w:rPr>
                    <w:t>3</w:t>
                  </w:r>
                  <w:r>
                    <w:rPr>
                      <w:rFonts w:ascii="Times New Roman" w:hAnsi="Times New Roman"/>
                      <w:b w:val="0"/>
                      <w:sz w:val="18"/>
                      <w:szCs w:val="18"/>
                    </w:rPr>
                    <w:t>-wet</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760</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rFonts w:hint="default" w:eastAsia="宋体"/>
                      <w:color w:val="000000"/>
                      <w:kern w:val="0"/>
                      <w:sz w:val="18"/>
                      <w:szCs w:val="18"/>
                      <w:highlight w:val="none"/>
                      <w:lang w:val="en-US" w:eastAsia="zh-CN"/>
                    </w:rPr>
                  </w:pPr>
                  <w:r>
                    <w:rPr>
                      <w:rFonts w:hint="eastAsia"/>
                      <w:color w:val="000000"/>
                      <w:kern w:val="0"/>
                      <w:sz w:val="18"/>
                      <w:szCs w:val="18"/>
                      <w:highlight w:val="none"/>
                      <w:lang w:val="en-US" w:eastAsia="zh-CN"/>
                    </w:rPr>
                    <w:t>12</w:t>
                  </w:r>
                </w:p>
              </w:tc>
              <w:tc>
                <w:tcPr>
                  <w:tcW w:w="1309" w:type="pct"/>
                  <w:vAlign w:val="center"/>
                </w:tcPr>
                <w:p>
                  <w:pPr>
                    <w:pStyle w:val="957"/>
                    <w:ind w:firstLine="0" w:firstLineChars="0"/>
                    <w:rPr>
                      <w:rFonts w:hint="eastAsia" w:ascii="Times New Roman" w:hAnsi="Times New Roman" w:eastAsia="宋体"/>
                      <w:b w:val="0"/>
                      <w:sz w:val="18"/>
                      <w:szCs w:val="18"/>
                      <w:highlight w:val="none"/>
                      <w:lang w:val="en-US" w:eastAsia="zh-CN"/>
                    </w:rPr>
                  </w:pPr>
                  <w:r>
                    <w:rPr>
                      <w:rFonts w:ascii="Times New Roman" w:hAnsi="Times New Roman"/>
                      <w:b w:val="0"/>
                      <w:sz w:val="18"/>
                      <w:szCs w:val="18"/>
                      <w:highlight w:val="none"/>
                    </w:rPr>
                    <w:t>H</w:t>
                  </w:r>
                  <w:r>
                    <w:rPr>
                      <w:rFonts w:ascii="Times New Roman" w:hAnsi="Times New Roman"/>
                      <w:b w:val="0"/>
                      <w:sz w:val="18"/>
                      <w:szCs w:val="18"/>
                      <w:highlight w:val="none"/>
                      <w:vertAlign w:val="subscript"/>
                    </w:rPr>
                    <w:t>2</w:t>
                  </w:r>
                  <w:r>
                    <w:rPr>
                      <w:rFonts w:hint="eastAsia" w:ascii="Times New Roman" w:hAnsi="Times New Roman"/>
                      <w:b w:val="0"/>
                      <w:sz w:val="18"/>
                      <w:szCs w:val="18"/>
                      <w:highlight w:val="none"/>
                      <w:vertAlign w:val="baseline"/>
                      <w:lang w:val="en-US" w:eastAsia="zh-CN"/>
                    </w:rPr>
                    <w:t>S</w:t>
                  </w:r>
                </w:p>
              </w:tc>
              <w:tc>
                <w:tcPr>
                  <w:tcW w:w="1000" w:type="pct"/>
                  <w:vAlign w:val="center"/>
                </w:tcPr>
                <w:p>
                  <w:pPr>
                    <w:pStyle w:val="957"/>
                    <w:ind w:firstLine="0" w:firstLineChars="0"/>
                    <w:rPr>
                      <w:rFonts w:ascii="Times New Roman" w:hAnsi="Times New Roman"/>
                      <w:b w:val="0"/>
                      <w:sz w:val="18"/>
                      <w:szCs w:val="18"/>
                      <w:highlight w:val="none"/>
                    </w:rPr>
                  </w:pPr>
                  <w:r>
                    <w:rPr>
                      <w:rFonts w:ascii="Times New Roman" w:hAnsi="Times New Roman"/>
                      <w:b w:val="0"/>
                      <w:sz w:val="18"/>
                      <w:szCs w:val="18"/>
                      <w:highlight w:val="none"/>
                    </w:rPr>
                    <w:t>mg/Nm</w:t>
                  </w:r>
                  <w:r>
                    <w:rPr>
                      <w:rFonts w:ascii="Times New Roman" w:hAnsi="Times New Roman"/>
                      <w:b w:val="0"/>
                      <w:sz w:val="18"/>
                      <w:szCs w:val="18"/>
                      <w:highlight w:val="none"/>
                      <w:vertAlign w:val="superscript"/>
                    </w:rPr>
                    <w:t>3</w:t>
                  </w:r>
                </w:p>
              </w:tc>
              <w:tc>
                <w:tcPr>
                  <w:tcW w:w="1009" w:type="pct"/>
                  <w:vAlign w:val="center"/>
                </w:tcPr>
                <w:p>
                  <w:pPr>
                    <w:pStyle w:val="957"/>
                    <w:ind w:firstLine="0" w:firstLineChars="0"/>
                    <w:rPr>
                      <w:rFonts w:hint="default" w:ascii="Times New Roman" w:hAnsi="Times New Roman" w:eastAsia="宋体"/>
                      <w:b w:val="0"/>
                      <w:sz w:val="18"/>
                      <w:szCs w:val="18"/>
                      <w:highlight w:val="none"/>
                      <w:lang w:val="en-US" w:eastAsia="zh-CN"/>
                    </w:rPr>
                  </w:pPr>
                  <w:r>
                    <w:rPr>
                      <w:rFonts w:ascii="Times New Roman" w:hAnsi="Times New Roman"/>
                      <w:b w:val="0"/>
                      <w:sz w:val="18"/>
                      <w:szCs w:val="18"/>
                      <w:highlight w:val="none"/>
                    </w:rPr>
                    <w:t>≤</w:t>
                  </w:r>
                  <w:r>
                    <w:rPr>
                      <w:rFonts w:hint="eastAsia" w:ascii="Times New Roman" w:hAnsi="Times New Roman"/>
                      <w:b w:val="0"/>
                      <w:sz w:val="18"/>
                      <w:szCs w:val="18"/>
                      <w:highlight w:val="none"/>
                      <w:lang w:val="en-US" w:eastAsia="zh-CN"/>
                    </w:rPr>
                    <w:t>53</w:t>
                  </w:r>
                </w:p>
              </w:tc>
              <w:tc>
                <w:tcPr>
                  <w:tcW w:w="991" w:type="pct"/>
                  <w:vAlign w:val="center"/>
                </w:tcPr>
                <w:p>
                  <w:pPr>
                    <w:pStyle w:val="957"/>
                    <w:ind w:firstLine="0" w:firstLineChars="0"/>
                    <w:rPr>
                      <w:rFonts w:ascii="Times New Roman" w:hAnsi="Times New Roman"/>
                      <w:b w:val="0"/>
                      <w:sz w:val="18"/>
                      <w:szCs w:val="18"/>
                      <w:highlight w:val="yellow"/>
                    </w:rPr>
                  </w:pPr>
                  <w:r>
                    <w:rPr>
                      <w:rFonts w:ascii="Times New Roman" w:hAnsi="Times New Roman"/>
                      <w:b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9" w:type="pct"/>
                  <w:vAlign w:val="center"/>
                </w:tcPr>
                <w:p>
                  <w:pPr>
                    <w:widowControl/>
                    <w:spacing w:line="360" w:lineRule="exact"/>
                    <w:ind w:firstLine="0" w:firstLineChars="0"/>
                    <w:jc w:val="center"/>
                    <w:rPr>
                      <w:rFonts w:hint="eastAsia" w:eastAsia="宋体"/>
                      <w:color w:val="000000"/>
                      <w:kern w:val="0"/>
                      <w:sz w:val="18"/>
                      <w:szCs w:val="18"/>
                      <w:lang w:eastAsia="zh-CN"/>
                    </w:rPr>
                  </w:pPr>
                  <w:r>
                    <w:rPr>
                      <w:color w:val="000000"/>
                      <w:kern w:val="0"/>
                      <w:sz w:val="18"/>
                      <w:szCs w:val="18"/>
                    </w:rPr>
                    <w:t>1</w:t>
                  </w:r>
                  <w:r>
                    <w:rPr>
                      <w:rFonts w:hint="eastAsia"/>
                      <w:color w:val="000000"/>
                      <w:kern w:val="0"/>
                      <w:sz w:val="18"/>
                      <w:szCs w:val="18"/>
                      <w:lang w:val="en-US" w:eastAsia="zh-CN"/>
                    </w:rPr>
                    <w:t>3</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含尘量</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mg/Nm</w:t>
                  </w:r>
                  <w:r>
                    <w:rPr>
                      <w:rFonts w:ascii="Times New Roman" w:hAnsi="Times New Roman"/>
                      <w:b w:val="0"/>
                      <w:sz w:val="18"/>
                      <w:szCs w:val="18"/>
                      <w:vertAlign w:val="superscript"/>
                    </w:rPr>
                    <w:t>3</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≤50</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vAlign w:val="center"/>
                </w:tcPr>
                <w:p>
                  <w:pPr>
                    <w:widowControl/>
                    <w:spacing w:line="360" w:lineRule="exact"/>
                    <w:ind w:firstLine="0" w:firstLineChars="0"/>
                    <w:jc w:val="center"/>
                    <w:rPr>
                      <w:rFonts w:hint="eastAsia" w:eastAsia="宋体"/>
                      <w:color w:val="000000"/>
                      <w:kern w:val="0"/>
                      <w:sz w:val="18"/>
                      <w:szCs w:val="18"/>
                      <w:lang w:eastAsia="zh-CN"/>
                    </w:rPr>
                  </w:pPr>
                  <w:r>
                    <w:rPr>
                      <w:rFonts w:hint="eastAsia"/>
                      <w:color w:val="000000"/>
                      <w:kern w:val="0"/>
                      <w:sz w:val="18"/>
                      <w:szCs w:val="18"/>
                    </w:rPr>
                    <w:t>1</w:t>
                  </w:r>
                  <w:r>
                    <w:rPr>
                      <w:rFonts w:hint="eastAsia"/>
                      <w:color w:val="000000"/>
                      <w:kern w:val="0"/>
                      <w:sz w:val="18"/>
                      <w:szCs w:val="18"/>
                      <w:lang w:val="en-US" w:eastAsia="zh-CN"/>
                    </w:rPr>
                    <w:t>4</w:t>
                  </w:r>
                </w:p>
              </w:tc>
              <w:tc>
                <w:tcPr>
                  <w:tcW w:w="13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含S量</w:t>
                  </w:r>
                </w:p>
              </w:tc>
              <w:tc>
                <w:tcPr>
                  <w:tcW w:w="1000"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mg/Nm</w:t>
                  </w:r>
                  <w:r>
                    <w:rPr>
                      <w:rFonts w:ascii="Times New Roman" w:hAnsi="Times New Roman"/>
                      <w:b w:val="0"/>
                      <w:sz w:val="18"/>
                      <w:szCs w:val="18"/>
                      <w:vertAlign w:val="superscript"/>
                    </w:rPr>
                    <w:t>3</w:t>
                  </w:r>
                </w:p>
              </w:tc>
              <w:tc>
                <w:tcPr>
                  <w:tcW w:w="1009"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t>
                  </w:r>
                  <w:r>
                    <w:rPr>
                      <w:rFonts w:hint="eastAsia" w:ascii="Times New Roman" w:hAnsi="Times New Roman"/>
                      <w:b w:val="0"/>
                      <w:sz w:val="18"/>
                      <w:szCs w:val="18"/>
                    </w:rPr>
                    <w:t>50</w:t>
                  </w:r>
                </w:p>
              </w:tc>
              <w:tc>
                <w:tcPr>
                  <w:tcW w:w="991" w:type="pct"/>
                  <w:vAlign w:val="center"/>
                </w:tcPr>
                <w:p>
                  <w:pPr>
                    <w:pStyle w:val="957"/>
                    <w:ind w:firstLine="0" w:firstLineChars="0"/>
                    <w:rPr>
                      <w:rFonts w:ascii="Times New Roman" w:hAnsi="Times New Roman"/>
                      <w:b w:val="0"/>
                      <w:sz w:val="18"/>
                      <w:szCs w:val="18"/>
                    </w:rPr>
                  </w:pPr>
                  <w:r>
                    <w:rPr>
                      <w:rFonts w:ascii="Times New Roman" w:hAnsi="Times New Roman"/>
                      <w:b w:val="0"/>
                      <w:sz w:val="18"/>
                      <w:szCs w:val="18"/>
                    </w:rPr>
                    <w:t>—</w:t>
                  </w:r>
                </w:p>
              </w:tc>
            </w:tr>
          </w:tbl>
          <w:p>
            <w:pPr>
              <w:keepNext/>
              <w:spacing w:line="480" w:lineRule="exact"/>
              <w:ind w:firstLine="482"/>
              <w:jc w:val="center"/>
              <w:rPr>
                <w:b/>
              </w:rPr>
            </w:pPr>
            <w:r>
              <w:rPr>
                <w:b/>
              </w:rPr>
              <w:t>表</w:t>
            </w:r>
            <w:r>
              <w:rPr>
                <w:rFonts w:hint="eastAsia"/>
                <w:b/>
              </w:rPr>
              <w:t>15</w:t>
            </w:r>
            <w:r>
              <w:rPr>
                <w:b/>
              </w:rPr>
              <w:t xml:space="preserve"> </w:t>
            </w:r>
            <w:r>
              <w:rPr>
                <w:rFonts w:hint="eastAsia"/>
                <w:b/>
              </w:rPr>
              <w:t xml:space="preserve"> </w:t>
            </w:r>
            <w:r>
              <w:rPr>
                <w:b/>
              </w:rPr>
              <w:t xml:space="preserve">  项目实施前全厂煤气平衡一览表   单位：</w:t>
            </w:r>
            <w:r>
              <w:rPr>
                <w:rFonts w:hint="eastAsia"/>
                <w:b/>
              </w:rPr>
              <w:t>万</w:t>
            </w:r>
            <w:r>
              <w:rPr>
                <w:b/>
              </w:rPr>
              <w:t>m</w:t>
            </w:r>
            <w:r>
              <w:rPr>
                <w:b/>
                <w:vertAlign w:val="superscript"/>
              </w:rPr>
              <w:t>3</w:t>
            </w:r>
            <w:r>
              <w:rPr>
                <w:b/>
              </w:rPr>
              <w:t>/</w:t>
            </w:r>
            <w:r>
              <w:rPr>
                <w:rFonts w:hint="eastAsia"/>
                <w:b/>
              </w:rPr>
              <w:t>d</w:t>
            </w:r>
          </w:p>
          <w:tbl>
            <w:tblPr>
              <w:tblStyle w:val="7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45"/>
              <w:gridCol w:w="1278"/>
              <w:gridCol w:w="2940"/>
              <w:gridCol w:w="24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802" w:type="pct"/>
                  <w:gridSpan w:val="2"/>
                  <w:tcBorders>
                    <w:bottom w:val="single" w:color="auto" w:sz="4" w:space="0"/>
                  </w:tcBorders>
                  <w:noWrap/>
                  <w:vAlign w:val="center"/>
                </w:tcPr>
                <w:p>
                  <w:pPr>
                    <w:widowControl/>
                    <w:spacing w:line="360" w:lineRule="exact"/>
                    <w:ind w:firstLine="0" w:firstLineChars="0"/>
                    <w:jc w:val="center"/>
                    <w:rPr>
                      <w:color w:val="000000"/>
                      <w:kern w:val="0"/>
                      <w:sz w:val="18"/>
                      <w:szCs w:val="18"/>
                    </w:rPr>
                  </w:pPr>
                  <w:r>
                    <w:rPr>
                      <w:color w:val="000000"/>
                      <w:kern w:val="0"/>
                      <w:sz w:val="18"/>
                      <w:szCs w:val="18"/>
                    </w:rPr>
                    <w:t>产生</w:t>
                  </w:r>
                </w:p>
              </w:tc>
              <w:tc>
                <w:tcPr>
                  <w:tcW w:w="3197" w:type="pct"/>
                  <w:gridSpan w:val="2"/>
                  <w:tcBorders>
                    <w:bottom w:val="single" w:color="auto" w:sz="4" w:space="0"/>
                  </w:tcBorders>
                  <w:noWrap/>
                  <w:vAlign w:val="center"/>
                </w:tcPr>
                <w:p>
                  <w:pPr>
                    <w:widowControl/>
                    <w:spacing w:line="360" w:lineRule="exact"/>
                    <w:ind w:firstLine="0" w:firstLineChars="0"/>
                    <w:jc w:val="center"/>
                    <w:rPr>
                      <w:color w:val="000000"/>
                      <w:kern w:val="0"/>
                      <w:sz w:val="18"/>
                      <w:szCs w:val="18"/>
                    </w:rPr>
                  </w:pPr>
                  <w:r>
                    <w:rPr>
                      <w:color w:val="000000"/>
                      <w:kern w:val="0"/>
                      <w:sz w:val="18"/>
                      <w:szCs w:val="18"/>
                    </w:rPr>
                    <w:t>消耗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tcBorders>
                    <w:top w:val="single" w:color="auto" w:sz="4" w:space="0"/>
                    <w:right w:val="single" w:color="auto" w:sz="4" w:space="0"/>
                  </w:tcBorders>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产生单元</w:t>
                  </w:r>
                </w:p>
              </w:tc>
              <w:tc>
                <w:tcPr>
                  <w:tcW w:w="762" w:type="pct"/>
                  <w:tcBorders>
                    <w:top w:val="single" w:color="auto" w:sz="4" w:space="0"/>
                    <w:left w:val="single" w:color="auto" w:sz="4" w:space="0"/>
                  </w:tcBorders>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数量</w:t>
                  </w:r>
                </w:p>
              </w:tc>
              <w:tc>
                <w:tcPr>
                  <w:tcW w:w="1752" w:type="pct"/>
                  <w:tcBorders>
                    <w:top w:val="single" w:color="auto" w:sz="4" w:space="0"/>
                    <w:right w:val="single" w:color="auto" w:sz="4" w:space="0"/>
                  </w:tcBorders>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用气单元</w:t>
                  </w:r>
                </w:p>
              </w:tc>
              <w:tc>
                <w:tcPr>
                  <w:tcW w:w="1445" w:type="pct"/>
                  <w:tcBorders>
                    <w:top w:val="single" w:color="auto" w:sz="4" w:space="0"/>
                    <w:left w:val="single" w:color="auto" w:sz="4" w:space="0"/>
                  </w:tcBorders>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tcBorders>
                    <w:right w:val="single" w:color="auto" w:sz="4" w:space="0"/>
                  </w:tcBorders>
                  <w:noWrap/>
                  <w:vAlign w:val="center"/>
                </w:tcPr>
                <w:p>
                  <w:pPr>
                    <w:widowControl/>
                    <w:spacing w:line="360" w:lineRule="exact"/>
                    <w:ind w:firstLine="0" w:firstLineChars="0"/>
                    <w:jc w:val="center"/>
                    <w:rPr>
                      <w:color w:val="000000"/>
                      <w:kern w:val="0"/>
                      <w:sz w:val="18"/>
                      <w:szCs w:val="18"/>
                    </w:rPr>
                  </w:pPr>
                  <w:r>
                    <w:rPr>
                      <w:color w:val="000000"/>
                      <w:kern w:val="0"/>
                      <w:sz w:val="18"/>
                      <w:szCs w:val="18"/>
                    </w:rPr>
                    <w:t>炼铁高炉</w:t>
                  </w:r>
                </w:p>
              </w:tc>
              <w:tc>
                <w:tcPr>
                  <w:tcW w:w="762" w:type="pct"/>
                  <w:tcBorders>
                    <w:left w:val="single" w:color="auto" w:sz="4" w:space="0"/>
                  </w:tcBorders>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2970</w:t>
                  </w: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烧结</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141.4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tcBorders>
                    <w:right w:val="single" w:color="auto" w:sz="4" w:space="0"/>
                  </w:tcBorders>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炼钢转炉</w:t>
                  </w:r>
                </w:p>
              </w:tc>
              <w:tc>
                <w:tcPr>
                  <w:tcW w:w="762" w:type="pct"/>
                  <w:tcBorders>
                    <w:left w:val="single" w:color="auto" w:sz="4" w:space="0"/>
                  </w:tcBorders>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632.6610</w:t>
                  </w: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球团</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20.76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轧钢</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炼钢</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95.4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喷煤</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西区余热及炼铁烤包</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拔丝厂</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微粉</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87.21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93MW</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1#亚临界</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592.2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2#亚临界</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609.84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p>
              </w:tc>
              <w:tc>
                <w:tcPr>
                  <w:tcW w:w="762" w:type="pct"/>
                  <w:noWrap/>
                  <w:vAlign w:val="center"/>
                </w:tcPr>
                <w:p>
                  <w:pPr>
                    <w:widowControl/>
                    <w:spacing w:line="360" w:lineRule="exact"/>
                    <w:ind w:firstLine="0" w:firstLineChars="0"/>
                    <w:jc w:val="center"/>
                    <w:rPr>
                      <w:color w:val="000000"/>
                      <w:kern w:val="0"/>
                      <w:sz w:val="18"/>
                      <w:szCs w:val="18"/>
                    </w:rPr>
                  </w:pPr>
                </w:p>
              </w:tc>
              <w:tc>
                <w:tcPr>
                  <w:tcW w:w="175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2×65MW</w:t>
                  </w: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631.551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40" w:type="pct"/>
                  <w:noWrap/>
                  <w:vAlign w:val="center"/>
                </w:tcPr>
                <w:p>
                  <w:pPr>
                    <w:widowControl/>
                    <w:spacing w:line="360" w:lineRule="exact"/>
                    <w:ind w:firstLine="0" w:firstLineChars="0"/>
                    <w:jc w:val="center"/>
                    <w:rPr>
                      <w:color w:val="000000"/>
                      <w:kern w:val="0"/>
                      <w:sz w:val="18"/>
                      <w:szCs w:val="18"/>
                    </w:rPr>
                  </w:pPr>
                  <w:r>
                    <w:rPr>
                      <w:color w:val="000000"/>
                      <w:kern w:val="0"/>
                      <w:sz w:val="18"/>
                      <w:szCs w:val="18"/>
                    </w:rPr>
                    <w:t>合计</w:t>
                  </w:r>
                </w:p>
              </w:tc>
              <w:tc>
                <w:tcPr>
                  <w:tcW w:w="762"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3602.661</w:t>
                  </w:r>
                </w:p>
              </w:tc>
              <w:tc>
                <w:tcPr>
                  <w:tcW w:w="1752" w:type="pct"/>
                  <w:noWrap/>
                  <w:vAlign w:val="center"/>
                </w:tcPr>
                <w:p>
                  <w:pPr>
                    <w:widowControl/>
                    <w:spacing w:line="360" w:lineRule="exact"/>
                    <w:ind w:firstLine="0" w:firstLineChars="0"/>
                    <w:jc w:val="center"/>
                    <w:rPr>
                      <w:color w:val="000000"/>
                      <w:kern w:val="0"/>
                      <w:sz w:val="18"/>
                      <w:szCs w:val="18"/>
                    </w:rPr>
                  </w:pPr>
                </w:p>
              </w:tc>
              <w:tc>
                <w:tcPr>
                  <w:tcW w:w="1445" w:type="pct"/>
                  <w:noWrap/>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3602.661</w:t>
                  </w:r>
                </w:p>
              </w:tc>
            </w:tr>
          </w:tbl>
          <w:p>
            <w:pPr>
              <w:keepNext/>
              <w:spacing w:line="360" w:lineRule="exact"/>
              <w:ind w:firstLine="0" w:firstLineChars="0"/>
              <w:rPr>
                <w:b/>
                <w:sz w:val="18"/>
                <w:szCs w:val="18"/>
              </w:rPr>
            </w:pPr>
            <w:r>
              <w:rPr>
                <w:rFonts w:hint="eastAsia"/>
                <w:b/>
                <w:sz w:val="18"/>
                <w:szCs w:val="18"/>
              </w:rPr>
              <w:t>注：已将转炉煤气转化为高炉煤气，转炉煤气折高炉煤气1.73倍。</w:t>
            </w:r>
          </w:p>
          <w:p>
            <w:pPr>
              <w:keepNext/>
              <w:spacing w:line="480" w:lineRule="exact"/>
              <w:ind w:firstLine="482"/>
              <w:jc w:val="center"/>
              <w:rPr>
                <w:b/>
              </w:rPr>
            </w:pPr>
            <w:r>
              <w:rPr>
                <w:b/>
              </w:rPr>
              <w:t>表</w:t>
            </w:r>
            <w:r>
              <w:rPr>
                <w:rFonts w:hint="eastAsia"/>
                <w:b/>
              </w:rPr>
              <w:t>16</w:t>
            </w:r>
            <w:r>
              <w:rPr>
                <w:b/>
              </w:rPr>
              <w:t xml:space="preserve"> </w:t>
            </w:r>
            <w:r>
              <w:rPr>
                <w:rFonts w:hint="eastAsia"/>
                <w:b/>
              </w:rPr>
              <w:t xml:space="preserve"> </w:t>
            </w:r>
            <w:r>
              <w:rPr>
                <w:b/>
              </w:rPr>
              <w:t xml:space="preserve">  项目实施后煤气平衡一览表   单位：</w:t>
            </w:r>
            <w:r>
              <w:rPr>
                <w:rFonts w:hint="eastAsia"/>
                <w:b/>
              </w:rPr>
              <w:t>万</w:t>
            </w:r>
            <w:r>
              <w:rPr>
                <w:b/>
              </w:rPr>
              <w:t>m</w:t>
            </w:r>
            <w:r>
              <w:rPr>
                <w:b/>
                <w:vertAlign w:val="superscript"/>
              </w:rPr>
              <w:t>3</w:t>
            </w:r>
            <w:r>
              <w:rPr>
                <w:b/>
              </w:rPr>
              <w:t>/</w:t>
            </w:r>
            <w:r>
              <w:rPr>
                <w:rFonts w:hint="eastAsia"/>
                <w:b/>
              </w:rPr>
              <w:t>d</w:t>
            </w:r>
          </w:p>
          <w:tbl>
            <w:tblPr>
              <w:tblStyle w:val="7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45"/>
              <w:gridCol w:w="1268"/>
              <w:gridCol w:w="2941"/>
              <w:gridCol w:w="24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796" w:type="pct"/>
                  <w:gridSpan w:val="2"/>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产生量</w:t>
                  </w:r>
                </w:p>
              </w:tc>
              <w:tc>
                <w:tcPr>
                  <w:tcW w:w="3203" w:type="pct"/>
                  <w:gridSpan w:val="2"/>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消耗量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炼铁高炉</w:t>
                  </w:r>
                </w:p>
              </w:tc>
              <w:tc>
                <w:tcPr>
                  <w:tcW w:w="756"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4180</w:t>
                  </w: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烧结</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199.5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炼钢转炉</w:t>
                  </w:r>
                </w:p>
              </w:tc>
              <w:tc>
                <w:tcPr>
                  <w:tcW w:w="756"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477.48</w:t>
                  </w: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球团</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38.925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p>
              </w:tc>
              <w:tc>
                <w:tcPr>
                  <w:tcW w:w="756"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轧钢</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1008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炼钢</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喷煤</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西区余热及炼铁烤包</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拔丝厂</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微粉</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122.74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卷板厂</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332.16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93MW</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1#亚临界</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592.2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2#亚临界</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609.84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2*65MW</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158.4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756" w:type="pct"/>
                  <w:noWrap/>
                  <w:tcMar>
                    <w:top w:w="15" w:type="dxa"/>
                    <w:left w:w="15" w:type="dxa"/>
                    <w:bottom w:w="0" w:type="dxa"/>
                    <w:right w:w="15" w:type="dxa"/>
                  </w:tcMar>
                  <w:vAlign w:val="center"/>
                </w:tcPr>
                <w:p>
                  <w:pPr>
                    <w:pStyle w:val="1721"/>
                    <w:spacing w:line="360" w:lineRule="exact"/>
                    <w:ind w:firstLine="0" w:firstLineChars="0"/>
                    <w:rPr>
                      <w:rFonts w:ascii="宋体" w:hAnsi="宋体" w:cs="宋体"/>
                    </w:rPr>
                  </w:pP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本项目145MW</w:t>
                  </w: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766.9150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0"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合计</w:t>
                  </w:r>
                </w:p>
              </w:tc>
              <w:tc>
                <w:tcPr>
                  <w:tcW w:w="756"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4657.48</w:t>
                  </w:r>
                </w:p>
              </w:tc>
              <w:tc>
                <w:tcPr>
                  <w:tcW w:w="1753"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p>
              </w:tc>
              <w:tc>
                <w:tcPr>
                  <w:tcW w:w="1449" w:type="pct"/>
                  <w:noWrap/>
                  <w:tcMar>
                    <w:top w:w="15" w:type="dxa"/>
                    <w:left w:w="15" w:type="dxa"/>
                    <w:bottom w:w="0" w:type="dxa"/>
                    <w:right w:w="15" w:type="dxa"/>
                  </w:tcMar>
                  <w:vAlign w:val="center"/>
                </w:tcPr>
                <w:p>
                  <w:pPr>
                    <w:widowControl/>
                    <w:spacing w:line="360" w:lineRule="exact"/>
                    <w:ind w:firstLine="0" w:firstLineChars="0"/>
                    <w:jc w:val="center"/>
                    <w:rPr>
                      <w:color w:val="000000"/>
                      <w:kern w:val="0"/>
                      <w:sz w:val="18"/>
                      <w:szCs w:val="18"/>
                    </w:rPr>
                  </w:pPr>
                  <w:r>
                    <w:rPr>
                      <w:rFonts w:hint="eastAsia"/>
                      <w:color w:val="000000"/>
                      <w:kern w:val="0"/>
                      <w:sz w:val="18"/>
                      <w:szCs w:val="18"/>
                    </w:rPr>
                    <w:t>4657.48</w:t>
                  </w:r>
                </w:p>
              </w:tc>
            </w:tr>
          </w:tbl>
          <w:p>
            <w:pPr>
              <w:keepNext/>
              <w:spacing w:line="360" w:lineRule="exact"/>
              <w:ind w:firstLine="0" w:firstLineChars="0"/>
              <w:rPr>
                <w:b/>
                <w:sz w:val="18"/>
                <w:szCs w:val="18"/>
              </w:rPr>
            </w:pPr>
            <w:r>
              <w:rPr>
                <w:rFonts w:hint="eastAsia"/>
                <w:b/>
                <w:sz w:val="18"/>
                <w:szCs w:val="18"/>
              </w:rPr>
              <w:t>注：已将转炉煤气转化为高炉煤气，转炉煤气折高炉煤气1.73倍。</w:t>
            </w:r>
          </w:p>
          <w:p>
            <w:pPr>
              <w:snapToGrid w:val="0"/>
              <w:spacing w:before="120" w:beforeLines="50"/>
              <w:ind w:firstLine="480"/>
            </w:pPr>
            <w:r>
              <w:rPr>
                <w:rFonts w:hint="eastAsia"/>
              </w:rPr>
              <w:t>7、给排水</w:t>
            </w:r>
          </w:p>
          <w:p>
            <w:pPr>
              <w:widowControl/>
              <w:autoSpaceDE w:val="0"/>
              <w:autoSpaceDN w:val="0"/>
              <w:adjustRightInd w:val="0"/>
              <w:snapToGrid w:val="0"/>
              <w:ind w:firstLine="480"/>
            </w:pPr>
            <w:r>
              <w:rPr>
                <w:rFonts w:hint="eastAsia"/>
              </w:rPr>
              <w:t>(1)给水</w:t>
            </w:r>
          </w:p>
          <w:p>
            <w:pPr>
              <w:widowControl/>
              <w:autoSpaceDE w:val="0"/>
              <w:autoSpaceDN w:val="0"/>
              <w:adjustRightInd w:val="0"/>
              <w:snapToGrid w:val="0"/>
              <w:ind w:firstLine="480"/>
              <w:jc w:val="both"/>
            </w:pPr>
            <w:r>
              <w:rPr>
                <w:rFonts w:hint="eastAsia"/>
              </w:rPr>
              <w:t>项目生产用水由迁安市九江线材有限责任公司统一供给，接自厂区东南侧现有生产生活给水管道。项目不新增劳动定员，不新增生活用水量。生产用水主要包括汽机、锅炉辅机工业用水冷却水，汽轮机凝汽器，发电机空冷器及汽轮机冷油机冷却用水，锅炉启动系统用水和混床再生用水，新增用水量为419.94m</w:t>
            </w:r>
            <w:r>
              <w:rPr>
                <w:rFonts w:hint="eastAsia"/>
                <w:vertAlign w:val="superscript"/>
              </w:rPr>
              <w:t>3</w:t>
            </w:r>
            <w:r>
              <w:rPr>
                <w:rFonts w:hint="eastAsia"/>
              </w:rPr>
              <w:t>/h(夏季为434.54m</w:t>
            </w:r>
            <w:r>
              <w:rPr>
                <w:rFonts w:hint="eastAsia"/>
                <w:vertAlign w:val="superscript"/>
              </w:rPr>
              <w:t>3</w:t>
            </w:r>
            <w:r>
              <w:rPr>
                <w:rFonts w:hint="eastAsia"/>
              </w:rPr>
              <w:t>/h)，其中夏季增加用水量的原因为需对空冷器及冷油器进行冷却，增加新水消耗。</w:t>
            </w:r>
          </w:p>
          <w:p>
            <w:pPr>
              <w:widowControl/>
              <w:autoSpaceDE w:val="0"/>
              <w:autoSpaceDN w:val="0"/>
              <w:adjustRightInd w:val="0"/>
              <w:snapToGrid w:val="0"/>
              <w:ind w:firstLine="480"/>
            </w:pPr>
            <w:r>
              <w:rPr>
                <w:rFonts w:hint="eastAsia"/>
              </w:rPr>
              <w:t>(2)排水</w:t>
            </w:r>
          </w:p>
          <w:p>
            <w:pPr>
              <w:widowControl/>
              <w:autoSpaceDE w:val="0"/>
              <w:autoSpaceDN w:val="0"/>
              <w:adjustRightInd w:val="0"/>
              <w:snapToGrid w:val="0"/>
              <w:ind w:firstLine="480"/>
              <w:jc w:val="both"/>
            </w:pPr>
            <w:r>
              <w:rPr>
                <w:rFonts w:hint="eastAsia"/>
              </w:rPr>
              <w:t>项目生产废水包括循环冷却水系统产生的系统排污水、锅炉启动系统排水、混床再生排水和</w:t>
            </w:r>
            <w:r>
              <w:t>除盐水制备工序产生的浓盐水</w:t>
            </w:r>
            <w:r>
              <w:rPr>
                <w:rFonts w:hint="eastAsia"/>
              </w:rPr>
              <w:t>，冷却塔循环冷却水系统产生的系统排污水量为126.4</w:t>
            </w:r>
            <w:r>
              <w:t>m</w:t>
            </w:r>
            <w:r>
              <w:rPr>
                <w:vertAlign w:val="superscript"/>
              </w:rPr>
              <w:t>3</w:t>
            </w:r>
            <w:r>
              <w:t>/</w:t>
            </w:r>
            <w:r>
              <w:rPr>
                <w:rFonts w:hint="eastAsia"/>
              </w:rPr>
              <w:t>h(夏季为130m</w:t>
            </w:r>
            <w:r>
              <w:rPr>
                <w:rFonts w:hint="eastAsia"/>
                <w:vertAlign w:val="superscript"/>
              </w:rPr>
              <w:t>3</w:t>
            </w:r>
            <w:r>
              <w:rPr>
                <w:rFonts w:hint="eastAsia"/>
              </w:rPr>
              <w:t>/h)，</w:t>
            </w:r>
            <w:r>
              <w:t>除盐水制备工序产生的浓盐水</w:t>
            </w:r>
            <w:r>
              <w:rPr>
                <w:rFonts w:hint="eastAsia"/>
              </w:rPr>
              <w:t>量为5.14m</w:t>
            </w:r>
            <w:r>
              <w:rPr>
                <w:rFonts w:hint="eastAsia"/>
                <w:vertAlign w:val="superscript"/>
              </w:rPr>
              <w:t>3</w:t>
            </w:r>
            <w:r>
              <w:rPr>
                <w:rFonts w:hint="eastAsia"/>
              </w:rPr>
              <w:t>/h，锅炉启动系统排水量为5m</w:t>
            </w:r>
            <w:r>
              <w:rPr>
                <w:rFonts w:hint="eastAsia"/>
                <w:vertAlign w:val="superscript"/>
              </w:rPr>
              <w:t>3</w:t>
            </w:r>
            <w:r>
              <w:rPr>
                <w:rFonts w:hint="eastAsia"/>
              </w:rPr>
              <w:t>/h，混床再生排水量为1m</w:t>
            </w:r>
            <w:r>
              <w:rPr>
                <w:rFonts w:hint="eastAsia"/>
                <w:vertAlign w:val="superscript"/>
              </w:rPr>
              <w:t>3</w:t>
            </w:r>
            <w:r>
              <w:rPr>
                <w:rFonts w:hint="eastAsia"/>
              </w:rPr>
              <w:t>/h，混床再生产生的酸、碱废水经地沟排至机组排水槽内，并加入少量酸、碱进行调节后与其他生产废水排入</w:t>
            </w:r>
            <w:r>
              <w:rPr>
                <w:rFonts w:hint="eastAsia" w:eastAsiaTheme="minorEastAsia"/>
                <w:kern w:val="0"/>
              </w:rPr>
              <w:t>迁安市九江线材有限责任公司</w:t>
            </w:r>
            <w:r>
              <w:rPr>
                <w:rFonts w:hint="eastAsia" w:ascii="宋体" w:hAnsi="宋体" w:cs="宋体"/>
                <w:color w:val="000000"/>
                <w:kern w:val="0"/>
                <w:lang w:bidi="ar"/>
              </w:rPr>
              <w:t>厂区综合污水处理站</w:t>
            </w:r>
            <w:r>
              <w:rPr>
                <w:rFonts w:hint="eastAsia" w:cs="宋体"/>
                <w:kern w:val="0"/>
              </w:rPr>
              <w:t>，处理后回用于生产。</w:t>
            </w:r>
          </w:p>
          <w:p>
            <w:pPr>
              <w:widowControl/>
              <w:autoSpaceDE w:val="0"/>
              <w:autoSpaceDN w:val="0"/>
              <w:adjustRightInd w:val="0"/>
              <w:snapToGrid w:val="0"/>
              <w:ind w:firstLine="480"/>
              <w:rPr>
                <w:rFonts w:hint="eastAsia"/>
                <w:b/>
                <w:bCs/>
                <w:sz w:val="24"/>
                <w:szCs w:val="24"/>
              </w:rPr>
            </w:pPr>
            <w:r>
              <w:rPr>
                <w:rFonts w:hint="eastAsia"/>
              </w:rPr>
              <w:t>水平衡表见表17（夏季）、表18，水平衡图见图5、6。</w:t>
            </w:r>
          </w:p>
          <w:p>
            <w:pPr>
              <w:pStyle w:val="2"/>
              <w:ind w:firstLine="0" w:firstLineChars="0"/>
              <w:jc w:val="center"/>
              <w:rPr>
                <w:b/>
                <w:bCs/>
                <w:sz w:val="24"/>
                <w:szCs w:val="24"/>
              </w:rPr>
            </w:pPr>
            <w:r>
              <w:rPr>
                <w:rFonts w:hint="eastAsia"/>
                <w:b/>
                <w:bCs/>
                <w:sz w:val="24"/>
                <w:szCs w:val="24"/>
              </w:rPr>
              <w:t>表17    水平衡表(夏季)             m</w:t>
            </w:r>
            <w:r>
              <w:rPr>
                <w:rFonts w:hint="eastAsia"/>
                <w:b/>
                <w:bCs/>
                <w:sz w:val="24"/>
                <w:szCs w:val="24"/>
                <w:vertAlign w:val="superscript"/>
              </w:rPr>
              <w:t>3</w:t>
            </w:r>
            <w:r>
              <w:rPr>
                <w:rFonts w:hint="eastAsia"/>
                <w:b/>
                <w:bCs/>
                <w:sz w:val="24"/>
                <w:szCs w:val="24"/>
              </w:rPr>
              <w:t>/h</w:t>
            </w:r>
          </w:p>
          <w:tbl>
            <w:tblPr>
              <w:tblStyle w:val="79"/>
              <w:tblW w:w="8290" w:type="dxa"/>
              <w:tblInd w:w="0" w:type="dxa"/>
              <w:tblLayout w:type="autofit"/>
              <w:tblCellMar>
                <w:top w:w="0" w:type="dxa"/>
                <w:left w:w="108" w:type="dxa"/>
                <w:bottom w:w="0" w:type="dxa"/>
                <w:right w:w="108" w:type="dxa"/>
              </w:tblCellMar>
            </w:tblPr>
            <w:tblGrid>
              <w:gridCol w:w="1235"/>
              <w:gridCol w:w="886"/>
              <w:gridCol w:w="810"/>
              <w:gridCol w:w="846"/>
              <w:gridCol w:w="796"/>
              <w:gridCol w:w="627"/>
              <w:gridCol w:w="649"/>
              <w:gridCol w:w="799"/>
              <w:gridCol w:w="887"/>
              <w:gridCol w:w="857"/>
            </w:tblGrid>
            <w:tr>
              <w:tblPrEx>
                <w:tblCellMar>
                  <w:top w:w="0" w:type="dxa"/>
                  <w:left w:w="108" w:type="dxa"/>
                  <w:bottom w:w="0" w:type="dxa"/>
                  <w:right w:w="108" w:type="dxa"/>
                </w:tblCellMar>
              </w:tblPrEx>
              <w:trPr>
                <w:trHeight w:val="283" w:hRule="atLeast"/>
              </w:trPr>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用水单元</w:t>
                  </w: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总用水量</w:t>
                  </w:r>
                </w:p>
              </w:tc>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循环使用量</w:t>
                  </w:r>
                </w:p>
              </w:tc>
              <w:tc>
                <w:tcPr>
                  <w:tcW w:w="226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进水</w:t>
                  </w:r>
                </w:p>
              </w:tc>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损耗量</w:t>
                  </w:r>
                </w:p>
              </w:tc>
              <w:tc>
                <w:tcPr>
                  <w:tcW w:w="25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出水</w:t>
                  </w:r>
                </w:p>
              </w:tc>
            </w:tr>
            <w:tr>
              <w:tblPrEx>
                <w:tblCellMar>
                  <w:top w:w="0" w:type="dxa"/>
                  <w:left w:w="108" w:type="dxa"/>
                  <w:bottom w:w="0" w:type="dxa"/>
                  <w:right w:w="108" w:type="dxa"/>
                </w:tblCellMar>
              </w:tblPrEx>
              <w:trPr>
                <w:trHeight w:val="283" w:hRule="atLeast"/>
              </w:trPr>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rPr>
                      <w:color w:val="000000"/>
                      <w:sz w:val="18"/>
                      <w:szCs w:val="18"/>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rPr>
                      <w:color w:val="000000"/>
                      <w:sz w:val="18"/>
                      <w:szCs w:val="18"/>
                    </w:rPr>
                  </w:pPr>
                </w:p>
              </w:tc>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rPr>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新鲜用水量</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串级</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脱盐水</w:t>
                  </w:r>
                </w:p>
              </w:tc>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rPr>
                      <w:color w:val="000000"/>
                      <w:sz w:val="18"/>
                      <w:szCs w:val="18"/>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脱盐水</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串级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废水产生量</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发电机空冷器+汽轮机冷油器</w:t>
                  </w:r>
                  <w:r>
                    <w:rPr>
                      <w:rFonts w:hint="eastAsia"/>
                      <w:color w:val="000000"/>
                      <w:kern w:val="0"/>
                      <w:sz w:val="18"/>
                      <w:szCs w:val="18"/>
                      <w:lang w:bidi="ar"/>
                    </w:rPr>
                    <w:t>(</w:t>
                  </w:r>
                  <w:r>
                    <w:rPr>
                      <w:color w:val="000000"/>
                      <w:kern w:val="0"/>
                      <w:sz w:val="18"/>
                      <w:szCs w:val="18"/>
                      <w:lang w:bidi="ar"/>
                    </w:rPr>
                    <w:t>新水</w:t>
                  </w:r>
                  <w:r>
                    <w:rPr>
                      <w:rFonts w:hint="eastAsia"/>
                      <w:color w:val="000000"/>
                      <w:kern w:val="0"/>
                      <w:sz w:val="18"/>
                      <w:szCs w:val="18"/>
                      <w:lang w:bidi="ar"/>
                    </w:rPr>
                    <w:t>)</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2.7</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2.7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2.7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发电机空冷器</w:t>
                  </w:r>
                  <w:r>
                    <w:rPr>
                      <w:rFonts w:hint="eastAsia"/>
                      <w:color w:val="000000"/>
                      <w:kern w:val="0"/>
                      <w:sz w:val="18"/>
                      <w:szCs w:val="18"/>
                      <w:lang w:bidi="ar"/>
                    </w:rPr>
                    <w:t>(</w:t>
                  </w:r>
                  <w:r>
                    <w:rPr>
                      <w:color w:val="000000"/>
                      <w:kern w:val="0"/>
                      <w:sz w:val="18"/>
                      <w:szCs w:val="18"/>
                      <w:lang w:bidi="ar"/>
                    </w:rPr>
                    <w:t>循环水</w:t>
                  </w:r>
                  <w:r>
                    <w:rPr>
                      <w:rFonts w:hint="eastAsia"/>
                      <w:color w:val="000000"/>
                      <w:kern w:val="0"/>
                      <w:sz w:val="18"/>
                      <w:szCs w:val="18"/>
                      <w:lang w:bidi="ar"/>
                    </w:rPr>
                    <w:t>)</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500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500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500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汽轮机冷油器</w:t>
                  </w:r>
                  <w:r>
                    <w:rPr>
                      <w:rFonts w:hint="eastAsia"/>
                      <w:color w:val="000000"/>
                      <w:kern w:val="0"/>
                      <w:sz w:val="18"/>
                      <w:szCs w:val="18"/>
                      <w:lang w:bidi="ar"/>
                    </w:rPr>
                    <w:t>(</w:t>
                  </w:r>
                  <w:r>
                    <w:rPr>
                      <w:color w:val="000000"/>
                      <w:kern w:val="0"/>
                      <w:sz w:val="18"/>
                      <w:szCs w:val="18"/>
                      <w:lang w:bidi="ar"/>
                    </w:rPr>
                    <w:t>循环水</w:t>
                  </w:r>
                  <w:r>
                    <w:rPr>
                      <w:rFonts w:hint="eastAsia"/>
                      <w:color w:val="000000"/>
                      <w:kern w:val="0"/>
                      <w:sz w:val="18"/>
                      <w:szCs w:val="18"/>
                      <w:lang w:bidi="ar"/>
                    </w:rPr>
                    <w:t>)</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400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400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400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汽轮机凝汽器</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18600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18600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18600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除盐水制备</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17.14</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17.14</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12</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5.14</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锅炉+汽轮机</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437</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425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12</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汽机、锅炉辅机工业冷取水</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364</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364</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364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一期发电机组冷却水</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2950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44.7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2905.3</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2950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利旧冷却塔</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10926</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10926</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140.3</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10723.4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62.3</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新建冷却塔</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11500</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11500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153</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11279.2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67.8</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锅炉启动系统用水</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5</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5</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混床再生用水</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w:t>
                  </w:r>
                </w:p>
              </w:tc>
            </w:tr>
            <w:tr>
              <w:tblPrEx>
                <w:tblCellMar>
                  <w:top w:w="0" w:type="dxa"/>
                  <w:left w:w="108" w:type="dxa"/>
                  <w:bottom w:w="0" w:type="dxa"/>
                  <w:right w:w="108" w:type="dxa"/>
                </w:tblCellMar>
              </w:tblPrEx>
              <w:trPr>
                <w:trHeight w:val="283"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sz w:val="18"/>
                      <w:szCs w:val="18"/>
                    </w:rPr>
                  </w:pPr>
                  <w:r>
                    <w:rPr>
                      <w:color w:val="000000"/>
                      <w:kern w:val="0"/>
                      <w:sz w:val="18"/>
                      <w:szCs w:val="18"/>
                      <w:lang w:bidi="ar"/>
                    </w:rPr>
                    <w:t>合计</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45702.84</w:t>
                  </w:r>
                </w:p>
              </w:tc>
              <w:tc>
                <w:tcPr>
                  <w:tcW w:w="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425</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434.54</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44831.3</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12</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293.3</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12</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44831.3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141.24</w:t>
                  </w:r>
                </w:p>
              </w:tc>
            </w:tr>
          </w:tbl>
          <w:p>
            <w:pPr>
              <w:pStyle w:val="2"/>
              <w:spacing w:line="240" w:lineRule="auto"/>
              <w:ind w:firstLine="0" w:firstLineChars="0"/>
              <w:jc w:val="center"/>
              <w:rPr>
                <w:b/>
                <w:bCs/>
                <w:sz w:val="24"/>
                <w:szCs w:val="24"/>
              </w:rPr>
            </w:pPr>
            <w:r>
              <w:rPr>
                <w:rFonts w:hint="eastAsia"/>
                <w:b/>
                <w:bCs/>
                <w:sz w:val="24"/>
                <w:szCs w:val="24"/>
              </w:rPr>
              <w:object>
                <v:shape id="_x0000_i1026" o:spt="75" type="#_x0000_t75" style="height:265.5pt;width:419.25pt;" o:ole="t" filled="f" o:preferrelative="t" stroked="f" coordsize="21600,21600">
                  <v:path/>
                  <v:fill on="f" focussize="0,0"/>
                  <v:stroke on="f" joinstyle="miter"/>
                  <v:imagedata r:id="rId16" o:title=""/>
                  <o:lock v:ext="edit" aspectratio="f"/>
                  <w10:wrap type="none"/>
                  <w10:anchorlock/>
                </v:shape>
                <o:OLEObject Type="Embed" ProgID="Visio.Drawing.11" ShapeID="_x0000_i1026" DrawAspect="Content" ObjectID="_1468075726" r:id="rId15">
                  <o:LockedField>false</o:LockedField>
                </o:OLEObject>
              </w:object>
            </w:r>
            <w:r>
              <w:rPr>
                <w:rFonts w:hint="eastAsia"/>
                <w:b/>
                <w:bCs/>
                <w:sz w:val="24"/>
                <w:szCs w:val="24"/>
              </w:rPr>
              <w:t>图5    水平衡图(夏季)</w:t>
            </w:r>
          </w:p>
          <w:p>
            <w:pPr>
              <w:pStyle w:val="2"/>
              <w:ind w:firstLine="0" w:firstLineChars="0"/>
              <w:jc w:val="center"/>
              <w:rPr>
                <w:b/>
                <w:bCs/>
                <w:sz w:val="24"/>
                <w:szCs w:val="24"/>
              </w:rPr>
            </w:pPr>
            <w:r>
              <w:rPr>
                <w:rFonts w:hint="eastAsia"/>
                <w:b/>
                <w:bCs/>
                <w:sz w:val="24"/>
                <w:szCs w:val="24"/>
              </w:rPr>
              <w:t>表18    水平衡表(其他季节)             m</w:t>
            </w:r>
            <w:r>
              <w:rPr>
                <w:rFonts w:hint="eastAsia"/>
                <w:b/>
                <w:bCs/>
                <w:sz w:val="24"/>
                <w:szCs w:val="24"/>
                <w:vertAlign w:val="superscript"/>
              </w:rPr>
              <w:t>3</w:t>
            </w:r>
            <w:r>
              <w:rPr>
                <w:rFonts w:hint="eastAsia"/>
                <w:b/>
                <w:bCs/>
                <w:sz w:val="24"/>
                <w:szCs w:val="24"/>
              </w:rPr>
              <w:t>/h</w:t>
            </w:r>
          </w:p>
          <w:tbl>
            <w:tblPr>
              <w:tblStyle w:val="79"/>
              <w:tblW w:w="8383" w:type="dxa"/>
              <w:tblInd w:w="0" w:type="dxa"/>
              <w:tblLayout w:type="autofit"/>
              <w:tblCellMar>
                <w:top w:w="0" w:type="dxa"/>
                <w:left w:w="108" w:type="dxa"/>
                <w:bottom w:w="0" w:type="dxa"/>
                <w:right w:w="108" w:type="dxa"/>
              </w:tblCellMar>
            </w:tblPr>
            <w:tblGrid>
              <w:gridCol w:w="1893"/>
              <w:gridCol w:w="904"/>
              <w:gridCol w:w="750"/>
              <w:gridCol w:w="729"/>
              <w:gridCol w:w="767"/>
              <w:gridCol w:w="597"/>
              <w:gridCol w:w="598"/>
              <w:gridCol w:w="574"/>
              <w:gridCol w:w="767"/>
              <w:gridCol w:w="813"/>
            </w:tblGrid>
            <w:tr>
              <w:tblPrEx>
                <w:tblCellMar>
                  <w:top w:w="0" w:type="dxa"/>
                  <w:left w:w="108" w:type="dxa"/>
                  <w:bottom w:w="0" w:type="dxa"/>
                  <w:right w:w="108" w:type="dxa"/>
                </w:tblCellMar>
              </w:tblPrEx>
              <w:trPr>
                <w:trHeight w:val="283" w:hRule="atLeast"/>
              </w:trPr>
              <w:tc>
                <w:tcPr>
                  <w:tcW w:w="19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用水单元</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总用水量</w:t>
                  </w:r>
                </w:p>
              </w:tc>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循环使用量</w:t>
                  </w:r>
                </w:p>
              </w:tc>
              <w:tc>
                <w:tcPr>
                  <w:tcW w:w="20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进水</w:t>
                  </w:r>
                </w:p>
              </w:tc>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损耗量</w:t>
                  </w:r>
                </w:p>
              </w:tc>
              <w:tc>
                <w:tcPr>
                  <w:tcW w:w="20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出水</w:t>
                  </w:r>
                </w:p>
              </w:tc>
            </w:tr>
            <w:tr>
              <w:tblPrEx>
                <w:tblCellMar>
                  <w:top w:w="0" w:type="dxa"/>
                  <w:left w:w="108" w:type="dxa"/>
                  <w:bottom w:w="0" w:type="dxa"/>
                  <w:right w:w="108" w:type="dxa"/>
                </w:tblCellMar>
              </w:tblPrEx>
              <w:trPr>
                <w:trHeight w:val="283" w:hRule="atLeast"/>
              </w:trPr>
              <w:tc>
                <w:tcPr>
                  <w:tcW w:w="1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新鲜用水量</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串级</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脱盐水</w:t>
                  </w: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脱盐水</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串级</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废水产生量</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发电机空冷器</w:t>
                  </w:r>
                  <w:r>
                    <w:rPr>
                      <w:rFonts w:hint="eastAsia"/>
                      <w:color w:val="000000"/>
                      <w:kern w:val="0"/>
                      <w:sz w:val="18"/>
                      <w:szCs w:val="18"/>
                      <w:lang w:bidi="ar"/>
                    </w:rPr>
                    <w:t>(</w:t>
                  </w:r>
                  <w:r>
                    <w:rPr>
                      <w:color w:val="000000"/>
                      <w:kern w:val="0"/>
                      <w:sz w:val="18"/>
                      <w:szCs w:val="18"/>
                      <w:lang w:bidi="ar"/>
                    </w:rPr>
                    <w:t>循环水</w:t>
                  </w:r>
                  <w:r>
                    <w:rPr>
                      <w:rFonts w:hint="eastAsia"/>
                      <w:color w:val="000000"/>
                      <w:kern w:val="0"/>
                      <w:sz w:val="18"/>
                      <w:szCs w:val="18"/>
                      <w:lang w:bidi="ar"/>
                    </w:rPr>
                    <w:t>)</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500</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500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500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汽轮机冷油器</w:t>
                  </w:r>
                  <w:r>
                    <w:rPr>
                      <w:rFonts w:hint="eastAsia"/>
                      <w:color w:val="000000"/>
                      <w:kern w:val="0"/>
                      <w:sz w:val="18"/>
                      <w:szCs w:val="18"/>
                      <w:lang w:bidi="ar"/>
                    </w:rPr>
                    <w:t>(</w:t>
                  </w:r>
                  <w:r>
                    <w:rPr>
                      <w:color w:val="000000"/>
                      <w:kern w:val="0"/>
                      <w:sz w:val="18"/>
                      <w:szCs w:val="18"/>
                      <w:lang w:bidi="ar"/>
                    </w:rPr>
                    <w:t>循环水</w:t>
                  </w:r>
                  <w:r>
                    <w:rPr>
                      <w:rFonts w:hint="eastAsia"/>
                      <w:color w:val="000000"/>
                      <w:kern w:val="0"/>
                      <w:sz w:val="18"/>
                      <w:szCs w:val="18"/>
                      <w:lang w:bidi="ar"/>
                    </w:rPr>
                    <w:t>)</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400</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400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400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汽轮机凝汽器</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18600</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18600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18600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除盐水制备</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17.14</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17.14</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12</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5.14</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锅炉+汽轮机</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437</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425</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汽机、锅炉辅机工业冷取水</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364</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364</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364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一期发电机组冷却水</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2330</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32.8</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2297.2</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2330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利旧冷却塔</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10306</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10306</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132.1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10115.3</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58.6</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新建冷却塔</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11500</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11500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150.3</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11281.9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67.8</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锅炉启动系统用水</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5</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5</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混床再生用水</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w:t>
                  </w:r>
                </w:p>
              </w:tc>
            </w:tr>
            <w:tr>
              <w:tblPrEx>
                <w:tblCellMar>
                  <w:top w:w="0" w:type="dxa"/>
                  <w:left w:w="108" w:type="dxa"/>
                  <w:bottom w:w="0" w:type="dxa"/>
                  <w:right w:w="108" w:type="dxa"/>
                </w:tblCellMar>
              </w:tblPrEx>
              <w:trPr>
                <w:trHeight w:val="283" w:hRule="atLeast"/>
              </w:trPr>
              <w:tc>
                <w:tcPr>
                  <w:tcW w:w="1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color w:val="000000"/>
                      <w:kern w:val="0"/>
                      <w:sz w:val="18"/>
                      <w:szCs w:val="18"/>
                      <w:lang w:bidi="ar"/>
                    </w:rPr>
                    <w:t>合计</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44460.14</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425</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419.94</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43603.2</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282.4</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12</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43603.2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40" w:lineRule="exact"/>
                    <w:ind w:firstLine="0" w:firstLineChars="0"/>
                    <w:jc w:val="center"/>
                    <w:textAlignment w:val="center"/>
                    <w:rPr>
                      <w:color w:val="000000"/>
                      <w:kern w:val="0"/>
                      <w:sz w:val="18"/>
                      <w:szCs w:val="18"/>
                      <w:lang w:bidi="ar"/>
                    </w:rPr>
                  </w:pPr>
                  <w:r>
                    <w:rPr>
                      <w:rFonts w:hint="eastAsia"/>
                      <w:color w:val="000000"/>
                      <w:kern w:val="0"/>
                      <w:sz w:val="18"/>
                      <w:szCs w:val="18"/>
                      <w:lang w:bidi="ar"/>
                    </w:rPr>
                    <w:t>137.54</w:t>
                  </w:r>
                </w:p>
              </w:tc>
            </w:tr>
          </w:tbl>
          <w:p>
            <w:pPr>
              <w:pStyle w:val="3"/>
              <w:spacing w:line="240" w:lineRule="auto"/>
              <w:ind w:firstLine="0" w:firstLineChars="0"/>
              <w:jc w:val="center"/>
              <w:rPr>
                <w:sz w:val="24"/>
                <w:szCs w:val="24"/>
              </w:rPr>
            </w:pPr>
            <w:r>
              <w:rPr>
                <w:rFonts w:hint="eastAsia" w:ascii="Times New Roman" w:hAnsi="Times New Roman" w:eastAsia="宋体"/>
                <w:sz w:val="24"/>
                <w:szCs w:val="24"/>
                <w:lang w:bidi="ar"/>
              </w:rPr>
              <w:object>
                <v:shape id="_x0000_i1027" o:spt="75" type="#_x0000_t75" style="height:234pt;width:419.25pt;" o:ole="t" filled="f" o:preferrelative="t" stroked="f" coordsize="21600,21600">
                  <v:path/>
                  <v:fill on="f" focussize="0,0"/>
                  <v:stroke on="f" joinstyle="miter"/>
                  <v:imagedata r:id="rId18" o:title=""/>
                  <o:lock v:ext="edit" aspectratio="f"/>
                  <w10:wrap type="none"/>
                  <w10:anchorlock/>
                </v:shape>
                <o:OLEObject Type="Embed" ProgID="Visio.Drawing.11" ShapeID="_x0000_i1027" DrawAspect="Content" ObjectID="_1468075727" r:id="rId17">
                  <o:LockedField>false</o:LockedField>
                </o:OLEObject>
              </w:object>
            </w:r>
            <w:r>
              <w:rPr>
                <w:rFonts w:hint="eastAsia" w:ascii="Times New Roman" w:hAnsi="Times New Roman" w:eastAsia="宋体"/>
                <w:sz w:val="24"/>
                <w:szCs w:val="24"/>
                <w:lang w:bidi="ar"/>
              </w:rPr>
              <w:t>图6  水平衡图(其他季节)</w:t>
            </w:r>
          </w:p>
          <w:p>
            <w:pPr>
              <w:widowControl/>
              <w:autoSpaceDE w:val="0"/>
              <w:autoSpaceDN w:val="0"/>
              <w:adjustRightInd w:val="0"/>
              <w:snapToGrid w:val="0"/>
              <w:ind w:firstLine="480"/>
            </w:pPr>
            <w:r>
              <w:rPr>
                <w:rFonts w:hint="eastAsia"/>
              </w:rPr>
              <w:t>8、</w:t>
            </w:r>
            <w:r>
              <w:t>劳动定员及工作制度</w:t>
            </w:r>
          </w:p>
          <w:p>
            <w:pPr>
              <w:adjustRightInd w:val="0"/>
              <w:snapToGrid w:val="0"/>
              <w:ind w:firstLine="480"/>
            </w:pPr>
            <w:r>
              <w:rPr>
                <w:rFonts w:hint="eastAsia"/>
                <w:color w:val="000000"/>
              </w:rPr>
              <w:t>项目</w:t>
            </w:r>
            <w:r>
              <w:rPr>
                <w:color w:val="000000"/>
              </w:rPr>
              <w:t>劳动定员</w:t>
            </w:r>
            <w:r>
              <w:rPr>
                <w:rFonts w:hint="eastAsia"/>
                <w:color w:val="000000"/>
              </w:rPr>
              <w:t>由迁安市九江线材有限责任公司内部调剂</w:t>
            </w:r>
            <w:r>
              <w:rPr>
                <w:color w:val="000000"/>
              </w:rPr>
              <w:t>，</w:t>
            </w:r>
            <w:r>
              <w:rPr>
                <w:rFonts w:hint="eastAsia"/>
                <w:bCs/>
                <w:spacing w:val="-2"/>
              </w:rPr>
              <w:t>采用四班三运转工作制，每班工作8小时</w:t>
            </w:r>
            <w:r>
              <w:rPr>
                <w:color w:val="000000"/>
              </w:rPr>
              <w:t>，年工作</w:t>
            </w:r>
            <w:r>
              <w:rPr>
                <w:rFonts w:hint="eastAsia"/>
                <w:color w:val="000000"/>
              </w:rPr>
              <w:t>时间为8000</w:t>
            </w:r>
            <w:r>
              <w:rPr>
                <w:color w:val="000000"/>
              </w:rPr>
              <w:t>h</w:t>
            </w:r>
            <w:r>
              <w:rPr>
                <w:bCs/>
              </w:rPr>
              <w:t>。</w:t>
            </w:r>
          </w:p>
          <w:p>
            <w:pPr>
              <w:widowControl/>
              <w:autoSpaceDE w:val="0"/>
              <w:autoSpaceDN w:val="0"/>
              <w:adjustRightInd w:val="0"/>
              <w:snapToGrid w:val="0"/>
              <w:ind w:firstLine="480"/>
            </w:pPr>
            <w:r>
              <w:rPr>
                <w:rFonts w:hint="eastAsia"/>
              </w:rPr>
              <w:t>9、厂区周边关系及</w:t>
            </w:r>
            <w:r>
              <w:t>平面布置</w:t>
            </w:r>
          </w:p>
          <w:p>
            <w:pPr>
              <w:adjustRightInd w:val="0"/>
              <w:snapToGrid w:val="0"/>
              <w:ind w:firstLine="480"/>
              <w:rPr>
                <w:color w:val="000000"/>
              </w:rPr>
            </w:pPr>
            <w:r>
              <w:rPr>
                <w:rFonts w:hint="eastAsia"/>
                <w:color w:val="000000"/>
              </w:rPr>
              <w:t>迁安市九江线材有限责任公司位于迁安市木厂口镇松汀村南，中心位置地理坐标：北纬：</w:t>
            </w:r>
            <w:r>
              <w:rPr>
                <w:color w:val="000000"/>
              </w:rPr>
              <w:t>39°57′37″</w:t>
            </w:r>
            <w:r>
              <w:rPr>
                <w:rFonts w:hint="eastAsia"/>
                <w:color w:val="000000"/>
              </w:rPr>
              <w:t>，东经：</w:t>
            </w:r>
            <w:r>
              <w:rPr>
                <w:color w:val="000000"/>
              </w:rPr>
              <w:t>118°33′42″</w:t>
            </w:r>
            <w:r>
              <w:rPr>
                <w:rFonts w:hint="eastAsia"/>
                <w:color w:val="000000"/>
              </w:rPr>
              <w:t>。厂区南与万太公路连接线相邻，东南与松汀钢铁有限公司隔路相望，东北侧与迁安中化煤化工有限责任公司相邻，西南为首钢杏山铁矿，九江线材东厂界临卑水铁路。</w:t>
            </w:r>
          </w:p>
          <w:p>
            <w:pPr>
              <w:adjustRightInd w:val="0"/>
              <w:snapToGrid w:val="0"/>
              <w:ind w:firstLine="480"/>
              <w:rPr>
                <w:color w:val="000000"/>
              </w:rPr>
            </w:pPr>
            <w:r>
              <w:rPr>
                <w:color w:val="000000"/>
              </w:rPr>
              <w:t>项目</w:t>
            </w:r>
            <w:r>
              <w:rPr>
                <w:rFonts w:hint="eastAsia"/>
                <w:color w:val="000000"/>
              </w:rPr>
              <w:t>位于现有厂区动力厂内，北侧为整合重组减量置换项目新建烧结机，西侧和南侧为线材车间，东南为公司办公楼。距离本项目最近的环境敏感点为位于本项目北侧840m处的松汀村</w:t>
            </w:r>
            <w:r>
              <w:rPr>
                <w:color w:val="000000"/>
              </w:rPr>
              <w:t>。厂区周边关系见附图</w:t>
            </w:r>
            <w:r>
              <w:rPr>
                <w:rFonts w:hint="eastAsia"/>
                <w:color w:val="000000"/>
              </w:rPr>
              <w:t>3</w:t>
            </w:r>
            <w:r>
              <w:rPr>
                <w:color w:val="000000"/>
              </w:rPr>
              <w:t>。</w:t>
            </w:r>
          </w:p>
          <w:p>
            <w:pPr>
              <w:widowControl/>
              <w:autoSpaceDE w:val="0"/>
              <w:autoSpaceDN w:val="0"/>
              <w:adjustRightInd w:val="0"/>
              <w:snapToGrid w:val="0"/>
              <w:ind w:firstLine="480"/>
              <w:rPr>
                <w:color w:val="0000FF"/>
                <w:sz w:val="32"/>
                <w:szCs w:val="32"/>
              </w:rPr>
            </w:pPr>
            <w:r>
              <w:t>项目是在满足生产工艺流程的前提下，考虑运输、安全等要求，按各种设施不同功能进行分区和组合。</w:t>
            </w:r>
            <w:r>
              <w:rPr>
                <w:rFonts w:hint="eastAsia"/>
              </w:rPr>
              <w:t>项目</w:t>
            </w:r>
            <w:r>
              <w:t>由北向南布置汽机跨及除氧跨</w:t>
            </w:r>
            <w:r>
              <w:rPr>
                <w:rFonts w:hint="eastAsia"/>
              </w:rPr>
              <w:t>，在锅炉及炉后设施拆除后的场地上，由西向东新建锅炉跨、煤加、脱硫反应器、除尘器及引风机及烟囱等，在汽机跨的东北侧为2000m</w:t>
            </w:r>
            <w:r>
              <w:rPr>
                <w:rFonts w:hint="eastAsia"/>
                <w:vertAlign w:val="superscript"/>
              </w:rPr>
              <w:t>2</w:t>
            </w:r>
            <w:r>
              <w:rPr>
                <w:rFonts w:hint="eastAsia"/>
              </w:rPr>
              <w:t>双曲线自然通风冷却塔。</w:t>
            </w:r>
            <w:r>
              <w:t>具体布置情况见厂区平面布置图</w:t>
            </w:r>
            <w:r>
              <w:rPr>
                <w:rFonts w:hint="eastAsia"/>
              </w:rPr>
              <w:t>(</w:t>
            </w:r>
            <w:r>
              <w:t>附图2</w:t>
            </w:r>
            <w:r>
              <w:rPr>
                <w:rFonts w:hint="eastAsia"/>
              </w:rPr>
              <w:t>)</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shd w:val="clear" w:color="auto" w:fill="auto"/>
            <w:vAlign w:val="center"/>
          </w:tcPr>
          <w:p>
            <w:pPr>
              <w:pStyle w:val="72"/>
              <w:adjustRightInd w:val="0"/>
              <w:snapToGrid w:val="0"/>
              <w:spacing w:before="0" w:beforeAutospacing="0" w:after="0" w:afterAutospacing="0" w:line="240" w:lineRule="auto"/>
              <w:ind w:firstLine="0" w:firstLineChars="0"/>
              <w:jc w:val="center"/>
              <w:rPr>
                <w:rFonts w:ascii="Times New Roman" w:hAnsi="Times New Roman"/>
                <w:szCs w:val="24"/>
              </w:rPr>
            </w:pPr>
            <w:r>
              <w:rPr>
                <w:rFonts w:ascii="Times New Roman" w:hAnsi="Times New Roman"/>
                <w:spacing w:val="-8"/>
                <w:kern w:val="2"/>
                <w:szCs w:val="24"/>
              </w:rPr>
              <w:t>工艺流程和产排污环</w:t>
            </w:r>
            <w:r>
              <w:rPr>
                <w:rFonts w:ascii="Times New Roman" w:hAnsi="Times New Roman"/>
                <w:szCs w:val="24"/>
              </w:rPr>
              <w:t>节</w:t>
            </w:r>
          </w:p>
        </w:tc>
        <w:tc>
          <w:tcPr>
            <w:tcW w:w="4748" w:type="pct"/>
            <w:shd w:val="clear" w:color="auto" w:fill="auto"/>
          </w:tcPr>
          <w:p>
            <w:pPr>
              <w:adjustRightInd w:val="0"/>
              <w:snapToGrid w:val="0"/>
              <w:ind w:firstLine="482"/>
              <w:rPr>
                <w:b/>
                <w:bCs/>
              </w:rPr>
            </w:pPr>
            <w:r>
              <w:rPr>
                <w:b/>
                <w:bCs/>
              </w:rPr>
              <w:t>1.工艺流程简述</w:t>
            </w:r>
          </w:p>
          <w:p>
            <w:pPr>
              <w:adjustRightInd w:val="0"/>
              <w:snapToGrid w:val="0"/>
              <w:ind w:firstLine="482"/>
              <w:rPr>
                <w:b/>
                <w:bCs/>
              </w:rPr>
            </w:pPr>
            <w:r>
              <w:rPr>
                <w:b/>
                <w:bCs/>
              </w:rPr>
              <w:t>1.1施工期</w:t>
            </w:r>
          </w:p>
          <w:p>
            <w:pPr>
              <w:pStyle w:val="51"/>
              <w:ind w:firstLine="480"/>
              <w:jc w:val="both"/>
              <w:rPr>
                <w:sz w:val="24"/>
                <w:szCs w:val="24"/>
              </w:rPr>
            </w:pPr>
            <w:r>
              <w:rPr>
                <w:sz w:val="24"/>
                <w:szCs w:val="24"/>
              </w:rPr>
              <w:t>本项目的施工主要包括</w:t>
            </w:r>
            <w:r>
              <w:rPr>
                <w:rFonts w:hint="eastAsia"/>
                <w:sz w:val="24"/>
                <w:szCs w:val="24"/>
                <w:lang w:val="en-US" w:eastAsia="zh-CN"/>
              </w:rPr>
              <w:t>拆除现有50MW发电系统、</w:t>
            </w:r>
            <w:r>
              <w:rPr>
                <w:sz w:val="24"/>
                <w:szCs w:val="24"/>
              </w:rPr>
              <w:t>平整施工场地、基础建设、建筑施工三部分。对环境的影响主要表现为：施工过程产生的扬尘、施工废水、施工噪声、建筑垃圾及施工人员的生活排污等。施工工艺流程及排污节点见图</w:t>
            </w:r>
            <w:r>
              <w:rPr>
                <w:rFonts w:hint="eastAsia"/>
                <w:sz w:val="24"/>
                <w:szCs w:val="24"/>
              </w:rPr>
              <w:t>7</w:t>
            </w:r>
            <w:r>
              <w:rPr>
                <w:sz w:val="24"/>
                <w:szCs w:val="24"/>
              </w:rPr>
              <w:t>。</w:t>
            </w:r>
          </w:p>
          <w:p>
            <w:pPr>
              <w:ind w:firstLine="420"/>
              <w:rPr>
                <w:sz w:val="21"/>
                <w:szCs w:val="21"/>
              </w:rPr>
            </w:pPr>
            <w:r>
              <w:rPr>
                <w:rFonts w:hint="eastAsia"/>
                <w:sz w:val="21"/>
                <w:szCs w:val="21"/>
              </w:rPr>
              <w:drawing>
                <wp:inline distT="0" distB="0" distL="114300" distR="114300">
                  <wp:extent cx="4962525" cy="1411605"/>
                  <wp:effectExtent l="0" t="0" r="0" b="0"/>
                  <wp:docPr id="1"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图片1"/>
                          <pic:cNvPicPr>
                            <a:picLocks noChangeAspect="1"/>
                          </pic:cNvPicPr>
                        </pic:nvPicPr>
                        <pic:blipFill>
                          <a:blip r:embed="rId19"/>
                          <a:srcRect l="4845" t="4073" r="1292" b="21153"/>
                          <a:stretch>
                            <a:fillRect/>
                          </a:stretch>
                        </pic:blipFill>
                        <pic:spPr>
                          <a:xfrm>
                            <a:off x="0" y="0"/>
                            <a:ext cx="4962525" cy="1411605"/>
                          </a:xfrm>
                          <a:prstGeom prst="rect">
                            <a:avLst/>
                          </a:prstGeom>
                          <a:noFill/>
                          <a:ln>
                            <a:noFill/>
                          </a:ln>
                        </pic:spPr>
                      </pic:pic>
                    </a:graphicData>
                  </a:graphic>
                </wp:inline>
              </w:drawing>
            </w:r>
          </w:p>
          <w:p>
            <w:pPr>
              <w:pStyle w:val="2"/>
              <w:ind w:firstLine="422"/>
              <w:jc w:val="center"/>
              <w:rPr>
                <w:b/>
                <w:bCs/>
              </w:rPr>
            </w:pPr>
            <w:r>
              <w:rPr>
                <w:rFonts w:hint="eastAsia"/>
                <w:b/>
                <w:bCs/>
              </w:rPr>
              <w:t>图7  施工期工艺流程及排污节点</w:t>
            </w:r>
          </w:p>
          <w:p>
            <w:pPr>
              <w:adjustRightInd w:val="0"/>
              <w:snapToGrid w:val="0"/>
              <w:ind w:firstLine="482"/>
              <w:rPr>
                <w:rFonts w:hint="default" w:ascii="Times New Roman" w:hAnsi="Times New Roman" w:eastAsia="宋体" w:cs="Times New Roman"/>
                <w:bCs/>
                <w:kern w:val="2"/>
                <w:sz w:val="24"/>
                <w:szCs w:val="24"/>
                <w:lang w:val="en-US" w:eastAsia="zh-CN" w:bidi="ar-SA"/>
              </w:rPr>
            </w:pPr>
            <w:r>
              <w:rPr>
                <w:rFonts w:hint="eastAsia"/>
                <w:sz w:val="24"/>
                <w:szCs w:val="24"/>
                <w:lang w:val="en-US" w:eastAsia="zh-CN"/>
              </w:rPr>
              <w:t>项目</w:t>
            </w:r>
            <w:r>
              <w:rPr>
                <w:rFonts w:hint="eastAsia" w:cs="Times New Roman"/>
                <w:bCs/>
                <w:kern w:val="2"/>
                <w:sz w:val="24"/>
                <w:szCs w:val="24"/>
                <w:lang w:val="en-US" w:eastAsia="zh-CN" w:bidi="ar-SA"/>
              </w:rPr>
              <w:t>拆除</w:t>
            </w:r>
            <w:r>
              <w:rPr>
                <w:rFonts w:hint="eastAsia"/>
                <w:sz w:val="24"/>
                <w:szCs w:val="24"/>
                <w:lang w:val="en-US" w:eastAsia="zh-CN"/>
              </w:rPr>
              <w:t>现有50MW发电系统，迁安市九江线材有限公司已编制《迁安市九江线材有限公司4#50MW发电机组拆除活动污染防治工作方案》，并通过了专家评审，已在迁安市生态环境局迁安市分局和迁安市工业和信息化局进行备案，严格按照方案要求认真组织实施，确保拆除物得到合理处置。</w:t>
            </w:r>
          </w:p>
          <w:p>
            <w:pPr>
              <w:adjustRightInd w:val="0"/>
              <w:snapToGrid w:val="0"/>
              <w:ind w:firstLine="482"/>
              <w:rPr>
                <w:b/>
              </w:rPr>
            </w:pPr>
            <w:r>
              <w:rPr>
                <w:b/>
                <w:bCs/>
              </w:rPr>
              <w:t>1.2</w:t>
            </w:r>
            <w:r>
              <w:rPr>
                <w:b/>
              </w:rPr>
              <w:t>运营期</w:t>
            </w:r>
          </w:p>
          <w:p>
            <w:pPr>
              <w:adjustRightInd w:val="0"/>
              <w:snapToGrid w:val="0"/>
              <w:ind w:firstLine="480"/>
              <w:rPr>
                <w:bCs/>
              </w:rPr>
            </w:pPr>
            <w:r>
              <w:rPr>
                <w:rFonts w:hint="eastAsia"/>
                <w:bCs/>
              </w:rPr>
              <w:t>(1)煤气发电工艺流程</w:t>
            </w:r>
          </w:p>
          <w:p>
            <w:pPr>
              <w:widowControl/>
              <w:ind w:firstLine="480"/>
              <w:rPr>
                <w:bCs/>
              </w:rPr>
            </w:pPr>
            <w:r>
              <w:rPr>
                <w:rFonts w:hint="eastAsia"/>
                <w:bCs/>
              </w:rPr>
              <w:t>来自公司公辅煤气管网的高炉煤气和转炉煤气接至本工程锅炉，经调压后由锅炉两侧的燃烧器送至炉膛燃烧。煤气燃烧所需要的空气由送风机供给，送风机先把冷空气送到空气预热器加热后，再通过热风道将空气送入炉膛。锅炉燃烧生产的烟气经过SCR脱硝、脱硫反应器、除尘器后由引风机抽出，经100m高烟囱排放。锅炉内水冷壁吸收煤气燃烧放出的热量，产生饱和蒸汽，饱和蒸汽经过热器进一步吸收热量变为过热蒸汽，由主蒸汽管道进入汽轮机房。来自主蒸汽管道的过热蒸汽进入汽轮机膨胀做功，汽轮机带动发电机将机械能变为电能。汽轮机乏汽进入凝汽器，凝结为凝结水，</w:t>
            </w:r>
            <w:r>
              <w:rPr>
                <w:rFonts w:hint="eastAsia" w:ascii="宋体" w:hAnsi="宋体" w:cs="宋体"/>
                <w:color w:val="000000"/>
                <w:kern w:val="0"/>
                <w:lang w:bidi="ar"/>
              </w:rPr>
              <w:t>由凝汽器热井经总管引出，然后分两路至二台全容量凝结水泵，经出口母管合并后先经过凝结水精处理装置，然后经汽封加热器、低压加热器至除氧器，</w:t>
            </w:r>
            <w:r>
              <w:rPr>
                <w:rFonts w:hint="eastAsia"/>
                <w:bCs/>
              </w:rPr>
              <w:t>经省煤器加热后再进入锅炉循环使用。</w:t>
            </w:r>
          </w:p>
          <w:p>
            <w:pPr>
              <w:adjustRightInd w:val="0"/>
              <w:snapToGrid w:val="0"/>
              <w:ind w:firstLine="480"/>
              <w:rPr>
                <w:bCs/>
              </w:rPr>
            </w:pPr>
            <w:r>
              <w:rPr>
                <w:rFonts w:hint="eastAsia"/>
                <w:bCs/>
              </w:rPr>
              <w:t>(2)除盐水制备系统艺流程</w:t>
            </w:r>
          </w:p>
          <w:p>
            <w:pPr>
              <w:widowControl/>
              <w:ind w:firstLine="480"/>
            </w:pPr>
            <w:r>
              <w:rPr>
                <w:rFonts w:hint="eastAsia"/>
              </w:rPr>
              <w:t>多介质过滤器出水→反渗透提升泵（利旧）→一级反渗透装置(新增一套)→一级反渗透产水箱(利旧)→混床给水泵(利旧)→混合离子交换器(利旧)→EDI给水箱(利旧1台3</w:t>
            </w:r>
            <w:r>
              <w:t>00</w:t>
            </w:r>
            <w:r>
              <w:rPr>
                <w:rFonts w:hint="eastAsia"/>
              </w:rPr>
              <w:t>m³除盐水箱)→EDI给水泵(新增)→EDI装置(新增两套)→除盐水箱(新增一台)→除盐水泵(新增)/锅炉上水泵(新增)→除盐水用户。</w:t>
            </w:r>
          </w:p>
          <w:p>
            <w:pPr>
              <w:adjustRightInd w:val="0"/>
              <w:snapToGrid w:val="0"/>
              <w:ind w:firstLine="480"/>
              <w:rPr>
                <w:rFonts w:hint="eastAsia"/>
                <w:bCs/>
              </w:rPr>
            </w:pPr>
            <w:r>
              <w:rPr>
                <w:rFonts w:hint="eastAsia"/>
                <w:bCs/>
              </w:rPr>
              <w:t>(3)锅炉烟气治理工艺</w:t>
            </w:r>
          </w:p>
          <w:p>
            <w:pPr>
              <w:widowControl/>
              <w:ind w:firstLine="480"/>
              <w:jc w:val="both"/>
              <w:rPr>
                <w:rFonts w:ascii="宋体" w:hAnsi="宋体" w:cs="宋体"/>
                <w:color w:val="000000"/>
                <w:kern w:val="0"/>
                <w:lang w:bidi="ar"/>
              </w:rPr>
            </w:pPr>
            <w:r>
              <w:rPr>
                <w:rFonts w:hint="eastAsia" w:ascii="宋体" w:hAnsi="宋体" w:cs="宋体"/>
                <w:color w:val="000000"/>
                <w:kern w:val="0"/>
                <w:lang w:bidi="ar"/>
              </w:rPr>
              <w:t>项目废气治理系统是有脱硝系统、脱硫系统和除尘系统组成。</w:t>
            </w:r>
          </w:p>
          <w:p>
            <w:pPr>
              <w:widowControl/>
              <w:ind w:firstLine="480"/>
              <w:jc w:val="both"/>
              <w:rPr>
                <w:rFonts w:ascii="宋体" w:hAnsi="宋体" w:cs="宋体"/>
                <w:color w:val="000000"/>
                <w:kern w:val="0"/>
                <w:lang w:bidi="ar"/>
              </w:rPr>
            </w:pPr>
            <w:r>
              <w:rPr>
                <w:rFonts w:hint="eastAsia" w:ascii="宋体" w:hAnsi="宋体" w:cs="宋体"/>
                <w:color w:val="000000"/>
                <w:kern w:val="0"/>
                <w:lang w:bidi="ar"/>
              </w:rPr>
              <w:t>①脱硝</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脱硝系统基本设计参数和主要技术性能参数如下表所示。</w:t>
            </w:r>
          </w:p>
          <w:p>
            <w:pPr>
              <w:pStyle w:val="2"/>
              <w:ind w:firstLine="0" w:firstLineChars="0"/>
              <w:jc w:val="center"/>
              <w:rPr>
                <w:rFonts w:hint="eastAsia"/>
                <w:b/>
                <w:bCs/>
                <w:sz w:val="24"/>
                <w:szCs w:val="24"/>
              </w:rPr>
            </w:pPr>
            <w:r>
              <w:rPr>
                <w:rFonts w:hint="eastAsia"/>
                <w:b/>
                <w:bCs/>
                <w:sz w:val="24"/>
                <w:szCs w:val="24"/>
                <w:lang w:val="en-US" w:eastAsia="zh-CN"/>
              </w:rPr>
              <w:t>表19    基本设计参数表</w:t>
            </w:r>
          </w:p>
          <w:tbl>
            <w:tblPr>
              <w:tblStyle w:val="79"/>
              <w:tblW w:w="83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5"/>
              <w:gridCol w:w="2376"/>
              <w:gridCol w:w="2414"/>
              <w:gridCol w:w="1466"/>
              <w:gridCol w:w="15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序号</w:t>
                  </w:r>
                </w:p>
              </w:tc>
              <w:tc>
                <w:tcPr>
                  <w:tcW w:w="1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项目名称</w:t>
                  </w:r>
                </w:p>
              </w:tc>
              <w:tc>
                <w:tcPr>
                  <w:tcW w:w="1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单位</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设计工况</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校核工况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1</w:t>
                  </w:r>
                </w:p>
              </w:tc>
              <w:tc>
                <w:tcPr>
                  <w:tcW w:w="1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设计烟气量（标态，湿基）</w:t>
                  </w:r>
                </w:p>
              </w:tc>
              <w:tc>
                <w:tcPr>
                  <w:tcW w:w="1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Nm³/h</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～561000</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～591000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2</w:t>
                  </w:r>
                </w:p>
              </w:tc>
              <w:tc>
                <w:tcPr>
                  <w:tcW w:w="1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烟气温度</w:t>
                  </w:r>
                </w:p>
              </w:tc>
              <w:tc>
                <w:tcPr>
                  <w:tcW w:w="1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320-380</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320-380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3</w:t>
                  </w:r>
                </w:p>
              </w:tc>
              <w:tc>
                <w:tcPr>
                  <w:tcW w:w="13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入口NOx浓度（干基，3%O</w:t>
                  </w:r>
                  <w:r>
                    <w:rPr>
                      <w:rFonts w:hint="eastAsia"/>
                      <w:color w:val="000000"/>
                      <w:kern w:val="0"/>
                      <w:sz w:val="18"/>
                      <w:szCs w:val="18"/>
                      <w:vertAlign w:val="subscript"/>
                      <w:lang w:val="en-US" w:eastAsia="zh-CN" w:bidi="ar"/>
                    </w:rPr>
                    <w:t>2</w:t>
                  </w:r>
                  <w:r>
                    <w:rPr>
                      <w:rFonts w:hint="eastAsia"/>
                      <w:color w:val="000000"/>
                      <w:kern w:val="0"/>
                      <w:sz w:val="18"/>
                      <w:szCs w:val="18"/>
                      <w:lang w:val="en-US" w:eastAsia="zh-CN" w:bidi="ar"/>
                    </w:rPr>
                    <w:t>，以NO2计）</w:t>
                  </w:r>
                </w:p>
              </w:tc>
              <w:tc>
                <w:tcPr>
                  <w:tcW w:w="1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mg/Nm³</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200</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bidi="ar"/>
                    </w:rPr>
                  </w:pPr>
                  <w:r>
                    <w:rPr>
                      <w:rFonts w:hint="eastAsia"/>
                      <w:color w:val="000000"/>
                      <w:kern w:val="0"/>
                      <w:sz w:val="18"/>
                      <w:szCs w:val="18"/>
                      <w:lang w:val="en-US" w:eastAsia="zh-CN" w:bidi="ar"/>
                    </w:rPr>
                    <w:t>200</w:t>
                  </w:r>
                </w:p>
              </w:tc>
            </w:tr>
          </w:tbl>
          <w:p>
            <w:pPr>
              <w:pStyle w:val="2"/>
              <w:ind w:firstLine="0" w:firstLineChars="0"/>
              <w:jc w:val="center"/>
              <w:rPr>
                <w:rFonts w:hint="eastAsia"/>
                <w:b/>
                <w:bCs/>
                <w:sz w:val="24"/>
                <w:szCs w:val="24"/>
                <w:lang w:val="en-US" w:eastAsia="zh-CN"/>
              </w:rPr>
            </w:pPr>
            <w:r>
              <w:rPr>
                <w:rFonts w:hint="eastAsia"/>
                <w:b/>
                <w:bCs/>
                <w:sz w:val="24"/>
                <w:szCs w:val="24"/>
                <w:lang w:val="en-US" w:eastAsia="zh-CN"/>
              </w:rPr>
              <w:t>表20    脱硝系统主要技术性能参数表</w:t>
            </w:r>
          </w:p>
          <w:tbl>
            <w:tblPr>
              <w:tblStyle w:val="79"/>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
              <w:gridCol w:w="573"/>
              <w:gridCol w:w="3487"/>
              <w:gridCol w:w="1983"/>
              <w:gridCol w:w="2368"/>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 w:type="pct"/>
                <w:trHeight w:val="0" w:hRule="atLeast"/>
                <w:jc w:val="center"/>
              </w:trPr>
              <w:tc>
                <w:tcPr>
                  <w:tcW w:w="342"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序号</w:t>
                  </w:r>
                </w:p>
              </w:tc>
              <w:tc>
                <w:tcPr>
                  <w:tcW w:w="207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项目名称</w:t>
                  </w:r>
                </w:p>
              </w:tc>
              <w:tc>
                <w:tcPr>
                  <w:tcW w:w="117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单位</w:t>
                  </w:r>
                </w:p>
              </w:tc>
              <w:tc>
                <w:tcPr>
                  <w:tcW w:w="140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 w:type="pct"/>
                <w:trHeight w:val="0" w:hRule="atLeast"/>
                <w:jc w:val="center"/>
              </w:trPr>
              <w:tc>
                <w:tcPr>
                  <w:tcW w:w="342"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1</w:t>
                  </w:r>
                </w:p>
              </w:tc>
              <w:tc>
                <w:tcPr>
                  <w:tcW w:w="207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出口NOx浓度</w:t>
                  </w:r>
                </w:p>
              </w:tc>
              <w:tc>
                <w:tcPr>
                  <w:tcW w:w="117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mg/Nm³</w:t>
                  </w:r>
                </w:p>
              </w:tc>
              <w:tc>
                <w:tcPr>
                  <w:tcW w:w="140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color w:val="000000"/>
                      <w:kern w:val="0"/>
                      <w:sz w:val="18"/>
                      <w:szCs w:val="18"/>
                      <w:lang w:val="en-US" w:eastAsia="zh-CN" w:bidi="ar"/>
                    </w:rPr>
                  </w:pPr>
                  <w:r>
                    <w:rPr>
                      <w:rFonts w:hint="eastAsia"/>
                      <w:color w:val="000000"/>
                      <w:kern w:val="0"/>
                      <w:sz w:val="18"/>
                      <w:szCs w:val="18"/>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0" w:hRule="atLeast"/>
                <w:jc w:val="center"/>
              </w:trPr>
              <w:tc>
                <w:tcPr>
                  <w:tcW w:w="342"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2</w:t>
                  </w:r>
                </w:p>
              </w:tc>
              <w:tc>
                <w:tcPr>
                  <w:tcW w:w="207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氨逃逸量</w:t>
                  </w:r>
                </w:p>
              </w:tc>
              <w:tc>
                <w:tcPr>
                  <w:tcW w:w="117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ppm</w:t>
                  </w:r>
                </w:p>
              </w:tc>
              <w:tc>
                <w:tcPr>
                  <w:tcW w:w="140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color w:val="000000"/>
                      <w:kern w:val="0"/>
                      <w:sz w:val="18"/>
                      <w:szCs w:val="18"/>
                      <w:lang w:val="en-US" w:eastAsia="zh-CN" w:bidi="ar"/>
                    </w:rPr>
                  </w:pPr>
                  <w:r>
                    <w:rPr>
                      <w:rFonts w:hint="eastAsia"/>
                      <w:color w:val="000000"/>
                      <w:kern w:val="0"/>
                      <w:sz w:val="18"/>
                      <w:szCs w:val="18"/>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 w:type="pct"/>
                <w:trHeight w:val="0" w:hRule="atLeast"/>
                <w:jc w:val="center"/>
              </w:trPr>
              <w:tc>
                <w:tcPr>
                  <w:tcW w:w="342"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3</w:t>
                  </w:r>
                </w:p>
              </w:tc>
              <w:tc>
                <w:tcPr>
                  <w:tcW w:w="207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SO</w:t>
                  </w:r>
                  <w:r>
                    <w:rPr>
                      <w:rFonts w:hint="eastAsia"/>
                      <w:color w:val="000000"/>
                      <w:kern w:val="0"/>
                      <w:sz w:val="18"/>
                      <w:szCs w:val="18"/>
                      <w:vertAlign w:val="subscript"/>
                      <w:lang w:val="en-US" w:eastAsia="zh-CN" w:bidi="ar"/>
                    </w:rPr>
                    <w:t>2</w:t>
                  </w:r>
                  <w:r>
                    <w:rPr>
                      <w:rFonts w:hint="eastAsia"/>
                      <w:color w:val="000000"/>
                      <w:kern w:val="0"/>
                      <w:sz w:val="18"/>
                      <w:szCs w:val="18"/>
                      <w:lang w:val="en-US" w:eastAsia="zh-CN" w:bidi="ar"/>
                    </w:rPr>
                    <w:t>/SO</w:t>
                  </w:r>
                  <w:r>
                    <w:rPr>
                      <w:rFonts w:hint="eastAsia"/>
                      <w:color w:val="000000"/>
                      <w:kern w:val="0"/>
                      <w:sz w:val="18"/>
                      <w:szCs w:val="18"/>
                      <w:vertAlign w:val="subscript"/>
                      <w:lang w:val="en-US" w:eastAsia="zh-CN" w:bidi="ar"/>
                    </w:rPr>
                    <w:t>3</w:t>
                  </w:r>
                  <w:r>
                    <w:rPr>
                      <w:rFonts w:hint="eastAsia"/>
                      <w:color w:val="000000"/>
                      <w:kern w:val="0"/>
                      <w:sz w:val="18"/>
                      <w:szCs w:val="18"/>
                      <w:lang w:val="en-US" w:eastAsia="zh-CN" w:bidi="ar"/>
                    </w:rPr>
                    <w:t>转化率</w:t>
                  </w:r>
                </w:p>
              </w:tc>
              <w:tc>
                <w:tcPr>
                  <w:tcW w:w="117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color w:val="000000"/>
                      <w:kern w:val="0"/>
                      <w:sz w:val="18"/>
                      <w:szCs w:val="18"/>
                      <w:lang w:val="en-US" w:eastAsia="zh-CN" w:bidi="ar"/>
                    </w:rPr>
                  </w:pPr>
                  <w:r>
                    <w:rPr>
                      <w:rFonts w:hint="default"/>
                      <w:color w:val="000000"/>
                      <w:kern w:val="0"/>
                      <w:sz w:val="18"/>
                      <w:szCs w:val="18"/>
                      <w:lang w:val="en-US" w:eastAsia="zh-CN" w:bidi="ar"/>
                    </w:rPr>
                    <w:t>%</w:t>
                  </w:r>
                </w:p>
              </w:tc>
              <w:tc>
                <w:tcPr>
                  <w:tcW w:w="140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2" w:type="pct"/>
                <w:trHeight w:val="0" w:hRule="atLeast"/>
                <w:jc w:val="center"/>
              </w:trPr>
              <w:tc>
                <w:tcPr>
                  <w:tcW w:w="3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4</w:t>
                  </w:r>
                </w:p>
              </w:tc>
              <w:tc>
                <w:tcPr>
                  <w:tcW w:w="207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装置可用率</w:t>
                  </w:r>
                </w:p>
              </w:tc>
              <w:tc>
                <w:tcPr>
                  <w:tcW w:w="117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color w:val="000000"/>
                      <w:kern w:val="0"/>
                      <w:sz w:val="18"/>
                      <w:szCs w:val="18"/>
                      <w:lang w:val="en-US" w:eastAsia="zh-CN" w:bidi="ar"/>
                    </w:rPr>
                  </w:pPr>
                  <w:r>
                    <w:rPr>
                      <w:rFonts w:hint="default"/>
                      <w:color w:val="000000"/>
                      <w:kern w:val="0"/>
                      <w:sz w:val="18"/>
                      <w:szCs w:val="18"/>
                      <w:lang w:val="en-US" w:eastAsia="zh-CN" w:bidi="ar"/>
                    </w:rPr>
                    <w:t>%</w:t>
                  </w:r>
                </w:p>
              </w:tc>
              <w:tc>
                <w:tcPr>
                  <w:tcW w:w="1409"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2" w:type="pct"/>
                <w:trHeight w:val="0" w:hRule="atLeast"/>
                <w:jc w:val="center"/>
              </w:trPr>
              <w:tc>
                <w:tcPr>
                  <w:tcW w:w="3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5</w:t>
                  </w:r>
                </w:p>
              </w:tc>
              <w:tc>
                <w:tcPr>
                  <w:tcW w:w="207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脱硝系统总压损</w:t>
                  </w:r>
                </w:p>
              </w:tc>
              <w:tc>
                <w:tcPr>
                  <w:tcW w:w="117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Pa</w:t>
                  </w:r>
                </w:p>
              </w:tc>
              <w:tc>
                <w:tcPr>
                  <w:tcW w:w="1409"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&lt;1600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2" w:type="pct"/>
                <w:trHeight w:val="0" w:hRule="atLeast"/>
                <w:jc w:val="center"/>
              </w:trPr>
              <w:tc>
                <w:tcPr>
                  <w:tcW w:w="339"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6</w:t>
                  </w:r>
                </w:p>
              </w:tc>
              <w:tc>
                <w:tcPr>
                  <w:tcW w:w="2070"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催化剂正常运行温度</w:t>
                  </w:r>
                </w:p>
              </w:tc>
              <w:tc>
                <w:tcPr>
                  <w:tcW w:w="1177"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w:t>
                  </w:r>
                </w:p>
              </w:tc>
              <w:tc>
                <w:tcPr>
                  <w:tcW w:w="1409" w:type="pct"/>
                  <w:gridSpan w:val="2"/>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eastAsia"/>
                      <w:color w:val="000000"/>
                      <w:kern w:val="0"/>
                      <w:sz w:val="18"/>
                      <w:szCs w:val="18"/>
                      <w:lang w:val="en-US" w:eastAsia="zh-CN" w:bidi="ar"/>
                    </w:rPr>
                  </w:pPr>
                  <w:r>
                    <w:rPr>
                      <w:rFonts w:hint="eastAsia"/>
                      <w:color w:val="000000"/>
                      <w:kern w:val="0"/>
                      <w:sz w:val="18"/>
                      <w:szCs w:val="18"/>
                      <w:lang w:val="en-US" w:eastAsia="zh-CN" w:bidi="ar"/>
                    </w:rPr>
                    <w:t>320-380</w:t>
                  </w:r>
                </w:p>
              </w:tc>
            </w:tr>
          </w:tbl>
          <w:p>
            <w:pPr>
              <w:widowControl/>
              <w:ind w:firstLine="480"/>
              <w:jc w:val="both"/>
            </w:pPr>
            <w:r>
              <w:rPr>
                <w:rFonts w:hint="eastAsia" w:ascii="宋体" w:hAnsi="宋体" w:cs="宋体"/>
                <w:color w:val="000000"/>
                <w:kern w:val="0"/>
                <w:lang w:bidi="ar"/>
              </w:rPr>
              <w:t>项目拟采用锅炉低氮燃烧器</w:t>
            </w:r>
            <w:r>
              <w:rPr>
                <w:color w:val="000000"/>
                <w:kern w:val="0"/>
                <w:lang w:bidi="ar"/>
              </w:rPr>
              <w:t>+SCR</w:t>
            </w:r>
            <w:r>
              <w:rPr>
                <w:rFonts w:hint="eastAsia" w:ascii="宋体" w:hAnsi="宋体" w:cs="宋体"/>
                <w:color w:val="000000"/>
                <w:kern w:val="0"/>
                <w:lang w:bidi="ar"/>
              </w:rPr>
              <w:t>脱硝进行烟气脱硝。</w:t>
            </w:r>
            <w:r>
              <w:rPr>
                <w:color w:val="000000"/>
                <w:kern w:val="0"/>
                <w:lang w:bidi="ar"/>
              </w:rPr>
              <w:t>SCR</w:t>
            </w:r>
            <w:r>
              <w:rPr>
                <w:rFonts w:hint="eastAsia" w:ascii="宋体" w:hAnsi="宋体" w:cs="宋体"/>
                <w:color w:val="000000"/>
                <w:kern w:val="0"/>
                <w:lang w:bidi="ar"/>
              </w:rPr>
              <w:t>技术是在金属催化剂作用下，以</w:t>
            </w:r>
            <w:r>
              <w:rPr>
                <w:color w:val="000000"/>
                <w:kern w:val="0"/>
                <w:lang w:bidi="ar"/>
              </w:rPr>
              <w:t>NH</w:t>
            </w:r>
            <w:r>
              <w:rPr>
                <w:color w:val="000000"/>
                <w:kern w:val="0"/>
                <w:sz w:val="15"/>
                <w:szCs w:val="15"/>
                <w:lang w:bidi="ar"/>
              </w:rPr>
              <w:t>3</w:t>
            </w:r>
            <w:r>
              <w:rPr>
                <w:rFonts w:hint="eastAsia" w:ascii="宋体" w:hAnsi="宋体" w:cs="宋体"/>
                <w:color w:val="000000"/>
                <w:kern w:val="0"/>
                <w:lang w:bidi="ar"/>
              </w:rPr>
              <w:t>作为还原剂，将</w:t>
            </w:r>
            <w:r>
              <w:rPr>
                <w:color w:val="000000"/>
                <w:kern w:val="0"/>
                <w:lang w:bidi="ar"/>
              </w:rPr>
              <w:t>NOx</w:t>
            </w:r>
            <w:r>
              <w:rPr>
                <w:rFonts w:hint="eastAsia" w:ascii="宋体" w:hAnsi="宋体" w:cs="宋体"/>
                <w:color w:val="000000"/>
                <w:kern w:val="0"/>
                <w:lang w:bidi="ar"/>
              </w:rPr>
              <w:t>还原成</w:t>
            </w:r>
            <w:r>
              <w:rPr>
                <w:color w:val="000000"/>
                <w:kern w:val="0"/>
                <w:lang w:bidi="ar"/>
              </w:rPr>
              <w:t>N</w:t>
            </w:r>
            <w:r>
              <w:rPr>
                <w:color w:val="000000"/>
                <w:kern w:val="0"/>
                <w:sz w:val="15"/>
                <w:szCs w:val="15"/>
                <w:lang w:bidi="ar"/>
              </w:rPr>
              <w:t>2</w:t>
            </w:r>
            <w:r>
              <w:rPr>
                <w:rFonts w:hint="eastAsia" w:ascii="宋体" w:hAnsi="宋体" w:cs="宋体"/>
                <w:color w:val="000000"/>
                <w:kern w:val="0"/>
                <w:lang w:bidi="ar"/>
              </w:rPr>
              <w:t>和</w:t>
            </w:r>
            <w:r>
              <w:rPr>
                <w:color w:val="000000"/>
                <w:kern w:val="0"/>
                <w:lang w:bidi="ar"/>
              </w:rPr>
              <w:t>H</w:t>
            </w:r>
            <w:r>
              <w:rPr>
                <w:color w:val="000000"/>
                <w:kern w:val="0"/>
                <w:sz w:val="15"/>
                <w:szCs w:val="15"/>
                <w:lang w:bidi="ar"/>
              </w:rPr>
              <w:t>2</w:t>
            </w:r>
            <w:r>
              <w:rPr>
                <w:color w:val="000000"/>
                <w:kern w:val="0"/>
                <w:lang w:bidi="ar"/>
              </w:rPr>
              <w:t>O</w:t>
            </w:r>
            <w:r>
              <w:rPr>
                <w:rFonts w:hint="eastAsia" w:ascii="宋体" w:hAnsi="宋体" w:cs="宋体"/>
                <w:color w:val="000000"/>
                <w:kern w:val="0"/>
                <w:lang w:bidi="ar"/>
              </w:rPr>
              <w:t>。</w:t>
            </w:r>
            <w:r>
              <w:rPr>
                <w:color w:val="000000"/>
                <w:kern w:val="0"/>
                <w:lang w:bidi="ar"/>
              </w:rPr>
              <w:t>NH</w:t>
            </w:r>
            <w:r>
              <w:rPr>
                <w:color w:val="000000"/>
                <w:kern w:val="0"/>
                <w:sz w:val="15"/>
                <w:szCs w:val="15"/>
                <w:lang w:bidi="ar"/>
              </w:rPr>
              <w:t>3</w:t>
            </w:r>
            <w:r>
              <w:rPr>
                <w:rFonts w:hint="eastAsia" w:ascii="宋体" w:hAnsi="宋体" w:cs="宋体"/>
                <w:color w:val="000000"/>
                <w:kern w:val="0"/>
                <w:lang w:bidi="ar"/>
              </w:rPr>
              <w:t>不和烟气中的残余的</w:t>
            </w:r>
            <w:r>
              <w:rPr>
                <w:color w:val="000000"/>
                <w:kern w:val="0"/>
                <w:lang w:bidi="ar"/>
              </w:rPr>
              <w:t>O</w:t>
            </w:r>
            <w:r>
              <w:rPr>
                <w:color w:val="000000"/>
                <w:kern w:val="0"/>
                <w:sz w:val="15"/>
                <w:szCs w:val="15"/>
                <w:lang w:bidi="ar"/>
              </w:rPr>
              <w:t>2</w:t>
            </w:r>
            <w:r>
              <w:rPr>
                <w:rFonts w:hint="eastAsia" w:ascii="宋体" w:hAnsi="宋体" w:cs="宋体"/>
                <w:color w:val="000000"/>
                <w:kern w:val="0"/>
                <w:lang w:bidi="ar"/>
              </w:rPr>
              <w:t>反应，而如果采用</w:t>
            </w:r>
            <w:r>
              <w:rPr>
                <w:color w:val="000000"/>
                <w:kern w:val="0"/>
                <w:lang w:bidi="ar"/>
              </w:rPr>
              <w:t>H</w:t>
            </w:r>
            <w:r>
              <w:rPr>
                <w:color w:val="000000"/>
                <w:kern w:val="0"/>
                <w:sz w:val="15"/>
                <w:szCs w:val="15"/>
                <w:lang w:bidi="ar"/>
              </w:rPr>
              <w:t>2</w:t>
            </w:r>
            <w:r>
              <w:rPr>
                <w:rFonts w:hint="eastAsia" w:ascii="宋体" w:hAnsi="宋体" w:cs="宋体"/>
                <w:color w:val="000000"/>
                <w:kern w:val="0"/>
                <w:lang w:bidi="ar"/>
              </w:rPr>
              <w:t>、</w:t>
            </w:r>
            <w:r>
              <w:rPr>
                <w:color w:val="000000"/>
                <w:kern w:val="0"/>
                <w:lang w:bidi="ar"/>
              </w:rPr>
              <w:t>CO</w:t>
            </w:r>
            <w:r>
              <w:rPr>
                <w:rFonts w:hint="eastAsia" w:ascii="宋体" w:hAnsi="宋体" w:cs="宋体"/>
                <w:color w:val="000000"/>
                <w:kern w:val="0"/>
                <w:lang w:bidi="ar"/>
              </w:rPr>
              <w:t>、</w:t>
            </w:r>
            <w:r>
              <w:rPr>
                <w:color w:val="000000"/>
                <w:kern w:val="0"/>
                <w:lang w:bidi="ar"/>
              </w:rPr>
              <w:t>CH</w:t>
            </w:r>
            <w:r>
              <w:rPr>
                <w:color w:val="000000"/>
                <w:kern w:val="0"/>
                <w:sz w:val="15"/>
                <w:szCs w:val="15"/>
                <w:lang w:bidi="ar"/>
              </w:rPr>
              <w:t>4</w:t>
            </w:r>
            <w:r>
              <w:rPr>
                <w:rFonts w:hint="eastAsia" w:ascii="宋体" w:hAnsi="宋体" w:cs="宋体"/>
                <w:color w:val="000000"/>
                <w:kern w:val="0"/>
                <w:lang w:bidi="ar"/>
              </w:rPr>
              <w:t>等还原剂，它们在还原</w:t>
            </w:r>
            <w:r>
              <w:rPr>
                <w:color w:val="000000"/>
                <w:kern w:val="0"/>
                <w:lang w:bidi="ar"/>
              </w:rPr>
              <w:t>NOx</w:t>
            </w:r>
            <w:r>
              <w:rPr>
                <w:rFonts w:hint="eastAsia" w:ascii="宋体" w:hAnsi="宋体" w:cs="宋体"/>
                <w:color w:val="000000"/>
                <w:kern w:val="0"/>
                <w:lang w:bidi="ar"/>
              </w:rPr>
              <w:t>的同时会与</w:t>
            </w:r>
            <w:r>
              <w:rPr>
                <w:color w:val="000000"/>
                <w:kern w:val="0"/>
                <w:lang w:bidi="ar"/>
              </w:rPr>
              <w:t>O</w:t>
            </w:r>
            <w:r>
              <w:rPr>
                <w:color w:val="000000"/>
                <w:kern w:val="0"/>
                <w:sz w:val="15"/>
                <w:szCs w:val="15"/>
                <w:lang w:bidi="ar"/>
              </w:rPr>
              <w:t>2</w:t>
            </w:r>
            <w:r>
              <w:rPr>
                <w:rFonts w:hint="eastAsia" w:ascii="宋体" w:hAnsi="宋体" w:cs="宋体"/>
                <w:color w:val="000000"/>
                <w:kern w:val="0"/>
                <w:lang w:bidi="ar"/>
              </w:rPr>
              <w:t>作用，因此称这种方法为</w:t>
            </w:r>
            <w:r>
              <w:rPr>
                <w:color w:val="000000"/>
                <w:kern w:val="0"/>
                <w:lang w:bidi="ar"/>
              </w:rPr>
              <w:t>“</w:t>
            </w:r>
            <w:r>
              <w:rPr>
                <w:rFonts w:hint="eastAsia" w:ascii="宋体" w:hAnsi="宋体" w:cs="宋体"/>
                <w:color w:val="000000"/>
                <w:kern w:val="0"/>
                <w:lang w:bidi="ar"/>
              </w:rPr>
              <w:t>选择性</w:t>
            </w:r>
            <w:r>
              <w:rPr>
                <w:color w:val="000000"/>
                <w:kern w:val="0"/>
                <w:lang w:bidi="ar"/>
              </w:rPr>
              <w:t>”</w:t>
            </w:r>
            <w:r>
              <w:rPr>
                <w:rFonts w:hint="eastAsia" w:ascii="宋体" w:hAnsi="宋体" w:cs="宋体"/>
                <w:color w:val="000000"/>
                <w:kern w:val="0"/>
                <w:lang w:bidi="ar"/>
              </w:rPr>
              <w:t>。通过采用合适的催化剂，上述反应可以在</w:t>
            </w:r>
            <w:r>
              <w:rPr>
                <w:color w:val="000000"/>
                <w:kern w:val="0"/>
                <w:lang w:bidi="ar"/>
              </w:rPr>
              <w:t>320℃~380℃</w:t>
            </w:r>
            <w:r>
              <w:rPr>
                <w:rFonts w:hint="eastAsia" w:ascii="宋体" w:hAnsi="宋体" w:cs="宋体"/>
                <w:color w:val="000000"/>
                <w:kern w:val="0"/>
                <w:lang w:bidi="ar"/>
              </w:rPr>
              <w:t>的温度范围内有效进行，配套一座氨水站。催化剂促进反应进行，但在反应中并不被消耗。</w:t>
            </w:r>
            <w:r>
              <w:rPr>
                <w:color w:val="000000"/>
                <w:kern w:val="0"/>
                <w:lang w:bidi="ar"/>
              </w:rPr>
              <w:t>SCR</w:t>
            </w:r>
            <w:r>
              <w:rPr>
                <w:rFonts w:hint="eastAsia" w:ascii="宋体" w:hAnsi="宋体" w:cs="宋体"/>
                <w:color w:val="000000"/>
                <w:kern w:val="0"/>
                <w:lang w:bidi="ar"/>
              </w:rPr>
              <w:t>中发生的主要反应如下所示：</w:t>
            </w:r>
          </w:p>
          <w:p>
            <w:pPr>
              <w:pStyle w:val="56"/>
              <w:spacing w:before="0" w:after="0" w:line="360" w:lineRule="auto"/>
              <w:ind w:firstLine="480"/>
              <w:jc w:val="both"/>
              <w:outlineLvl w:val="9"/>
              <w:rPr>
                <w:rFonts w:ascii="Times New Roman" w:eastAsia="宋体"/>
                <w:szCs w:val="24"/>
              </w:rPr>
            </w:pPr>
            <w:r>
              <w:rPr>
                <w:rFonts w:ascii="Times New Roman" w:eastAsia="宋体"/>
                <w:szCs w:val="24"/>
              </w:rPr>
              <w:t>4NO+4NH</w:t>
            </w:r>
            <w:r>
              <w:rPr>
                <w:rFonts w:ascii="Times New Roman" w:eastAsia="宋体"/>
                <w:szCs w:val="24"/>
                <w:vertAlign w:val="subscript"/>
              </w:rPr>
              <w:t>3</w:t>
            </w:r>
            <w:r>
              <w:rPr>
                <w:rFonts w:ascii="Times New Roman" w:eastAsia="宋体"/>
                <w:szCs w:val="24"/>
              </w:rPr>
              <w:t>+O</w:t>
            </w:r>
            <w:r>
              <w:rPr>
                <w:rFonts w:ascii="Times New Roman" w:eastAsia="宋体"/>
                <w:szCs w:val="24"/>
                <w:vertAlign w:val="subscript"/>
              </w:rPr>
              <w:t>2</w:t>
            </w:r>
            <w:r>
              <w:rPr>
                <w:rFonts w:ascii="Times New Roman" w:eastAsia="宋体"/>
                <w:szCs w:val="24"/>
              </w:rPr>
              <w:t>→4N</w:t>
            </w:r>
            <w:r>
              <w:rPr>
                <w:rFonts w:ascii="Times New Roman" w:eastAsia="宋体"/>
                <w:szCs w:val="24"/>
                <w:vertAlign w:val="subscript"/>
              </w:rPr>
              <w:t>2</w:t>
            </w:r>
            <w:r>
              <w:rPr>
                <w:rFonts w:ascii="Times New Roman" w:eastAsia="宋体"/>
                <w:szCs w:val="24"/>
              </w:rPr>
              <w:t>+6H</w:t>
            </w:r>
            <w:r>
              <w:rPr>
                <w:rFonts w:ascii="Times New Roman" w:eastAsia="宋体"/>
                <w:szCs w:val="24"/>
                <w:vertAlign w:val="subscript"/>
              </w:rPr>
              <w:t>2</w:t>
            </w:r>
            <w:r>
              <w:rPr>
                <w:rFonts w:ascii="Times New Roman" w:eastAsia="宋体"/>
                <w:szCs w:val="24"/>
              </w:rPr>
              <w:t>O</w:t>
            </w:r>
            <w:r>
              <w:rPr>
                <w:rFonts w:hint="eastAsia" w:ascii="Times New Roman" w:eastAsia="宋体"/>
                <w:szCs w:val="24"/>
              </w:rPr>
              <w:t>(</w:t>
            </w:r>
            <w:r>
              <w:rPr>
                <w:rFonts w:ascii="Times New Roman" w:eastAsia="宋体"/>
                <w:szCs w:val="24"/>
              </w:rPr>
              <w:t>催化剂</w:t>
            </w:r>
            <w:r>
              <w:rPr>
                <w:rFonts w:hint="eastAsia" w:ascii="Times New Roman" w:eastAsia="宋体"/>
                <w:szCs w:val="24"/>
              </w:rPr>
              <w:t>)</w:t>
            </w:r>
          </w:p>
          <w:p>
            <w:pPr>
              <w:pStyle w:val="56"/>
              <w:spacing w:before="0" w:after="0" w:line="360" w:lineRule="auto"/>
              <w:ind w:firstLine="480"/>
              <w:jc w:val="both"/>
              <w:outlineLvl w:val="9"/>
              <w:rPr>
                <w:rFonts w:ascii="Times New Roman" w:eastAsia="宋体"/>
                <w:szCs w:val="24"/>
              </w:rPr>
            </w:pPr>
            <w:r>
              <w:rPr>
                <w:rFonts w:ascii="Times New Roman" w:eastAsia="宋体"/>
                <w:szCs w:val="24"/>
              </w:rPr>
              <w:t>6NO</w:t>
            </w:r>
            <w:r>
              <w:rPr>
                <w:rFonts w:ascii="Times New Roman" w:eastAsia="宋体"/>
                <w:szCs w:val="24"/>
                <w:vertAlign w:val="subscript"/>
              </w:rPr>
              <w:t>2</w:t>
            </w:r>
            <w:r>
              <w:rPr>
                <w:rFonts w:ascii="Times New Roman" w:eastAsia="宋体"/>
                <w:szCs w:val="24"/>
              </w:rPr>
              <w:t>+8NH</w:t>
            </w:r>
            <w:r>
              <w:rPr>
                <w:rFonts w:ascii="Times New Roman" w:eastAsia="宋体"/>
                <w:szCs w:val="24"/>
                <w:vertAlign w:val="subscript"/>
              </w:rPr>
              <w:t>3</w:t>
            </w:r>
            <w:r>
              <w:rPr>
                <w:rFonts w:ascii="Times New Roman" w:eastAsia="宋体"/>
                <w:szCs w:val="24"/>
              </w:rPr>
              <w:t>→7N</w:t>
            </w:r>
            <w:r>
              <w:rPr>
                <w:rFonts w:ascii="Times New Roman" w:eastAsia="宋体"/>
                <w:szCs w:val="24"/>
                <w:vertAlign w:val="subscript"/>
              </w:rPr>
              <w:t>2</w:t>
            </w:r>
            <w:r>
              <w:rPr>
                <w:rFonts w:ascii="Times New Roman" w:eastAsia="宋体"/>
                <w:szCs w:val="24"/>
              </w:rPr>
              <w:t>+12H</w:t>
            </w:r>
            <w:r>
              <w:rPr>
                <w:rFonts w:ascii="Times New Roman" w:eastAsia="宋体"/>
                <w:szCs w:val="24"/>
                <w:vertAlign w:val="subscript"/>
              </w:rPr>
              <w:t>2</w:t>
            </w:r>
            <w:r>
              <w:rPr>
                <w:rFonts w:ascii="Times New Roman" w:eastAsia="宋体"/>
                <w:szCs w:val="24"/>
              </w:rPr>
              <w:t>O</w:t>
            </w:r>
            <w:r>
              <w:rPr>
                <w:rFonts w:hint="eastAsia" w:ascii="Times New Roman" w:eastAsia="宋体"/>
                <w:szCs w:val="24"/>
              </w:rPr>
              <w:t>(</w:t>
            </w:r>
            <w:r>
              <w:rPr>
                <w:rFonts w:ascii="Times New Roman" w:eastAsia="宋体"/>
                <w:szCs w:val="24"/>
              </w:rPr>
              <w:t>催化剂</w:t>
            </w:r>
            <w:r>
              <w:rPr>
                <w:rFonts w:hint="eastAsia" w:ascii="Times New Roman" w:eastAsia="宋体"/>
                <w:szCs w:val="24"/>
              </w:rPr>
              <w:t>)</w:t>
            </w:r>
          </w:p>
          <w:p>
            <w:pPr>
              <w:pStyle w:val="56"/>
              <w:spacing w:line="360" w:lineRule="auto"/>
              <w:ind w:firstLine="480"/>
              <w:jc w:val="both"/>
              <w:outlineLvl w:val="9"/>
              <w:rPr>
                <w:rFonts w:ascii="Times New Roman" w:eastAsia="宋体"/>
                <w:szCs w:val="24"/>
              </w:rPr>
            </w:pPr>
            <w:r>
              <w:rPr>
                <w:rFonts w:ascii="Times New Roman" w:eastAsia="宋体"/>
                <w:szCs w:val="24"/>
              </w:rPr>
              <w:t>NO+NO</w:t>
            </w:r>
            <w:r>
              <w:rPr>
                <w:rFonts w:ascii="Times New Roman" w:eastAsia="宋体"/>
                <w:szCs w:val="24"/>
                <w:vertAlign w:val="subscript"/>
              </w:rPr>
              <w:t>2</w:t>
            </w:r>
            <w:r>
              <w:rPr>
                <w:rFonts w:ascii="Times New Roman" w:eastAsia="宋体"/>
                <w:szCs w:val="24"/>
              </w:rPr>
              <w:t>+2NH</w:t>
            </w:r>
            <w:r>
              <w:rPr>
                <w:rFonts w:ascii="Times New Roman" w:eastAsia="宋体"/>
                <w:szCs w:val="24"/>
                <w:vertAlign w:val="subscript"/>
              </w:rPr>
              <w:t>3</w:t>
            </w:r>
            <w:r>
              <w:rPr>
                <w:rFonts w:ascii="Times New Roman" w:eastAsia="宋体"/>
                <w:szCs w:val="24"/>
              </w:rPr>
              <w:t>→2N</w:t>
            </w:r>
            <w:r>
              <w:rPr>
                <w:rFonts w:ascii="Times New Roman" w:eastAsia="宋体"/>
                <w:szCs w:val="24"/>
                <w:vertAlign w:val="subscript"/>
              </w:rPr>
              <w:t>2</w:t>
            </w:r>
            <w:r>
              <w:rPr>
                <w:rFonts w:ascii="Times New Roman" w:eastAsia="宋体"/>
                <w:szCs w:val="24"/>
              </w:rPr>
              <w:t>+3H</w:t>
            </w:r>
            <w:r>
              <w:rPr>
                <w:rFonts w:ascii="Times New Roman" w:eastAsia="宋体"/>
                <w:szCs w:val="24"/>
                <w:vertAlign w:val="subscript"/>
              </w:rPr>
              <w:t>2</w:t>
            </w:r>
            <w:r>
              <w:rPr>
                <w:rFonts w:ascii="Times New Roman" w:eastAsia="宋体"/>
                <w:szCs w:val="24"/>
              </w:rPr>
              <w:t>O</w:t>
            </w:r>
            <w:r>
              <w:rPr>
                <w:rFonts w:hint="eastAsia" w:ascii="Times New Roman" w:eastAsia="宋体"/>
                <w:szCs w:val="24"/>
              </w:rPr>
              <w:t>(</w:t>
            </w:r>
            <w:r>
              <w:rPr>
                <w:rFonts w:ascii="Times New Roman" w:eastAsia="宋体"/>
                <w:szCs w:val="24"/>
              </w:rPr>
              <w:t>催化剂</w:t>
            </w:r>
            <w:r>
              <w:rPr>
                <w:rFonts w:hint="eastAsia" w:ascii="Times New Roman" w:eastAsia="宋体"/>
                <w:szCs w:val="24"/>
              </w:rPr>
              <w:t>)</w:t>
            </w:r>
          </w:p>
          <w:p>
            <w:pPr>
              <w:pStyle w:val="56"/>
              <w:spacing w:line="360" w:lineRule="auto"/>
              <w:ind w:firstLine="480"/>
              <w:jc w:val="both"/>
              <w:outlineLvl w:val="9"/>
              <w:rPr>
                <w:rFonts w:ascii="Times New Roman" w:eastAsia="宋体"/>
                <w:szCs w:val="24"/>
              </w:rPr>
            </w:pPr>
            <w:r>
              <w:rPr>
                <w:rFonts w:ascii="Times New Roman" w:eastAsia="宋体"/>
                <w:szCs w:val="24"/>
              </w:rPr>
              <w:t>SCR工作原理图如下图。</w:t>
            </w:r>
          </w:p>
          <w:p>
            <w:pPr>
              <w:widowControl/>
              <w:ind w:firstLine="480"/>
            </w:pPr>
            <w:r>
              <w:drawing>
                <wp:inline distT="0" distB="0" distL="114300" distR="114300">
                  <wp:extent cx="4610735" cy="2656205"/>
                  <wp:effectExtent l="0" t="0" r="18415"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0"/>
                          <a:srcRect b="5334"/>
                          <a:stretch>
                            <a:fillRect/>
                          </a:stretch>
                        </pic:blipFill>
                        <pic:spPr>
                          <a:xfrm>
                            <a:off x="0" y="0"/>
                            <a:ext cx="4610735" cy="2656205"/>
                          </a:xfrm>
                          <a:prstGeom prst="rect">
                            <a:avLst/>
                          </a:prstGeom>
                          <a:noFill/>
                          <a:ln>
                            <a:noFill/>
                          </a:ln>
                        </pic:spPr>
                      </pic:pic>
                    </a:graphicData>
                  </a:graphic>
                </wp:inline>
              </w:drawing>
            </w:r>
          </w:p>
          <w:p>
            <w:pPr>
              <w:pStyle w:val="56"/>
              <w:spacing w:before="0" w:after="0" w:line="360" w:lineRule="auto"/>
              <w:ind w:firstLine="0" w:firstLineChars="0"/>
              <w:rPr>
                <w:rFonts w:ascii="Times New Roman" w:eastAsia="宋体"/>
                <w:b/>
                <w:bCs/>
                <w:szCs w:val="24"/>
              </w:rPr>
            </w:pPr>
            <w:r>
              <w:rPr>
                <w:rFonts w:hint="eastAsia" w:ascii="Times New Roman" w:eastAsia="宋体"/>
                <w:b/>
                <w:bCs/>
                <w:szCs w:val="24"/>
              </w:rPr>
              <w:t xml:space="preserve">图8  </w:t>
            </w:r>
            <w:r>
              <w:rPr>
                <w:rFonts w:ascii="Times New Roman" w:eastAsia="宋体"/>
                <w:b/>
                <w:bCs/>
                <w:szCs w:val="24"/>
              </w:rPr>
              <w:t>SCR工作原理图</w:t>
            </w:r>
          </w:p>
          <w:p>
            <w:pPr>
              <w:widowControl/>
              <w:ind w:firstLine="480"/>
            </w:pPr>
            <w:r>
              <w:rPr>
                <w:rFonts w:hint="eastAsia"/>
              </w:rPr>
              <w:t>②脱硫</w:t>
            </w:r>
          </w:p>
          <w:p>
            <w:pPr>
              <w:ind w:firstLine="480"/>
            </w:pPr>
            <w:r>
              <w:rPr>
                <w:rFonts w:hint="eastAsia" w:ascii="宋体" w:hAnsi="宋体" w:cs="宋体"/>
                <w:color w:val="000000"/>
                <w:kern w:val="0"/>
                <w:lang w:bidi="ar"/>
              </w:rPr>
              <w:t>本工程锅炉烟气脱硫系统采用小苏打干法脱硫工艺，</w:t>
            </w:r>
            <w:r>
              <w:rPr>
                <w:szCs w:val="21"/>
              </w:rPr>
              <w:t>小苏打干法烟气脱硫技术是利用小苏打作为脱硫剂，对烟气中SO</w:t>
            </w:r>
            <w:r>
              <w:rPr>
                <w:szCs w:val="21"/>
                <w:vertAlign w:val="subscript"/>
              </w:rPr>
              <w:t>2</w:t>
            </w:r>
            <w:r>
              <w:rPr>
                <w:szCs w:val="21"/>
              </w:rPr>
              <w:t>进行吸收脱除的一种技术。</w:t>
            </w:r>
            <w:r>
              <w:t>小苏打干法脱硫装置主要由吸收剂制备系统、喷射系统及仪表用气系统等组成。</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脱硫剂采用小苏打粉，小苏打粉(吨袋)由叉车运至研磨机房内，电动葫芦提升吨袋上料。在研磨机上方设置料斗平台，每台研磨机对应一个料斗，料斗中的小苏打粉通过给料系统送入后续研磨设备。料斗容积按</w:t>
            </w:r>
            <w:r>
              <w:rPr>
                <w:rFonts w:hint="default" w:ascii="Times New Roman" w:hAnsi="Times New Roman" w:eastAsia="宋体" w:cs="Times New Roman"/>
                <w:color w:val="000000"/>
                <w:kern w:val="0"/>
                <w:sz w:val="24"/>
                <w:szCs w:val="24"/>
                <w:lang w:val="en-US" w:eastAsia="zh-CN" w:bidi="ar"/>
              </w:rPr>
              <w:t>3m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设计。配置料斗除尘，充分抑制卸料时扬尘。小苏打粉上料系统及研磨系统均布置在研磨机房内。</w:t>
            </w:r>
          </w:p>
          <w:p>
            <w:pPr>
              <w:widowControl/>
              <w:shd w:val="clear" w:color="auto" w:fill="FFFFFF"/>
              <w:ind w:firstLine="480"/>
            </w:pPr>
            <w:r>
              <w:t>碳酸氢钠</w:t>
            </w:r>
            <w:r>
              <w:rPr>
                <w:rFonts w:hint="eastAsia"/>
              </w:rPr>
              <w:t>(</w:t>
            </w:r>
            <w:r>
              <w:t>小苏打</w:t>
            </w:r>
            <w:r>
              <w:rPr>
                <w:rFonts w:hint="eastAsia"/>
              </w:rPr>
              <w:t>)</w:t>
            </w:r>
            <w:r>
              <w:t>用作烟气脱硫的吸附剂，通过化学吸附去除烟气中的SO</w:t>
            </w:r>
            <w:r>
              <w:rPr>
                <w:vertAlign w:val="subscript"/>
              </w:rPr>
              <w:t>2</w:t>
            </w:r>
            <w:r>
              <w:t>，同时，它还可通过物理吸附去除一些无机和有机微量物质。此工艺将碳酸氢钠细粉直接喷入高温烟气中，在高温下碳酸氢钠分解生成碳酸钠Na</w:t>
            </w:r>
            <w:r>
              <w:rPr>
                <w:vertAlign w:val="subscript"/>
              </w:rPr>
              <w:t>2</w:t>
            </w:r>
            <w:r>
              <w:t>CO</w:t>
            </w:r>
            <w:r>
              <w:rPr>
                <w:vertAlign w:val="subscript"/>
              </w:rPr>
              <w:t>3</w:t>
            </w:r>
            <w:r>
              <w:t>、H</w:t>
            </w:r>
            <w:r>
              <w:rPr>
                <w:vertAlign w:val="subscript"/>
              </w:rPr>
              <w:t>2</w:t>
            </w:r>
            <w:r>
              <w:t>O和CO</w:t>
            </w:r>
            <w:r>
              <w:rPr>
                <w:vertAlign w:val="subscript"/>
              </w:rPr>
              <w:t>2</w:t>
            </w:r>
            <w:r>
              <w:t>。</w:t>
            </w:r>
          </w:p>
          <w:p>
            <w:pPr>
              <w:widowControl/>
              <w:shd w:val="clear" w:color="auto" w:fill="FFFFFF"/>
              <w:ind w:firstLine="480"/>
            </w:pPr>
            <m:oMathPara>
              <m:oMath>
                <m:r>
                  <m:rPr>
                    <m:sty m:val="p"/>
                  </m:rPr>
                  <w:rPr>
                    <w:rFonts w:ascii="Cambria Math" w:hAnsi="Cambria Math"/>
                  </w:rPr>
                  <m:t>2NaHC</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→N</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O</m:t>
                </m:r>
              </m:oMath>
            </m:oMathPara>
          </w:p>
          <w:p>
            <w:pPr>
              <w:ind w:firstLine="480"/>
              <w:rPr>
                <w:color w:val="000000"/>
                <w:kern w:val="0"/>
                <w:lang w:bidi="ar"/>
              </w:rPr>
            </w:pPr>
            <w:r>
              <w:rPr>
                <w:color w:val="000000"/>
                <w:kern w:val="0"/>
                <w:lang w:bidi="ar"/>
              </w:rPr>
              <w:t>新产生的碳酸钠Na</w:t>
            </w:r>
            <w:r>
              <w:rPr>
                <w:color w:val="000000"/>
                <w:kern w:val="0"/>
                <w:vertAlign w:val="subscript"/>
                <w:lang w:bidi="ar"/>
              </w:rPr>
              <w:t>2</w:t>
            </w:r>
            <w:r>
              <w:rPr>
                <w:color w:val="000000"/>
                <w:kern w:val="0"/>
                <w:lang w:bidi="ar"/>
              </w:rPr>
              <w:t>CO</w:t>
            </w:r>
            <w:r>
              <w:rPr>
                <w:color w:val="000000"/>
                <w:kern w:val="0"/>
                <w:vertAlign w:val="subscript"/>
                <w:lang w:bidi="ar"/>
              </w:rPr>
              <w:t>3</w:t>
            </w:r>
            <w:r>
              <w:rPr>
                <w:color w:val="000000"/>
                <w:kern w:val="0"/>
                <w:lang w:bidi="ar"/>
              </w:rPr>
              <w:t>在生成瞬间有高度的反应活性，可自发地与烟气中的硫氧化物进行下列反应：</w:t>
            </w:r>
          </w:p>
          <w:p>
            <w:pPr>
              <w:widowControl/>
              <w:shd w:val="clear" w:color="auto" w:fill="FFFFFF"/>
              <w:ind w:firstLine="480"/>
            </w:pPr>
            <m:oMathPara>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box>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=N</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4</m:t>
                    </m:r>
                    <m:ctrlPr>
                      <w:rPr>
                        <w:rFonts w:ascii="Cambria Math" w:hAnsi="Cambria Math"/>
                      </w:rPr>
                    </m:ctrlP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2</m:t>
                    </m:r>
                    <m:ctrlPr>
                      <w:rPr>
                        <w:rFonts w:ascii="Cambria Math" w:hAnsi="Cambria Math"/>
                      </w:rPr>
                    </m:ctrlPr>
                  </m:sub>
                </m:sSub>
              </m:oMath>
            </m:oMathPara>
          </w:p>
          <w:p>
            <w:pPr>
              <w:widowControl/>
              <w:shd w:val="clear" w:color="auto" w:fill="FFFFFF"/>
              <w:ind w:firstLine="480"/>
            </w:pPr>
            <m:oMathPara>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=N</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4</m:t>
                    </m:r>
                    <m:ctrlPr>
                      <w:rPr>
                        <w:rFonts w:ascii="Cambria Math" w:hAnsi="Cambria Math"/>
                      </w:rPr>
                    </m:ctrlP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2</m:t>
                    </m:r>
                    <m:ctrlPr>
                      <w:rPr>
                        <w:rFonts w:ascii="Cambria Math" w:hAnsi="Cambria Math"/>
                      </w:rPr>
                    </m:ctrlPr>
                  </m:sub>
                </m:sSub>
              </m:oMath>
            </m:oMathPara>
          </w:p>
          <w:p>
            <w:pPr>
              <w:widowControl/>
              <w:ind w:firstLine="480"/>
            </w:pPr>
            <w:r>
              <w:rPr>
                <w:rFonts w:hint="eastAsia"/>
              </w:rPr>
              <w:t>③除尘</w:t>
            </w:r>
          </w:p>
          <w:p>
            <w:pPr>
              <w:widowControl/>
              <w:ind w:firstLine="480"/>
              <w:rPr>
                <w:rFonts w:ascii="宋体" w:hAnsi="宋体" w:cs="宋体"/>
                <w:color w:val="000000"/>
                <w:kern w:val="0"/>
                <w:lang w:bidi="ar"/>
              </w:rPr>
            </w:pPr>
            <w:r>
              <w:rPr>
                <w:rFonts w:hint="eastAsia"/>
              </w:rPr>
              <w:t>除灰系统为干式除灰系统，采用正压气力输灰系统将除尘器灰斗收集的飞灰输送至灰库。</w:t>
            </w:r>
          </w:p>
          <w:p>
            <w:pPr>
              <w:widowControl/>
              <w:ind w:firstLine="480"/>
            </w:pPr>
            <w:r>
              <w:rPr>
                <w:rFonts w:hint="eastAsia"/>
              </w:rPr>
              <w:t>项目的产排污节点：锅炉燃烧产生的烟尘、SO</w:t>
            </w:r>
            <w:r>
              <w:rPr>
                <w:rFonts w:hint="eastAsia"/>
                <w:vertAlign w:val="subscript"/>
              </w:rPr>
              <w:t>2</w:t>
            </w:r>
            <w:r>
              <w:rPr>
                <w:rFonts w:hint="eastAsia"/>
              </w:rPr>
              <w:t>和NO</w:t>
            </w:r>
            <w:r>
              <w:rPr>
                <w:rFonts w:hint="eastAsia"/>
                <w:vertAlign w:val="subscript"/>
              </w:rPr>
              <w:t>X</w:t>
            </w:r>
            <w:r>
              <w:rPr>
                <w:rFonts w:hint="eastAsia"/>
              </w:rPr>
              <w:t>；循环冷却水系统产生的系统排污水、锅炉启动系统冲洗排水、除盐水制备工序产生的浓盐水、混床再生产生的酸碱废水；各机械设备(锅炉风机、汽轮机、发电机等)和设施(冷却塔)产生的噪声；冷油器回收站产生废矿物油(废液压油、废润滑油)、废滤芯、滤纸和滤网。</w:t>
            </w:r>
          </w:p>
          <w:p>
            <w:pPr>
              <w:ind w:firstLine="482"/>
              <w:rPr>
                <w:b/>
                <w:bCs/>
              </w:rPr>
            </w:pPr>
            <w:r>
              <w:rPr>
                <w:b/>
                <w:bCs/>
              </w:rPr>
              <w:t>2.产排污环节</w:t>
            </w:r>
          </w:p>
          <w:p>
            <w:pPr>
              <w:spacing w:line="450" w:lineRule="exact"/>
              <w:ind w:firstLine="480"/>
              <w:rPr>
                <w:b/>
              </w:rPr>
            </w:pPr>
            <w:r>
              <w:t>本项目</w:t>
            </w:r>
            <w:r>
              <w:rPr>
                <w:rFonts w:hint="eastAsia"/>
              </w:rPr>
              <w:t>施工期和</w:t>
            </w:r>
            <w:r>
              <w:t>营运期主要产排污节点见表</w:t>
            </w:r>
            <w:r>
              <w:rPr>
                <w:rFonts w:hint="eastAsia"/>
                <w:lang w:val="en-US" w:eastAsia="zh-CN"/>
              </w:rPr>
              <w:t>21</w:t>
            </w:r>
            <w:r>
              <w:t>。</w:t>
            </w:r>
          </w:p>
          <w:p>
            <w:pPr>
              <w:snapToGrid w:val="0"/>
              <w:spacing w:before="120" w:beforeLines="50" w:line="240" w:lineRule="auto"/>
              <w:ind w:firstLine="0" w:firstLineChars="0"/>
              <w:jc w:val="center"/>
              <w:rPr>
                <w:b/>
              </w:rPr>
            </w:pPr>
            <w:r>
              <w:rPr>
                <w:b/>
              </w:rPr>
              <w:t>表</w:t>
            </w:r>
            <w:r>
              <w:rPr>
                <w:rFonts w:hint="eastAsia"/>
                <w:b/>
                <w:lang w:val="en-US" w:eastAsia="zh-CN"/>
              </w:rPr>
              <w:t>21</w:t>
            </w:r>
            <w:r>
              <w:rPr>
                <w:b/>
              </w:rPr>
              <w:t xml:space="preserve">    主要污染工序一览表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039"/>
              <w:gridCol w:w="1418"/>
              <w:gridCol w:w="1564"/>
              <w:gridCol w:w="824"/>
              <w:gridCol w:w="150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时期</w:t>
                  </w:r>
                </w:p>
              </w:tc>
              <w:tc>
                <w:tcPr>
                  <w:tcW w:w="619" w:type="pc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污染类型</w:t>
                  </w:r>
                </w:p>
              </w:tc>
              <w:tc>
                <w:tcPr>
                  <w:tcW w:w="845" w:type="pc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污染工序</w:t>
                  </w:r>
                </w:p>
              </w:tc>
              <w:tc>
                <w:tcPr>
                  <w:tcW w:w="932" w:type="pc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污染物</w:t>
                  </w:r>
                </w:p>
              </w:tc>
              <w:tc>
                <w:tcPr>
                  <w:tcW w:w="491" w:type="pc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排放特征</w:t>
                  </w:r>
                </w:p>
              </w:tc>
              <w:tc>
                <w:tcPr>
                  <w:tcW w:w="1763" w:type="pct"/>
                  <w:gridSpan w:val="2"/>
                  <w:vAlign w:val="center"/>
                </w:tcPr>
                <w:p>
                  <w:pPr>
                    <w:pStyle w:val="128"/>
                    <w:spacing w:beforeLines="0" w:afterLines="0" w:line="240" w:lineRule="auto"/>
                    <w:ind w:firstLine="0" w:firstLineChars="0"/>
                    <w:rPr>
                      <w:rFonts w:ascii="Times New Roman"/>
                      <w:sz w:val="18"/>
                      <w:szCs w:val="18"/>
                    </w:rPr>
                  </w:pPr>
                  <w:r>
                    <w:rPr>
                      <w:rFonts w:hint="eastAsia" w:ascii="Times New Roman"/>
                      <w:kern w:val="24"/>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restart"/>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施工期</w:t>
                  </w:r>
                </w:p>
              </w:tc>
              <w:tc>
                <w:tcPr>
                  <w:tcW w:w="619" w:type="pct"/>
                  <w:vAlign w:val="center"/>
                </w:tcPr>
                <w:p>
                  <w:pPr>
                    <w:spacing w:line="300" w:lineRule="exact"/>
                    <w:ind w:firstLine="90" w:firstLineChars="50"/>
                    <w:jc w:val="center"/>
                    <w:rPr>
                      <w:kern w:val="0"/>
                      <w:sz w:val="18"/>
                      <w:szCs w:val="18"/>
                      <w:lang w:bidi="ar"/>
                    </w:rPr>
                  </w:pPr>
                  <w:r>
                    <w:rPr>
                      <w:rFonts w:hAnsi="宋体"/>
                      <w:bCs/>
                      <w:sz w:val="18"/>
                      <w:szCs w:val="18"/>
                    </w:rPr>
                    <w:t>废气</w:t>
                  </w:r>
                </w:p>
              </w:tc>
              <w:tc>
                <w:tcPr>
                  <w:tcW w:w="845" w:type="pct"/>
                  <w:vAlign w:val="center"/>
                </w:tcPr>
                <w:p>
                  <w:pPr>
                    <w:spacing w:line="300" w:lineRule="exact"/>
                    <w:ind w:firstLine="90" w:firstLineChars="50"/>
                    <w:jc w:val="center"/>
                    <w:rPr>
                      <w:sz w:val="18"/>
                      <w:szCs w:val="18"/>
                    </w:rPr>
                  </w:pPr>
                  <w:r>
                    <w:rPr>
                      <w:rFonts w:hAnsi="宋体"/>
                      <w:bCs/>
                      <w:sz w:val="18"/>
                      <w:szCs w:val="18"/>
                    </w:rPr>
                    <w:t>施工场地</w:t>
                  </w:r>
                </w:p>
              </w:tc>
              <w:tc>
                <w:tcPr>
                  <w:tcW w:w="932" w:type="pct"/>
                  <w:vAlign w:val="center"/>
                </w:tcPr>
                <w:p>
                  <w:pPr>
                    <w:spacing w:line="300" w:lineRule="exact"/>
                    <w:ind w:firstLine="90" w:firstLineChars="50"/>
                    <w:jc w:val="center"/>
                    <w:rPr>
                      <w:sz w:val="18"/>
                      <w:szCs w:val="18"/>
                    </w:rPr>
                  </w:pPr>
                  <w:r>
                    <w:rPr>
                      <w:rFonts w:hAnsi="宋体"/>
                      <w:bCs/>
                      <w:sz w:val="18"/>
                      <w:szCs w:val="18"/>
                    </w:rPr>
                    <w:t>粉尘</w:t>
                  </w:r>
                </w:p>
              </w:tc>
              <w:tc>
                <w:tcPr>
                  <w:tcW w:w="491" w:type="pct"/>
                  <w:vAlign w:val="center"/>
                </w:tcPr>
                <w:p>
                  <w:pPr>
                    <w:spacing w:line="300" w:lineRule="exact"/>
                    <w:ind w:firstLine="90" w:firstLineChars="50"/>
                    <w:jc w:val="center"/>
                    <w:rPr>
                      <w:sz w:val="18"/>
                      <w:szCs w:val="18"/>
                    </w:rPr>
                  </w:pPr>
                  <w:r>
                    <w:rPr>
                      <w:rFonts w:hAnsi="宋体"/>
                      <w:bCs/>
                      <w:sz w:val="18"/>
                      <w:szCs w:val="18"/>
                    </w:rPr>
                    <w:t>连续</w:t>
                  </w:r>
                </w:p>
              </w:tc>
              <w:tc>
                <w:tcPr>
                  <w:tcW w:w="1763" w:type="pct"/>
                  <w:gridSpan w:val="2"/>
                  <w:vAlign w:val="center"/>
                </w:tcPr>
                <w:p>
                  <w:pPr>
                    <w:spacing w:line="240" w:lineRule="atLeast"/>
                    <w:ind w:firstLine="0" w:firstLineChars="0"/>
                    <w:jc w:val="both"/>
                    <w:rPr>
                      <w:sz w:val="18"/>
                      <w:szCs w:val="18"/>
                    </w:rPr>
                  </w:pPr>
                  <w:r>
                    <w:rPr>
                      <w:sz w:val="18"/>
                      <w:szCs w:val="18"/>
                    </w:rPr>
                    <w:t>裸露地面采取绿化、遮盖、喷洒抑尘剂</w:t>
                  </w:r>
                  <w:r>
                    <w:rPr>
                      <w:rFonts w:hint="eastAsia"/>
                      <w:sz w:val="18"/>
                      <w:szCs w:val="18"/>
                    </w:rPr>
                    <w:t>；车辆冲洗设施；洒水防尘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Align w:val="center"/>
                </w:tcPr>
                <w:p>
                  <w:pPr>
                    <w:spacing w:line="300" w:lineRule="exact"/>
                    <w:ind w:firstLine="90" w:firstLineChars="50"/>
                    <w:jc w:val="center"/>
                    <w:rPr>
                      <w:kern w:val="0"/>
                      <w:sz w:val="18"/>
                      <w:szCs w:val="18"/>
                      <w:lang w:bidi="ar"/>
                    </w:rPr>
                  </w:pPr>
                  <w:r>
                    <w:rPr>
                      <w:rFonts w:hAnsi="宋体"/>
                      <w:bCs/>
                      <w:sz w:val="18"/>
                      <w:szCs w:val="18"/>
                    </w:rPr>
                    <w:t>废水</w:t>
                  </w:r>
                </w:p>
              </w:tc>
              <w:tc>
                <w:tcPr>
                  <w:tcW w:w="845" w:type="pct"/>
                  <w:vAlign w:val="center"/>
                </w:tcPr>
                <w:p>
                  <w:pPr>
                    <w:spacing w:line="300" w:lineRule="exact"/>
                    <w:ind w:firstLine="90" w:firstLineChars="50"/>
                    <w:jc w:val="center"/>
                    <w:rPr>
                      <w:sz w:val="18"/>
                      <w:szCs w:val="18"/>
                    </w:rPr>
                  </w:pPr>
                  <w:r>
                    <w:rPr>
                      <w:rFonts w:hAnsi="宋体"/>
                      <w:bCs/>
                      <w:sz w:val="18"/>
                      <w:szCs w:val="18"/>
                    </w:rPr>
                    <w:t>施工人员生活</w:t>
                  </w:r>
                </w:p>
              </w:tc>
              <w:tc>
                <w:tcPr>
                  <w:tcW w:w="932" w:type="pct"/>
                  <w:vAlign w:val="center"/>
                </w:tcPr>
                <w:p>
                  <w:pPr>
                    <w:spacing w:line="300" w:lineRule="exact"/>
                    <w:ind w:firstLine="0" w:firstLineChars="0"/>
                    <w:jc w:val="center"/>
                    <w:rPr>
                      <w:sz w:val="18"/>
                      <w:szCs w:val="18"/>
                    </w:rPr>
                  </w:pPr>
                  <w:r>
                    <w:rPr>
                      <w:bCs/>
                      <w:sz w:val="18"/>
                      <w:szCs w:val="18"/>
                    </w:rPr>
                    <w:t>COD</w:t>
                  </w:r>
                  <w:r>
                    <w:rPr>
                      <w:rFonts w:hAnsi="宋体"/>
                      <w:bCs/>
                      <w:sz w:val="18"/>
                      <w:szCs w:val="18"/>
                    </w:rPr>
                    <w:t>、</w:t>
                  </w:r>
                  <w:r>
                    <w:rPr>
                      <w:bCs/>
                      <w:sz w:val="18"/>
                      <w:szCs w:val="18"/>
                    </w:rPr>
                    <w:t>BOD</w:t>
                  </w:r>
                  <w:r>
                    <w:rPr>
                      <w:rFonts w:hAnsi="宋体"/>
                      <w:bCs/>
                      <w:sz w:val="18"/>
                      <w:szCs w:val="18"/>
                    </w:rPr>
                    <w:t>、</w:t>
                  </w:r>
                  <w:r>
                    <w:rPr>
                      <w:bCs/>
                      <w:sz w:val="18"/>
                      <w:szCs w:val="18"/>
                    </w:rPr>
                    <w:t>SS</w:t>
                  </w:r>
                  <w:r>
                    <w:rPr>
                      <w:rFonts w:hAnsi="宋体"/>
                      <w:bCs/>
                      <w:sz w:val="18"/>
                      <w:szCs w:val="18"/>
                    </w:rPr>
                    <w:t>、</w:t>
                  </w:r>
                  <w:r>
                    <w:rPr>
                      <w:bCs/>
                      <w:sz w:val="18"/>
                      <w:szCs w:val="18"/>
                    </w:rPr>
                    <w:t>NH</w:t>
                  </w:r>
                  <w:r>
                    <w:rPr>
                      <w:bCs/>
                      <w:sz w:val="18"/>
                      <w:szCs w:val="18"/>
                      <w:vertAlign w:val="subscript"/>
                    </w:rPr>
                    <w:t>3</w:t>
                  </w:r>
                  <w:r>
                    <w:rPr>
                      <w:bCs/>
                      <w:sz w:val="18"/>
                      <w:szCs w:val="18"/>
                    </w:rPr>
                    <w:t>-N</w:t>
                  </w:r>
                  <w:r>
                    <w:rPr>
                      <w:rFonts w:hAnsi="宋体"/>
                      <w:bCs/>
                      <w:sz w:val="18"/>
                      <w:szCs w:val="18"/>
                    </w:rPr>
                    <w:t>等</w:t>
                  </w:r>
                </w:p>
              </w:tc>
              <w:tc>
                <w:tcPr>
                  <w:tcW w:w="491" w:type="pct"/>
                  <w:vAlign w:val="center"/>
                </w:tcPr>
                <w:p>
                  <w:pPr>
                    <w:spacing w:line="300" w:lineRule="exact"/>
                    <w:ind w:firstLine="90" w:firstLineChars="50"/>
                    <w:jc w:val="center"/>
                    <w:rPr>
                      <w:sz w:val="18"/>
                      <w:szCs w:val="18"/>
                    </w:rPr>
                  </w:pPr>
                  <w:r>
                    <w:rPr>
                      <w:rFonts w:hAnsi="宋体"/>
                      <w:sz w:val="18"/>
                      <w:szCs w:val="18"/>
                    </w:rPr>
                    <w:t>间歇</w:t>
                  </w:r>
                </w:p>
              </w:tc>
              <w:tc>
                <w:tcPr>
                  <w:tcW w:w="1763" w:type="pct"/>
                  <w:gridSpan w:val="2"/>
                  <w:vAlign w:val="center"/>
                </w:tcPr>
                <w:p>
                  <w:pPr>
                    <w:spacing w:line="240" w:lineRule="atLeast"/>
                    <w:ind w:firstLine="0" w:firstLineChars="0"/>
                    <w:jc w:val="both"/>
                    <w:rPr>
                      <w:sz w:val="18"/>
                      <w:szCs w:val="18"/>
                    </w:rPr>
                  </w:pPr>
                  <w:r>
                    <w:rPr>
                      <w:sz w:val="18"/>
                      <w:szCs w:val="18"/>
                    </w:rPr>
                    <w:t>清洗处设置沉淀池，使排放的废水先经沉淀池沉淀后再回收用于场地洒水降尘</w:t>
                  </w:r>
                  <w:r>
                    <w:rPr>
                      <w:rFonts w:hint="eastAsia"/>
                      <w:sz w:val="18"/>
                      <w:szCs w:val="18"/>
                    </w:rPr>
                    <w:t>，生活污水进入厂区原有污水管道。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Align w:val="center"/>
                </w:tcPr>
                <w:p>
                  <w:pPr>
                    <w:spacing w:line="300" w:lineRule="exact"/>
                    <w:ind w:firstLine="90" w:firstLineChars="50"/>
                    <w:jc w:val="center"/>
                    <w:rPr>
                      <w:rFonts w:hAnsi="宋体"/>
                      <w:bCs/>
                      <w:sz w:val="18"/>
                      <w:szCs w:val="18"/>
                    </w:rPr>
                  </w:pPr>
                  <w:r>
                    <w:rPr>
                      <w:rFonts w:hint="eastAsia" w:hAnsi="宋体"/>
                      <w:bCs/>
                      <w:sz w:val="18"/>
                      <w:szCs w:val="18"/>
                    </w:rPr>
                    <w:t>噪声</w:t>
                  </w:r>
                </w:p>
              </w:tc>
              <w:tc>
                <w:tcPr>
                  <w:tcW w:w="845" w:type="pct"/>
                  <w:vAlign w:val="center"/>
                </w:tcPr>
                <w:p>
                  <w:pPr>
                    <w:spacing w:line="300" w:lineRule="exact"/>
                    <w:ind w:firstLine="90" w:firstLineChars="50"/>
                    <w:jc w:val="center"/>
                    <w:rPr>
                      <w:rFonts w:hAnsi="宋体"/>
                      <w:bCs/>
                      <w:sz w:val="18"/>
                      <w:szCs w:val="18"/>
                    </w:rPr>
                  </w:pPr>
                  <w:r>
                    <w:rPr>
                      <w:rFonts w:hAnsi="宋体"/>
                      <w:bCs/>
                      <w:sz w:val="18"/>
                      <w:szCs w:val="18"/>
                    </w:rPr>
                    <w:t>施工作业机械噪声、运输车辆噪声</w:t>
                  </w:r>
                </w:p>
              </w:tc>
              <w:tc>
                <w:tcPr>
                  <w:tcW w:w="932" w:type="pct"/>
                  <w:vAlign w:val="center"/>
                </w:tcPr>
                <w:p>
                  <w:pPr>
                    <w:spacing w:line="300" w:lineRule="exact"/>
                    <w:ind w:firstLine="0" w:firstLineChars="0"/>
                    <w:jc w:val="center"/>
                    <w:rPr>
                      <w:bCs/>
                      <w:sz w:val="18"/>
                      <w:szCs w:val="18"/>
                    </w:rPr>
                  </w:pPr>
                  <w:r>
                    <w:rPr>
                      <w:bCs/>
                      <w:sz w:val="18"/>
                      <w:szCs w:val="18"/>
                    </w:rPr>
                    <w:t>A声级</w:t>
                  </w:r>
                </w:p>
              </w:tc>
              <w:tc>
                <w:tcPr>
                  <w:tcW w:w="491" w:type="pct"/>
                  <w:vAlign w:val="center"/>
                </w:tcPr>
                <w:p>
                  <w:pPr>
                    <w:spacing w:line="300" w:lineRule="exact"/>
                    <w:ind w:firstLine="90" w:firstLineChars="50"/>
                    <w:jc w:val="center"/>
                    <w:rPr>
                      <w:rFonts w:hAnsi="宋体"/>
                      <w:sz w:val="18"/>
                      <w:szCs w:val="18"/>
                    </w:rPr>
                  </w:pPr>
                  <w:r>
                    <w:rPr>
                      <w:rFonts w:hAnsi="宋体"/>
                      <w:bCs/>
                      <w:sz w:val="18"/>
                      <w:szCs w:val="18"/>
                    </w:rPr>
                    <w:t>连续</w:t>
                  </w:r>
                </w:p>
              </w:tc>
              <w:tc>
                <w:tcPr>
                  <w:tcW w:w="1763" w:type="pct"/>
                  <w:gridSpan w:val="2"/>
                  <w:vAlign w:val="center"/>
                </w:tcPr>
                <w:p>
                  <w:pPr>
                    <w:spacing w:line="240" w:lineRule="atLeast"/>
                    <w:ind w:firstLine="0" w:firstLineChars="0"/>
                    <w:jc w:val="both"/>
                    <w:rPr>
                      <w:sz w:val="18"/>
                      <w:szCs w:val="18"/>
                    </w:rPr>
                  </w:pPr>
                  <w:r>
                    <w:rPr>
                      <w:rFonts w:hint="eastAsia"/>
                      <w:sz w:val="18"/>
                      <w:szCs w:val="18"/>
                    </w:rPr>
                    <w:t>使用低噪声设备，固定设备基础减震，设置围挡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restart"/>
                  <w:vAlign w:val="center"/>
                </w:tcPr>
                <w:p>
                  <w:pPr>
                    <w:spacing w:line="300" w:lineRule="exact"/>
                    <w:ind w:firstLine="90" w:firstLineChars="50"/>
                    <w:jc w:val="center"/>
                    <w:rPr>
                      <w:kern w:val="0"/>
                      <w:sz w:val="18"/>
                      <w:szCs w:val="18"/>
                      <w:lang w:bidi="ar"/>
                    </w:rPr>
                  </w:pPr>
                  <w:r>
                    <w:rPr>
                      <w:rFonts w:hAnsi="宋体"/>
                      <w:bCs/>
                      <w:sz w:val="18"/>
                      <w:szCs w:val="18"/>
                    </w:rPr>
                    <w:t>固废</w:t>
                  </w:r>
                </w:p>
              </w:tc>
              <w:tc>
                <w:tcPr>
                  <w:tcW w:w="845" w:type="pct"/>
                  <w:vAlign w:val="center"/>
                </w:tcPr>
                <w:p>
                  <w:pPr>
                    <w:spacing w:line="300" w:lineRule="exact"/>
                    <w:ind w:firstLine="90" w:firstLineChars="50"/>
                    <w:jc w:val="center"/>
                    <w:rPr>
                      <w:sz w:val="18"/>
                      <w:szCs w:val="18"/>
                    </w:rPr>
                  </w:pPr>
                  <w:r>
                    <w:rPr>
                      <w:rFonts w:hAnsi="宋体"/>
                      <w:bCs/>
                      <w:sz w:val="18"/>
                      <w:szCs w:val="18"/>
                    </w:rPr>
                    <w:t>建筑施工</w:t>
                  </w:r>
                </w:p>
              </w:tc>
              <w:tc>
                <w:tcPr>
                  <w:tcW w:w="932" w:type="pct"/>
                  <w:vAlign w:val="center"/>
                </w:tcPr>
                <w:p>
                  <w:pPr>
                    <w:spacing w:line="300" w:lineRule="exact"/>
                    <w:ind w:firstLine="90" w:firstLineChars="50"/>
                    <w:jc w:val="center"/>
                    <w:rPr>
                      <w:sz w:val="18"/>
                      <w:szCs w:val="18"/>
                    </w:rPr>
                  </w:pPr>
                  <w:r>
                    <w:rPr>
                      <w:rFonts w:hAnsi="宋体"/>
                      <w:bCs/>
                      <w:sz w:val="18"/>
                      <w:szCs w:val="18"/>
                    </w:rPr>
                    <w:t>建筑垃圾</w:t>
                  </w:r>
                </w:p>
              </w:tc>
              <w:tc>
                <w:tcPr>
                  <w:tcW w:w="491" w:type="pct"/>
                  <w:vAlign w:val="center"/>
                </w:tcPr>
                <w:p>
                  <w:pPr>
                    <w:spacing w:line="300" w:lineRule="exact"/>
                    <w:ind w:firstLine="90" w:firstLineChars="50"/>
                    <w:jc w:val="center"/>
                    <w:rPr>
                      <w:sz w:val="18"/>
                      <w:szCs w:val="18"/>
                    </w:rPr>
                  </w:pPr>
                  <w:r>
                    <w:rPr>
                      <w:rFonts w:hAnsi="宋体"/>
                      <w:sz w:val="18"/>
                      <w:szCs w:val="18"/>
                    </w:rPr>
                    <w:t>间歇</w:t>
                  </w:r>
                </w:p>
              </w:tc>
              <w:tc>
                <w:tcPr>
                  <w:tcW w:w="1763" w:type="pct"/>
                  <w:gridSpan w:val="2"/>
                  <w:vAlign w:val="center"/>
                </w:tcPr>
                <w:p>
                  <w:pPr>
                    <w:spacing w:line="240" w:lineRule="atLeast"/>
                    <w:ind w:firstLine="0" w:firstLineChars="0"/>
                    <w:jc w:val="both"/>
                    <w:rPr>
                      <w:sz w:val="18"/>
                      <w:szCs w:val="18"/>
                    </w:rPr>
                  </w:pPr>
                  <w:r>
                    <w:rPr>
                      <w:rFonts w:hint="eastAsia"/>
                      <w:sz w:val="18"/>
                      <w:szCs w:val="18"/>
                    </w:rPr>
                    <w:t>清运到城市建设监管部门指定地点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continue"/>
                  <w:vAlign w:val="center"/>
                </w:tcPr>
                <w:p>
                  <w:pPr>
                    <w:spacing w:line="300" w:lineRule="exact"/>
                    <w:ind w:firstLine="360"/>
                    <w:jc w:val="center"/>
                    <w:rPr>
                      <w:kern w:val="0"/>
                      <w:sz w:val="18"/>
                      <w:szCs w:val="18"/>
                      <w:lang w:bidi="ar"/>
                    </w:rPr>
                  </w:pPr>
                </w:p>
              </w:tc>
              <w:tc>
                <w:tcPr>
                  <w:tcW w:w="845" w:type="pct"/>
                  <w:vAlign w:val="center"/>
                </w:tcPr>
                <w:p>
                  <w:pPr>
                    <w:spacing w:line="300" w:lineRule="exact"/>
                    <w:ind w:firstLine="90" w:firstLineChars="50"/>
                    <w:jc w:val="center"/>
                    <w:rPr>
                      <w:sz w:val="18"/>
                      <w:szCs w:val="18"/>
                    </w:rPr>
                  </w:pPr>
                  <w:r>
                    <w:rPr>
                      <w:rFonts w:hAnsi="宋体"/>
                      <w:bCs/>
                      <w:sz w:val="18"/>
                      <w:szCs w:val="18"/>
                    </w:rPr>
                    <w:t>施工人员生活</w:t>
                  </w:r>
                </w:p>
              </w:tc>
              <w:tc>
                <w:tcPr>
                  <w:tcW w:w="932" w:type="pct"/>
                  <w:vAlign w:val="center"/>
                </w:tcPr>
                <w:p>
                  <w:pPr>
                    <w:spacing w:line="300" w:lineRule="exact"/>
                    <w:ind w:firstLine="90" w:firstLineChars="50"/>
                    <w:jc w:val="center"/>
                    <w:rPr>
                      <w:sz w:val="18"/>
                      <w:szCs w:val="18"/>
                    </w:rPr>
                  </w:pPr>
                  <w:r>
                    <w:rPr>
                      <w:rFonts w:hAnsi="宋体"/>
                      <w:bCs/>
                      <w:sz w:val="18"/>
                      <w:szCs w:val="18"/>
                    </w:rPr>
                    <w:t>生活垃圾</w:t>
                  </w:r>
                </w:p>
              </w:tc>
              <w:tc>
                <w:tcPr>
                  <w:tcW w:w="491" w:type="pct"/>
                  <w:vAlign w:val="center"/>
                </w:tcPr>
                <w:p>
                  <w:pPr>
                    <w:spacing w:line="300" w:lineRule="exact"/>
                    <w:ind w:firstLine="90" w:firstLineChars="50"/>
                    <w:jc w:val="center"/>
                    <w:rPr>
                      <w:sz w:val="18"/>
                      <w:szCs w:val="18"/>
                    </w:rPr>
                  </w:pPr>
                  <w:r>
                    <w:rPr>
                      <w:rFonts w:hAnsi="宋体"/>
                      <w:sz w:val="18"/>
                      <w:szCs w:val="18"/>
                    </w:rPr>
                    <w:t>间歇</w:t>
                  </w:r>
                </w:p>
              </w:tc>
              <w:tc>
                <w:tcPr>
                  <w:tcW w:w="1763" w:type="pct"/>
                  <w:gridSpan w:val="2"/>
                  <w:vAlign w:val="center"/>
                </w:tcPr>
                <w:p>
                  <w:pPr>
                    <w:spacing w:line="240" w:lineRule="atLeast"/>
                    <w:ind w:firstLine="0" w:firstLineChars="0"/>
                    <w:jc w:val="both"/>
                    <w:rPr>
                      <w:sz w:val="18"/>
                      <w:szCs w:val="18"/>
                    </w:rPr>
                  </w:pPr>
                  <w:r>
                    <w:rPr>
                      <w:rFonts w:hint="eastAsia"/>
                      <w:sz w:val="18"/>
                      <w:szCs w:val="18"/>
                    </w:rPr>
                    <w:t>收集后交由环卫部门处理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restart"/>
                  <w:vAlign w:val="center"/>
                </w:tcPr>
                <w:p>
                  <w:pPr>
                    <w:pStyle w:val="128"/>
                    <w:spacing w:beforeLines="0" w:afterLines="0" w:line="240" w:lineRule="auto"/>
                    <w:ind w:firstLine="0" w:firstLineChars="0"/>
                    <w:rPr>
                      <w:rFonts w:ascii="Times New Roman"/>
                      <w:sz w:val="18"/>
                      <w:szCs w:val="18"/>
                    </w:rPr>
                  </w:pPr>
                  <w:r>
                    <w:rPr>
                      <w:rFonts w:hAnsi="宋体"/>
                      <w:sz w:val="18"/>
                      <w:szCs w:val="18"/>
                    </w:rPr>
                    <w:t>营运期</w:t>
                  </w:r>
                </w:p>
              </w:tc>
              <w:tc>
                <w:tcPr>
                  <w:tcW w:w="619" w:type="pct"/>
                  <w:vMerge w:val="restar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废气</w:t>
                  </w:r>
                </w:p>
              </w:tc>
              <w:tc>
                <w:tcPr>
                  <w:tcW w:w="845" w:type="pct"/>
                  <w:vAlign w:val="center"/>
                </w:tcPr>
                <w:p>
                  <w:pPr>
                    <w:pStyle w:val="128"/>
                    <w:spacing w:beforeLines="0" w:afterLines="0" w:line="240" w:lineRule="auto"/>
                    <w:ind w:firstLine="0" w:firstLineChars="0"/>
                    <w:rPr>
                      <w:rFonts w:ascii="Times New Roman"/>
                      <w:sz w:val="18"/>
                      <w:szCs w:val="18"/>
                    </w:rPr>
                  </w:pPr>
                  <w:r>
                    <w:rPr>
                      <w:rFonts w:hint="eastAsia"/>
                      <w:sz w:val="18"/>
                      <w:szCs w:val="18"/>
                    </w:rPr>
                    <w:t>煤气锅炉</w:t>
                  </w:r>
                </w:p>
              </w:tc>
              <w:tc>
                <w:tcPr>
                  <w:tcW w:w="932" w:type="pc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颗粒物</w:t>
                  </w:r>
                  <w:r>
                    <w:rPr>
                      <w:rFonts w:hint="eastAsia" w:ascii="Times New Roman"/>
                      <w:sz w:val="18"/>
                      <w:szCs w:val="18"/>
                    </w:rPr>
                    <w:t>、SO</w:t>
                  </w:r>
                  <w:r>
                    <w:rPr>
                      <w:rFonts w:hint="eastAsia" w:ascii="Times New Roman"/>
                      <w:sz w:val="18"/>
                      <w:szCs w:val="18"/>
                      <w:vertAlign w:val="subscript"/>
                    </w:rPr>
                    <w:t>2</w:t>
                  </w:r>
                  <w:r>
                    <w:rPr>
                      <w:rFonts w:hint="eastAsia" w:ascii="Times New Roman"/>
                      <w:sz w:val="18"/>
                      <w:szCs w:val="18"/>
                    </w:rPr>
                    <w:t>、NOx、</w:t>
                  </w:r>
                  <w:r>
                    <w:rPr>
                      <w:rFonts w:ascii="Times New Roman"/>
                      <w:szCs w:val="21"/>
                    </w:rPr>
                    <w:t>NH</w:t>
                  </w:r>
                  <w:r>
                    <w:rPr>
                      <w:rFonts w:ascii="Times New Roman"/>
                      <w:szCs w:val="21"/>
                      <w:vertAlign w:val="subscript"/>
                    </w:rPr>
                    <w:t>3</w:t>
                  </w:r>
                </w:p>
              </w:tc>
              <w:tc>
                <w:tcPr>
                  <w:tcW w:w="491" w:type="pct"/>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连续</w:t>
                  </w:r>
                </w:p>
              </w:tc>
              <w:tc>
                <w:tcPr>
                  <w:tcW w:w="1763" w:type="pct"/>
                  <w:gridSpan w:val="2"/>
                  <w:vAlign w:val="center"/>
                </w:tcPr>
                <w:p>
                  <w:pPr>
                    <w:pStyle w:val="128"/>
                    <w:spacing w:beforeLines="0" w:afterLines="0" w:line="240" w:lineRule="auto"/>
                    <w:ind w:firstLine="0" w:firstLineChars="0"/>
                    <w:rPr>
                      <w:rFonts w:ascii="Times New Roman"/>
                      <w:sz w:val="18"/>
                      <w:szCs w:val="18"/>
                    </w:rPr>
                  </w:pPr>
                  <w:r>
                    <w:rPr>
                      <w:rFonts w:hint="eastAsia"/>
                      <w:kern w:val="2"/>
                      <w:sz w:val="18"/>
                      <w:szCs w:val="18"/>
                    </w:rPr>
                    <w:t>低氮燃烧器+SCR脱硝+干法脱硫+布袋除尘器+100m排气筒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hAnsi="宋体"/>
                      <w:sz w:val="18"/>
                      <w:szCs w:val="18"/>
                    </w:rPr>
                  </w:pPr>
                </w:p>
              </w:tc>
              <w:tc>
                <w:tcPr>
                  <w:tcW w:w="619" w:type="pct"/>
                  <w:vMerge w:val="continue"/>
                  <w:vAlign w:val="center"/>
                </w:tcPr>
                <w:p>
                  <w:pPr>
                    <w:pStyle w:val="128"/>
                    <w:spacing w:beforeLines="0" w:afterLines="0" w:line="240" w:lineRule="auto"/>
                    <w:ind w:firstLine="0" w:firstLineChars="0"/>
                    <w:rPr>
                      <w:rFonts w:ascii="Times New Roman"/>
                      <w:sz w:val="18"/>
                      <w:szCs w:val="18"/>
                    </w:rPr>
                  </w:pPr>
                </w:p>
              </w:tc>
              <w:tc>
                <w:tcPr>
                  <w:tcW w:w="845" w:type="pct"/>
                  <w:vAlign w:val="center"/>
                </w:tcPr>
                <w:p>
                  <w:pPr>
                    <w:pStyle w:val="128"/>
                    <w:spacing w:beforeLines="0" w:afterLines="0" w:line="240" w:lineRule="auto"/>
                    <w:ind w:firstLine="0" w:firstLineChars="0"/>
                    <w:rPr>
                      <w:sz w:val="18"/>
                      <w:szCs w:val="18"/>
                    </w:rPr>
                  </w:pPr>
                  <w:r>
                    <w:rPr>
                      <w:rFonts w:hint="eastAsia"/>
                      <w:sz w:val="18"/>
                      <w:szCs w:val="18"/>
                    </w:rPr>
                    <w:t>氨水罐</w:t>
                  </w:r>
                </w:p>
              </w:tc>
              <w:tc>
                <w:tcPr>
                  <w:tcW w:w="932" w:type="pct"/>
                  <w:vAlign w:val="center"/>
                </w:tcPr>
                <w:p>
                  <w:pPr>
                    <w:pStyle w:val="128"/>
                    <w:spacing w:beforeLines="0" w:afterLines="0" w:line="240" w:lineRule="auto"/>
                    <w:ind w:firstLine="0" w:firstLineChars="0"/>
                    <w:rPr>
                      <w:rFonts w:ascii="Times New Roman"/>
                      <w:sz w:val="18"/>
                      <w:szCs w:val="18"/>
                    </w:rPr>
                  </w:pPr>
                  <w:r>
                    <w:rPr>
                      <w:rFonts w:ascii="Times New Roman"/>
                      <w:szCs w:val="21"/>
                    </w:rPr>
                    <w:t>NH</w:t>
                  </w:r>
                  <w:r>
                    <w:rPr>
                      <w:rFonts w:ascii="Times New Roman"/>
                      <w:szCs w:val="21"/>
                      <w:vertAlign w:val="subscript"/>
                    </w:rPr>
                    <w:t>3</w:t>
                  </w:r>
                </w:p>
              </w:tc>
              <w:tc>
                <w:tcPr>
                  <w:tcW w:w="491" w:type="pct"/>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连续</w:t>
                  </w:r>
                </w:p>
              </w:tc>
              <w:tc>
                <w:tcPr>
                  <w:tcW w:w="1763" w:type="pct"/>
                  <w:gridSpan w:val="2"/>
                  <w:vAlign w:val="center"/>
                </w:tcPr>
                <w:p>
                  <w:pPr>
                    <w:pStyle w:val="128"/>
                    <w:spacing w:beforeLines="0" w:afterLines="0" w:line="240" w:lineRule="auto"/>
                    <w:ind w:firstLine="0" w:firstLineChars="0"/>
                    <w:rPr>
                      <w:kern w:val="2"/>
                      <w:sz w:val="18"/>
                      <w:szCs w:val="18"/>
                    </w:rPr>
                  </w:pPr>
                  <w:r>
                    <w:rPr>
                      <w:rFonts w:hint="eastAsia"/>
                      <w:kern w:val="2"/>
                      <w:sz w:val="18"/>
                      <w:szCs w:val="18"/>
                    </w:rPr>
                    <w:t>氨水罐、管路均采用全密闭工艺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hAnsi="宋体"/>
                      <w:sz w:val="18"/>
                      <w:szCs w:val="18"/>
                    </w:rPr>
                  </w:pPr>
                </w:p>
              </w:tc>
              <w:tc>
                <w:tcPr>
                  <w:tcW w:w="619" w:type="pct"/>
                  <w:vMerge w:val="continue"/>
                  <w:vAlign w:val="center"/>
                </w:tcPr>
                <w:p>
                  <w:pPr>
                    <w:pStyle w:val="128"/>
                    <w:spacing w:beforeLines="0" w:afterLines="0" w:line="240" w:lineRule="auto"/>
                    <w:ind w:firstLine="0" w:firstLineChars="0"/>
                    <w:rPr>
                      <w:rFonts w:ascii="Times New Roman"/>
                      <w:sz w:val="18"/>
                      <w:szCs w:val="18"/>
                    </w:rPr>
                  </w:pPr>
                </w:p>
              </w:tc>
              <w:tc>
                <w:tcPr>
                  <w:tcW w:w="845" w:type="pct"/>
                  <w:vAlign w:val="center"/>
                </w:tcPr>
                <w:p>
                  <w:pPr>
                    <w:pStyle w:val="128"/>
                    <w:spacing w:beforeLines="0" w:afterLines="0" w:line="240" w:lineRule="auto"/>
                    <w:ind w:firstLine="0" w:firstLineChars="0"/>
                    <w:rPr>
                      <w:rFonts w:hint="default" w:eastAsia="宋体"/>
                      <w:sz w:val="18"/>
                      <w:szCs w:val="18"/>
                      <w:lang w:val="en-US" w:eastAsia="zh-CN"/>
                    </w:rPr>
                  </w:pPr>
                  <w:r>
                    <w:rPr>
                      <w:rFonts w:hint="eastAsia"/>
                      <w:sz w:val="18"/>
                      <w:szCs w:val="18"/>
                      <w:lang w:val="en-US" w:eastAsia="zh-CN"/>
                    </w:rPr>
                    <w:t>酸罐</w:t>
                  </w:r>
                </w:p>
              </w:tc>
              <w:tc>
                <w:tcPr>
                  <w:tcW w:w="932" w:type="pct"/>
                  <w:vAlign w:val="center"/>
                </w:tcPr>
                <w:p>
                  <w:pPr>
                    <w:pStyle w:val="128"/>
                    <w:spacing w:beforeLines="0" w:afterLines="0" w:line="240" w:lineRule="auto"/>
                    <w:ind w:firstLine="0" w:firstLineChars="0"/>
                    <w:rPr>
                      <w:rFonts w:hint="eastAsia" w:ascii="Times New Roman" w:eastAsia="宋体"/>
                      <w:szCs w:val="21"/>
                      <w:lang w:val="en-US" w:eastAsia="zh-CN"/>
                    </w:rPr>
                  </w:pPr>
                  <w:r>
                    <w:rPr>
                      <w:rFonts w:hint="eastAsia" w:ascii="Times New Roman"/>
                      <w:szCs w:val="21"/>
                      <w:lang w:val="en-US" w:eastAsia="zh-CN"/>
                    </w:rPr>
                    <w:t>HCl</w:t>
                  </w:r>
                </w:p>
              </w:tc>
              <w:tc>
                <w:tcPr>
                  <w:tcW w:w="491" w:type="pct"/>
                  <w:vAlign w:val="center"/>
                </w:tcPr>
                <w:p>
                  <w:pPr>
                    <w:pStyle w:val="128"/>
                    <w:spacing w:beforeLines="0" w:afterLines="0" w:line="240" w:lineRule="auto"/>
                    <w:ind w:firstLine="0" w:firstLineChars="0"/>
                    <w:rPr>
                      <w:rFonts w:hint="eastAsia" w:ascii="Times New Roman"/>
                      <w:sz w:val="18"/>
                      <w:szCs w:val="18"/>
                    </w:rPr>
                  </w:pPr>
                  <w:r>
                    <w:rPr>
                      <w:rFonts w:hint="eastAsia" w:ascii="Times New Roman"/>
                      <w:sz w:val="18"/>
                      <w:szCs w:val="18"/>
                    </w:rPr>
                    <w:t>连续</w:t>
                  </w:r>
                </w:p>
              </w:tc>
              <w:tc>
                <w:tcPr>
                  <w:tcW w:w="1763" w:type="pct"/>
                  <w:gridSpan w:val="2"/>
                  <w:vAlign w:val="center"/>
                </w:tcPr>
                <w:p>
                  <w:pPr>
                    <w:pStyle w:val="128"/>
                    <w:spacing w:beforeLines="0" w:afterLines="0" w:line="240" w:lineRule="auto"/>
                    <w:ind w:firstLine="0" w:firstLineChars="0"/>
                    <w:rPr>
                      <w:rFonts w:hint="eastAsia"/>
                      <w:kern w:val="2"/>
                      <w:sz w:val="18"/>
                      <w:szCs w:val="18"/>
                    </w:rPr>
                  </w:pPr>
                  <w:r>
                    <w:rPr>
                      <w:rFonts w:hint="eastAsia"/>
                      <w:sz w:val="18"/>
                      <w:szCs w:val="18"/>
                      <w:lang w:val="en-US" w:eastAsia="zh-CN"/>
                    </w:rPr>
                    <w:t>密闭酸罐，</w:t>
                  </w:r>
                  <w:r>
                    <w:rPr>
                      <w:rFonts w:hint="eastAsia"/>
                      <w:sz w:val="18"/>
                      <w:szCs w:val="18"/>
                    </w:rPr>
                    <w:t>管路均采用全密闭工艺</w:t>
                  </w:r>
                  <w:r>
                    <w:rPr>
                      <w:rFonts w:hint="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47" w:type="pct"/>
                  <w:vMerge w:val="continue"/>
                  <w:vAlign w:val="center"/>
                </w:tcPr>
                <w:p>
                  <w:pPr>
                    <w:pStyle w:val="128"/>
                    <w:spacing w:beforeLines="0" w:afterLines="0" w:line="240" w:lineRule="auto"/>
                    <w:ind w:firstLine="0" w:firstLineChars="0"/>
                    <w:rPr>
                      <w:rFonts w:hAnsi="宋体"/>
                      <w:sz w:val="18"/>
                      <w:szCs w:val="18"/>
                    </w:rPr>
                  </w:pPr>
                </w:p>
              </w:tc>
              <w:tc>
                <w:tcPr>
                  <w:tcW w:w="619" w:type="pct"/>
                  <w:vMerge w:val="continue"/>
                  <w:vAlign w:val="center"/>
                </w:tcPr>
                <w:p>
                  <w:pPr>
                    <w:pStyle w:val="128"/>
                    <w:spacing w:beforeLines="0" w:afterLines="0" w:line="240" w:lineRule="auto"/>
                    <w:ind w:firstLine="0" w:firstLineChars="0"/>
                    <w:rPr>
                      <w:rFonts w:ascii="Times New Roman"/>
                      <w:sz w:val="18"/>
                      <w:szCs w:val="18"/>
                    </w:rPr>
                  </w:pPr>
                </w:p>
              </w:tc>
              <w:tc>
                <w:tcPr>
                  <w:tcW w:w="845" w:type="pct"/>
                  <w:vAlign w:val="center"/>
                </w:tcPr>
                <w:p>
                  <w:pPr>
                    <w:pStyle w:val="128"/>
                    <w:spacing w:beforeLines="0" w:afterLines="0" w:line="240" w:lineRule="auto"/>
                    <w:ind w:firstLine="0" w:firstLineChars="0"/>
                    <w:rPr>
                      <w:rFonts w:hint="eastAsia"/>
                      <w:sz w:val="18"/>
                      <w:szCs w:val="18"/>
                      <w:lang w:val="en-US" w:eastAsia="zh-CN"/>
                    </w:rPr>
                  </w:pPr>
                  <w:r>
                    <w:rPr>
                      <w:rFonts w:hint="eastAsia"/>
                      <w:sz w:val="18"/>
                      <w:szCs w:val="18"/>
                      <w:lang w:val="en-US" w:eastAsia="zh-CN"/>
                    </w:rPr>
                    <w:t>主油箱</w:t>
                  </w:r>
                </w:p>
              </w:tc>
              <w:tc>
                <w:tcPr>
                  <w:tcW w:w="932" w:type="pct"/>
                  <w:vAlign w:val="center"/>
                </w:tcPr>
                <w:p>
                  <w:pPr>
                    <w:pStyle w:val="128"/>
                    <w:spacing w:beforeLines="0" w:afterLines="0" w:line="240" w:lineRule="auto"/>
                    <w:ind w:firstLine="0" w:firstLineChars="0"/>
                    <w:rPr>
                      <w:rFonts w:hint="default"/>
                      <w:sz w:val="18"/>
                      <w:szCs w:val="18"/>
                      <w:lang w:val="en-US" w:eastAsia="zh-CN"/>
                    </w:rPr>
                  </w:pPr>
                  <w:r>
                    <w:rPr>
                      <w:rFonts w:hint="eastAsia"/>
                      <w:sz w:val="18"/>
                      <w:szCs w:val="18"/>
                      <w:lang w:val="en-US" w:eastAsia="zh-CN"/>
                    </w:rPr>
                    <w:t>油雾</w:t>
                  </w:r>
                </w:p>
              </w:tc>
              <w:tc>
                <w:tcPr>
                  <w:tcW w:w="491" w:type="pct"/>
                  <w:vAlign w:val="center"/>
                </w:tcPr>
                <w:p>
                  <w:pPr>
                    <w:pStyle w:val="128"/>
                    <w:spacing w:beforeLines="0" w:afterLines="0" w:line="240" w:lineRule="auto"/>
                    <w:ind w:firstLine="0" w:firstLineChars="0"/>
                    <w:rPr>
                      <w:rFonts w:hint="eastAsia"/>
                      <w:sz w:val="18"/>
                      <w:szCs w:val="18"/>
                      <w:lang w:val="en-US" w:eastAsia="zh-CN"/>
                    </w:rPr>
                  </w:pPr>
                  <w:r>
                    <w:rPr>
                      <w:rFonts w:hint="eastAsia"/>
                      <w:sz w:val="18"/>
                      <w:szCs w:val="18"/>
                      <w:lang w:val="en-US" w:eastAsia="zh-CN"/>
                    </w:rPr>
                    <w:t>连续</w:t>
                  </w:r>
                </w:p>
              </w:tc>
              <w:tc>
                <w:tcPr>
                  <w:tcW w:w="1763" w:type="pct"/>
                  <w:gridSpan w:val="2"/>
                  <w:vAlign w:val="center"/>
                </w:tcPr>
                <w:p>
                  <w:pPr>
                    <w:pStyle w:val="128"/>
                    <w:spacing w:beforeLines="0" w:afterLines="0" w:line="240" w:lineRule="auto"/>
                    <w:ind w:firstLine="0" w:firstLineChars="0"/>
                    <w:rPr>
                      <w:rFonts w:hint="eastAsia"/>
                      <w:sz w:val="18"/>
                      <w:szCs w:val="18"/>
                      <w:lang w:val="en-US" w:eastAsia="zh-CN"/>
                    </w:rPr>
                  </w:pPr>
                  <w:r>
                    <w:rPr>
                      <w:rFonts w:hint="eastAsia"/>
                      <w:sz w:val="18"/>
                      <w:szCs w:val="18"/>
                      <w:lang w:val="en-US" w:eastAsia="zh-CN"/>
                    </w:rPr>
                    <w:t>油雾吸收净化装置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hint="eastAsia" w:ascii="Times New Roman" w:eastAsia="宋体"/>
                      <w:sz w:val="18"/>
                      <w:szCs w:val="18"/>
                      <w:lang w:eastAsia="zh-CN"/>
                    </w:rPr>
                  </w:pPr>
                  <w:r>
                    <w:rPr>
                      <w:rFonts w:hint="eastAsia" w:ascii="Times New Roman"/>
                      <w:sz w:val="18"/>
                      <w:szCs w:val="18"/>
                      <w:lang w:eastAsia="zh-CN"/>
                    </w:rPr>
                    <w:t>、</w:t>
                  </w:r>
                </w:p>
              </w:tc>
              <w:tc>
                <w:tcPr>
                  <w:tcW w:w="619" w:type="pct"/>
                  <w:vMerge w:val="restar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废水</w:t>
                  </w:r>
                </w:p>
              </w:tc>
              <w:tc>
                <w:tcPr>
                  <w:tcW w:w="845" w:type="pct"/>
                  <w:tcBorders>
                    <w:bottom w:val="single" w:color="000000" w:sz="4" w:space="0"/>
                  </w:tcBorders>
                  <w:vAlign w:val="center"/>
                </w:tcPr>
                <w:p>
                  <w:pPr>
                    <w:pStyle w:val="128"/>
                    <w:spacing w:beforeLines="0" w:afterLines="0" w:line="240" w:lineRule="auto"/>
                    <w:ind w:firstLine="0" w:firstLineChars="0"/>
                    <w:rPr>
                      <w:rFonts w:ascii="Times New Roman"/>
                      <w:sz w:val="18"/>
                      <w:szCs w:val="18"/>
                    </w:rPr>
                  </w:pPr>
                  <w:r>
                    <w:rPr>
                      <w:rFonts w:hint="eastAsia" w:ascii="Times New Roman"/>
                      <w:kern w:val="2"/>
                      <w:sz w:val="18"/>
                      <w:szCs w:val="18"/>
                    </w:rPr>
                    <w:t>循环冷却水系统排污水</w:t>
                  </w:r>
                </w:p>
              </w:tc>
              <w:tc>
                <w:tcPr>
                  <w:tcW w:w="932" w:type="pct"/>
                  <w:vMerge w:val="restart"/>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SS、COD</w:t>
                  </w:r>
                </w:p>
              </w:tc>
              <w:tc>
                <w:tcPr>
                  <w:tcW w:w="491" w:type="pct"/>
                  <w:tcBorders>
                    <w:bottom w:val="single" w:color="000000" w:sz="4" w:space="0"/>
                  </w:tcBorders>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连续</w:t>
                  </w:r>
                </w:p>
              </w:tc>
              <w:tc>
                <w:tcPr>
                  <w:tcW w:w="897" w:type="pct"/>
                  <w:vMerge w:val="restart"/>
                  <w:vAlign w:val="center"/>
                </w:tcPr>
                <w:p>
                  <w:pPr>
                    <w:pStyle w:val="128"/>
                    <w:spacing w:beforeLines="0" w:afterLines="0" w:line="240" w:lineRule="auto"/>
                    <w:ind w:firstLine="0" w:firstLineChars="0"/>
                    <w:rPr>
                      <w:rFonts w:ascii="Times New Roman"/>
                      <w:sz w:val="18"/>
                      <w:szCs w:val="18"/>
                    </w:rPr>
                  </w:pPr>
                  <w:r>
                    <w:rPr>
                      <w:rFonts w:hint="eastAsia" w:ascii="Times New Roman"/>
                      <w:kern w:val="2"/>
                      <w:sz w:val="18"/>
                      <w:szCs w:val="18"/>
                    </w:rPr>
                    <w:t>污水管道</w:t>
                  </w:r>
                </w:p>
              </w:tc>
              <w:tc>
                <w:tcPr>
                  <w:tcW w:w="865" w:type="pct"/>
                  <w:vMerge w:val="restart"/>
                  <w:vAlign w:val="center"/>
                </w:tcPr>
                <w:p>
                  <w:pPr>
                    <w:pStyle w:val="128"/>
                    <w:spacing w:beforeLines="0" w:afterLines="0" w:line="240" w:lineRule="auto"/>
                    <w:ind w:firstLine="0" w:firstLineChars="0"/>
                    <w:rPr>
                      <w:sz w:val="18"/>
                      <w:szCs w:val="18"/>
                    </w:rPr>
                  </w:pPr>
                  <w:r>
                    <w:rPr>
                      <w:rFonts w:hint="eastAsia" w:ascii="Times New Roman"/>
                      <w:kern w:val="2"/>
                      <w:sz w:val="18"/>
                      <w:szCs w:val="18"/>
                    </w:rPr>
                    <w:t>迁安市九江线材有限责任公司污水处理站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continue"/>
                  <w:vAlign w:val="center"/>
                </w:tcPr>
                <w:p>
                  <w:pPr>
                    <w:pStyle w:val="128"/>
                    <w:spacing w:beforeLines="0" w:afterLines="0" w:line="240" w:lineRule="auto"/>
                    <w:ind w:firstLine="0" w:firstLineChars="0"/>
                    <w:rPr>
                      <w:rFonts w:ascii="Times New Roman"/>
                      <w:sz w:val="18"/>
                      <w:szCs w:val="18"/>
                    </w:rPr>
                  </w:pPr>
                </w:p>
              </w:tc>
              <w:tc>
                <w:tcPr>
                  <w:tcW w:w="845" w:type="pct"/>
                  <w:tcBorders>
                    <w:bottom w:val="single" w:color="000000" w:sz="4" w:space="0"/>
                  </w:tcBorders>
                  <w:vAlign w:val="center"/>
                </w:tcPr>
                <w:p>
                  <w:pPr>
                    <w:pStyle w:val="128"/>
                    <w:spacing w:beforeLines="0" w:afterLines="0" w:line="240" w:lineRule="auto"/>
                    <w:ind w:firstLine="0" w:firstLineChars="0"/>
                    <w:rPr>
                      <w:rFonts w:ascii="Times New Roman"/>
                      <w:kern w:val="2"/>
                      <w:sz w:val="18"/>
                      <w:szCs w:val="18"/>
                    </w:rPr>
                  </w:pPr>
                  <w:r>
                    <w:rPr>
                      <w:rFonts w:hint="eastAsia" w:ascii="Times New Roman"/>
                      <w:kern w:val="2"/>
                      <w:sz w:val="18"/>
                      <w:szCs w:val="18"/>
                    </w:rPr>
                    <w:t>锅炉启动系统冲洗排水</w:t>
                  </w:r>
                </w:p>
              </w:tc>
              <w:tc>
                <w:tcPr>
                  <w:tcW w:w="932" w:type="pct"/>
                  <w:vMerge w:val="continue"/>
                  <w:vAlign w:val="center"/>
                </w:tcPr>
                <w:p>
                  <w:pPr>
                    <w:pStyle w:val="128"/>
                    <w:spacing w:beforeLines="0" w:afterLines="0" w:line="240" w:lineRule="auto"/>
                    <w:ind w:firstLine="0" w:firstLineChars="0"/>
                    <w:rPr>
                      <w:rFonts w:ascii="Times New Roman"/>
                      <w:sz w:val="18"/>
                      <w:szCs w:val="18"/>
                    </w:rPr>
                  </w:pPr>
                </w:p>
              </w:tc>
              <w:tc>
                <w:tcPr>
                  <w:tcW w:w="491" w:type="pct"/>
                  <w:tcBorders>
                    <w:bottom w:val="single" w:color="000000" w:sz="4" w:space="0"/>
                  </w:tcBorders>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间断</w:t>
                  </w:r>
                </w:p>
              </w:tc>
              <w:tc>
                <w:tcPr>
                  <w:tcW w:w="897" w:type="pct"/>
                  <w:vMerge w:val="continue"/>
                  <w:vAlign w:val="center"/>
                </w:tcPr>
                <w:p>
                  <w:pPr>
                    <w:pStyle w:val="128"/>
                    <w:spacing w:beforeLines="0" w:afterLines="0" w:line="240" w:lineRule="auto"/>
                    <w:ind w:firstLine="0" w:firstLineChars="0"/>
                    <w:rPr>
                      <w:sz w:val="18"/>
                      <w:szCs w:val="18"/>
                    </w:rPr>
                  </w:pPr>
                </w:p>
              </w:tc>
              <w:tc>
                <w:tcPr>
                  <w:tcW w:w="865" w:type="pct"/>
                  <w:vMerge w:val="continue"/>
                  <w:vAlign w:val="center"/>
                </w:tcPr>
                <w:p>
                  <w:pPr>
                    <w:pStyle w:val="128"/>
                    <w:spacing w:beforeLines="0" w:afterLines="0" w:line="240" w:lineRule="auto"/>
                    <w:ind w:firstLine="0" w:firstLineChars="0"/>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continue"/>
                  <w:vAlign w:val="center"/>
                </w:tcPr>
                <w:p>
                  <w:pPr>
                    <w:pStyle w:val="128"/>
                    <w:spacing w:beforeLines="0" w:afterLines="0" w:line="240" w:lineRule="auto"/>
                    <w:ind w:firstLine="0" w:firstLineChars="0"/>
                    <w:rPr>
                      <w:rFonts w:ascii="Times New Roman"/>
                      <w:sz w:val="18"/>
                      <w:szCs w:val="18"/>
                    </w:rPr>
                  </w:pPr>
                </w:p>
              </w:tc>
              <w:tc>
                <w:tcPr>
                  <w:tcW w:w="845" w:type="pct"/>
                  <w:tcBorders>
                    <w:bottom w:val="single" w:color="000000" w:sz="4" w:space="0"/>
                  </w:tcBorders>
                  <w:vAlign w:val="center"/>
                </w:tcPr>
                <w:p>
                  <w:pPr>
                    <w:pStyle w:val="128"/>
                    <w:spacing w:beforeLines="0" w:afterLines="0" w:line="240" w:lineRule="auto"/>
                    <w:ind w:firstLine="0" w:firstLineChars="0"/>
                    <w:rPr>
                      <w:rFonts w:ascii="Times New Roman"/>
                      <w:kern w:val="2"/>
                      <w:sz w:val="18"/>
                      <w:szCs w:val="18"/>
                    </w:rPr>
                  </w:pPr>
                  <w:r>
                    <w:rPr>
                      <w:rFonts w:ascii="Times New Roman"/>
                      <w:kern w:val="2"/>
                      <w:sz w:val="18"/>
                      <w:szCs w:val="18"/>
                    </w:rPr>
                    <w:t>除盐水制备工序产生的浓盐水</w:t>
                  </w:r>
                </w:p>
              </w:tc>
              <w:tc>
                <w:tcPr>
                  <w:tcW w:w="932" w:type="pct"/>
                  <w:vMerge w:val="continue"/>
                  <w:vAlign w:val="center"/>
                </w:tcPr>
                <w:p>
                  <w:pPr>
                    <w:pStyle w:val="128"/>
                    <w:spacing w:beforeLines="0" w:afterLines="0" w:line="240" w:lineRule="auto"/>
                    <w:ind w:firstLine="0" w:firstLineChars="0"/>
                    <w:rPr>
                      <w:rFonts w:ascii="Times New Roman"/>
                      <w:sz w:val="18"/>
                      <w:szCs w:val="18"/>
                    </w:rPr>
                  </w:pPr>
                </w:p>
              </w:tc>
              <w:tc>
                <w:tcPr>
                  <w:tcW w:w="491" w:type="pct"/>
                  <w:tcBorders>
                    <w:bottom w:val="single" w:color="000000" w:sz="4" w:space="0"/>
                  </w:tcBorders>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连续</w:t>
                  </w:r>
                </w:p>
              </w:tc>
              <w:tc>
                <w:tcPr>
                  <w:tcW w:w="897" w:type="pct"/>
                  <w:vMerge w:val="continue"/>
                  <w:vAlign w:val="center"/>
                </w:tcPr>
                <w:p>
                  <w:pPr>
                    <w:pStyle w:val="128"/>
                    <w:spacing w:beforeLines="0" w:afterLines="0" w:line="240" w:lineRule="auto"/>
                    <w:ind w:firstLine="0" w:firstLineChars="0"/>
                    <w:rPr>
                      <w:sz w:val="18"/>
                      <w:szCs w:val="18"/>
                    </w:rPr>
                  </w:pPr>
                </w:p>
              </w:tc>
              <w:tc>
                <w:tcPr>
                  <w:tcW w:w="865" w:type="pct"/>
                  <w:vMerge w:val="continue"/>
                  <w:vAlign w:val="center"/>
                </w:tcPr>
                <w:p>
                  <w:pPr>
                    <w:pStyle w:val="128"/>
                    <w:spacing w:beforeLines="0" w:afterLines="0" w:line="240" w:lineRule="auto"/>
                    <w:ind w:firstLine="0" w:firstLineChars="0"/>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continue"/>
                  <w:vAlign w:val="center"/>
                </w:tcPr>
                <w:p>
                  <w:pPr>
                    <w:pStyle w:val="128"/>
                    <w:spacing w:beforeLines="0" w:afterLines="0" w:line="240" w:lineRule="auto"/>
                    <w:ind w:firstLine="0" w:firstLineChars="0"/>
                    <w:rPr>
                      <w:rFonts w:ascii="Times New Roman"/>
                      <w:sz w:val="18"/>
                      <w:szCs w:val="18"/>
                    </w:rPr>
                  </w:pPr>
                </w:p>
              </w:tc>
              <w:tc>
                <w:tcPr>
                  <w:tcW w:w="845" w:type="pct"/>
                  <w:tcBorders>
                    <w:bottom w:val="single" w:color="000000" w:sz="4" w:space="0"/>
                  </w:tcBorders>
                  <w:vAlign w:val="center"/>
                </w:tcPr>
                <w:p>
                  <w:pPr>
                    <w:pStyle w:val="128"/>
                    <w:spacing w:beforeLines="0" w:afterLines="0" w:line="240" w:lineRule="auto"/>
                    <w:ind w:firstLine="0" w:firstLineChars="0"/>
                    <w:rPr>
                      <w:rFonts w:ascii="Times New Roman"/>
                      <w:kern w:val="2"/>
                      <w:sz w:val="18"/>
                      <w:szCs w:val="18"/>
                    </w:rPr>
                  </w:pPr>
                  <w:r>
                    <w:rPr>
                      <w:rFonts w:hint="eastAsia" w:ascii="Times New Roman"/>
                      <w:kern w:val="2"/>
                      <w:sz w:val="18"/>
                      <w:szCs w:val="18"/>
                    </w:rPr>
                    <w:t>混床再生</w:t>
                  </w:r>
                </w:p>
              </w:tc>
              <w:tc>
                <w:tcPr>
                  <w:tcW w:w="932" w:type="pct"/>
                  <w:tcBorders>
                    <w:bottom w:val="single" w:color="000000" w:sz="4" w:space="0"/>
                  </w:tcBorders>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pH、COD、SS</w:t>
                  </w:r>
                </w:p>
              </w:tc>
              <w:tc>
                <w:tcPr>
                  <w:tcW w:w="491" w:type="pct"/>
                  <w:tcBorders>
                    <w:bottom w:val="single" w:color="000000" w:sz="4" w:space="0"/>
                  </w:tcBorders>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间断</w:t>
                  </w:r>
                </w:p>
              </w:tc>
              <w:tc>
                <w:tcPr>
                  <w:tcW w:w="897" w:type="pct"/>
                  <w:vAlign w:val="center"/>
                </w:tcPr>
                <w:p>
                  <w:pPr>
                    <w:pStyle w:val="128"/>
                    <w:spacing w:beforeLines="0" w:afterLines="0" w:line="240" w:lineRule="auto"/>
                    <w:ind w:firstLine="0" w:firstLineChars="0"/>
                    <w:rPr>
                      <w:sz w:val="18"/>
                      <w:szCs w:val="18"/>
                    </w:rPr>
                  </w:pPr>
                  <w:r>
                    <w:rPr>
                      <w:rFonts w:hint="eastAsia" w:ascii="Times New Roman"/>
                      <w:kern w:val="2"/>
                      <w:sz w:val="18"/>
                      <w:szCs w:val="18"/>
                    </w:rPr>
                    <w:t>加入少量酸、碱进行调节</w:t>
                  </w:r>
                </w:p>
              </w:tc>
              <w:tc>
                <w:tcPr>
                  <w:tcW w:w="865" w:type="pct"/>
                  <w:vMerge w:val="continue"/>
                  <w:vAlign w:val="center"/>
                </w:tcPr>
                <w:p>
                  <w:pPr>
                    <w:pStyle w:val="128"/>
                    <w:spacing w:beforeLines="0" w:afterLines="0" w:line="240" w:lineRule="auto"/>
                    <w:ind w:firstLine="0" w:firstLineChars="0"/>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噪声</w:t>
                  </w:r>
                </w:p>
              </w:tc>
              <w:tc>
                <w:tcPr>
                  <w:tcW w:w="845" w:type="pc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设备运转噪声</w:t>
                  </w:r>
                </w:p>
              </w:tc>
              <w:tc>
                <w:tcPr>
                  <w:tcW w:w="932" w:type="pc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Leq(A)</w:t>
                  </w:r>
                </w:p>
              </w:tc>
              <w:tc>
                <w:tcPr>
                  <w:tcW w:w="491" w:type="pct"/>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连续</w:t>
                  </w:r>
                </w:p>
              </w:tc>
              <w:tc>
                <w:tcPr>
                  <w:tcW w:w="1763" w:type="pct"/>
                  <w:gridSpan w:val="2"/>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基础减振、厂房隔声、隔声罩</w:t>
                  </w:r>
                  <w:r>
                    <w:rPr>
                      <w:rFonts w:hint="eastAsia" w:ascii="Times New Roman"/>
                      <w:sz w:val="18"/>
                      <w:szCs w:val="18"/>
                    </w:rPr>
                    <w:t>、消声器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restar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固废</w:t>
                  </w:r>
                </w:p>
              </w:tc>
              <w:tc>
                <w:tcPr>
                  <w:tcW w:w="845"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树脂再生</w:t>
                  </w:r>
                </w:p>
              </w:tc>
              <w:tc>
                <w:tcPr>
                  <w:tcW w:w="932"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废树脂</w:t>
                  </w:r>
                </w:p>
              </w:tc>
              <w:tc>
                <w:tcPr>
                  <w:tcW w:w="491"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间断</w:t>
                  </w:r>
                </w:p>
              </w:tc>
              <w:tc>
                <w:tcPr>
                  <w:tcW w:w="1763" w:type="pct"/>
                  <w:gridSpan w:val="2"/>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再生后循环使用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continue"/>
                  <w:vAlign w:val="center"/>
                </w:tcPr>
                <w:p>
                  <w:pPr>
                    <w:pStyle w:val="128"/>
                    <w:spacing w:beforeLines="0" w:afterLines="0" w:line="240" w:lineRule="auto"/>
                    <w:ind w:firstLine="0" w:firstLineChars="0"/>
                    <w:rPr>
                      <w:rFonts w:hint="default" w:ascii="Times New Roman" w:hAnsi="Times New Roman" w:cs="Times New Roman"/>
                      <w:sz w:val="18"/>
                      <w:szCs w:val="18"/>
                    </w:rPr>
                  </w:pPr>
                </w:p>
              </w:tc>
              <w:tc>
                <w:tcPr>
                  <w:tcW w:w="845" w:type="pct"/>
                  <w:vAlign w:val="center"/>
                </w:tcPr>
                <w:p>
                  <w:pPr>
                    <w:pStyle w:val="128"/>
                    <w:spacing w:beforeLines="0" w:afterLines="0" w:line="240" w:lineRule="auto"/>
                    <w:ind w:firstLine="0" w:firstLineChars="0"/>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除尘</w:t>
                  </w:r>
                </w:p>
              </w:tc>
              <w:tc>
                <w:tcPr>
                  <w:tcW w:w="932" w:type="pct"/>
                  <w:vAlign w:val="center"/>
                </w:tcPr>
                <w:p>
                  <w:pPr>
                    <w:pStyle w:val="128"/>
                    <w:spacing w:beforeLines="0" w:afterLines="0" w:line="240" w:lineRule="auto"/>
                    <w:ind w:firstLine="0" w:firstLineChars="0"/>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废布袋</w:t>
                  </w:r>
                </w:p>
              </w:tc>
              <w:tc>
                <w:tcPr>
                  <w:tcW w:w="491"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间断</w:t>
                  </w:r>
                </w:p>
              </w:tc>
              <w:tc>
                <w:tcPr>
                  <w:tcW w:w="1763" w:type="pct"/>
                  <w:gridSpan w:val="2"/>
                  <w:vAlign w:val="center"/>
                </w:tcPr>
                <w:p>
                  <w:pPr>
                    <w:pStyle w:val="128"/>
                    <w:spacing w:beforeLines="0" w:afterLines="0" w:line="240" w:lineRule="auto"/>
                    <w:ind w:firstLine="0" w:firstLineChars="0"/>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收集后由厂家回收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continue"/>
                  <w:vAlign w:val="center"/>
                </w:tcPr>
                <w:p>
                  <w:pPr>
                    <w:pStyle w:val="128"/>
                    <w:spacing w:beforeLines="0" w:afterLines="0" w:line="240" w:lineRule="auto"/>
                    <w:ind w:firstLine="0" w:firstLineChars="0"/>
                    <w:rPr>
                      <w:rFonts w:hint="default" w:ascii="Times New Roman" w:hAnsi="Times New Roman" w:cs="Times New Roman"/>
                      <w:sz w:val="18"/>
                      <w:szCs w:val="18"/>
                    </w:rPr>
                  </w:pPr>
                </w:p>
              </w:tc>
              <w:tc>
                <w:tcPr>
                  <w:tcW w:w="845"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除尘</w:t>
                  </w:r>
                </w:p>
              </w:tc>
              <w:tc>
                <w:tcPr>
                  <w:tcW w:w="932"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lang w:bidi="ar"/>
                    </w:rPr>
                    <w:t>除尘灰</w:t>
                  </w:r>
                </w:p>
              </w:tc>
              <w:tc>
                <w:tcPr>
                  <w:tcW w:w="491"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间断</w:t>
                  </w:r>
                </w:p>
              </w:tc>
              <w:tc>
                <w:tcPr>
                  <w:tcW w:w="1763" w:type="pct"/>
                  <w:gridSpan w:val="2"/>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作为化工原料外售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continue"/>
                  <w:vAlign w:val="center"/>
                </w:tcPr>
                <w:p>
                  <w:pPr>
                    <w:pStyle w:val="128"/>
                    <w:spacing w:beforeLines="0" w:afterLines="0" w:line="240" w:lineRule="auto"/>
                    <w:ind w:firstLine="0" w:firstLineChars="0"/>
                    <w:rPr>
                      <w:rFonts w:hint="default" w:ascii="Times New Roman" w:hAnsi="Times New Roman" w:cs="Times New Roman"/>
                      <w:sz w:val="18"/>
                      <w:szCs w:val="18"/>
                    </w:rPr>
                  </w:pPr>
                </w:p>
              </w:tc>
              <w:tc>
                <w:tcPr>
                  <w:tcW w:w="845"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冷油器</w:t>
                  </w:r>
                </w:p>
              </w:tc>
              <w:tc>
                <w:tcPr>
                  <w:tcW w:w="932"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废</w:t>
                  </w:r>
                  <w:r>
                    <w:rPr>
                      <w:rFonts w:hint="default" w:ascii="Times New Roman" w:hAnsi="Times New Roman" w:cs="Times New Roman"/>
                      <w:sz w:val="18"/>
                      <w:szCs w:val="18"/>
                      <w:lang w:bidi="ar"/>
                    </w:rPr>
                    <w:t>矿物油</w:t>
                  </w:r>
                  <w:r>
                    <w:rPr>
                      <w:rFonts w:hint="default" w:ascii="Times New Roman" w:hAnsi="Times New Roman" w:cs="Times New Roman"/>
                      <w:sz w:val="18"/>
                      <w:szCs w:val="18"/>
                    </w:rPr>
                    <w:t>(废液压油、废润滑油)</w:t>
                  </w:r>
                  <w:r>
                    <w:rPr>
                      <w:rFonts w:hint="default" w:ascii="Times New Roman" w:hAnsi="Times New Roman" w:cs="Times New Roman"/>
                      <w:sz w:val="18"/>
                      <w:szCs w:val="18"/>
                      <w:lang w:bidi="ar"/>
                    </w:rPr>
                    <w:t>、废油桶、废滤芯、滤纸和滤网</w:t>
                  </w:r>
                </w:p>
              </w:tc>
              <w:tc>
                <w:tcPr>
                  <w:tcW w:w="491"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间断</w:t>
                  </w:r>
                </w:p>
              </w:tc>
              <w:tc>
                <w:tcPr>
                  <w:tcW w:w="1763" w:type="pct"/>
                  <w:gridSpan w:val="2"/>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集中收集于塑料桶内与废油桶在危废间暂存后，定期交与有资质的单位处置。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7" w:type="pct"/>
                  <w:vMerge w:val="continue"/>
                  <w:vAlign w:val="center"/>
                </w:tcPr>
                <w:p>
                  <w:pPr>
                    <w:pStyle w:val="128"/>
                    <w:spacing w:beforeLines="0" w:afterLines="0" w:line="240" w:lineRule="auto"/>
                    <w:ind w:firstLine="0" w:firstLineChars="0"/>
                    <w:rPr>
                      <w:rFonts w:ascii="Times New Roman"/>
                      <w:sz w:val="18"/>
                      <w:szCs w:val="18"/>
                    </w:rPr>
                  </w:pPr>
                </w:p>
              </w:tc>
              <w:tc>
                <w:tcPr>
                  <w:tcW w:w="619" w:type="pct"/>
                  <w:vMerge w:val="continue"/>
                  <w:vAlign w:val="center"/>
                </w:tcPr>
                <w:p>
                  <w:pPr>
                    <w:pStyle w:val="128"/>
                    <w:spacing w:beforeLines="0" w:afterLines="0" w:line="240" w:lineRule="auto"/>
                    <w:ind w:firstLine="0" w:firstLineChars="0"/>
                    <w:rPr>
                      <w:rFonts w:hint="default" w:ascii="Times New Roman" w:hAnsi="Times New Roman" w:cs="Times New Roman"/>
                      <w:sz w:val="18"/>
                      <w:szCs w:val="18"/>
                    </w:rPr>
                  </w:pPr>
                </w:p>
              </w:tc>
              <w:tc>
                <w:tcPr>
                  <w:tcW w:w="845"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脱硝</w:t>
                  </w:r>
                </w:p>
              </w:tc>
              <w:tc>
                <w:tcPr>
                  <w:tcW w:w="932"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废SCR催化剂</w:t>
                  </w:r>
                </w:p>
              </w:tc>
              <w:tc>
                <w:tcPr>
                  <w:tcW w:w="491" w:type="pct"/>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间断</w:t>
                  </w:r>
                </w:p>
              </w:tc>
              <w:tc>
                <w:tcPr>
                  <w:tcW w:w="1763" w:type="pct"/>
                  <w:gridSpan w:val="2"/>
                  <w:vAlign w:val="center"/>
                </w:tcPr>
                <w:p>
                  <w:pPr>
                    <w:pStyle w:val="128"/>
                    <w:spacing w:beforeLines="0" w:afterLines="0" w:line="240" w:lineRule="auto"/>
                    <w:ind w:firstLine="0" w:firstLineChars="0"/>
                    <w:rPr>
                      <w:rFonts w:hint="default" w:ascii="Times New Roman" w:hAnsi="Times New Roman" w:cs="Times New Roman"/>
                      <w:sz w:val="18"/>
                      <w:szCs w:val="18"/>
                    </w:rPr>
                  </w:pPr>
                  <w:r>
                    <w:rPr>
                      <w:rFonts w:hint="default" w:ascii="Times New Roman" w:hAnsi="Times New Roman" w:cs="Times New Roman"/>
                      <w:sz w:val="18"/>
                      <w:szCs w:val="18"/>
                    </w:rPr>
                    <w:t>在危废间暂存，定期交与有资质的单位处置。</w:t>
                  </w:r>
                </w:p>
              </w:tc>
            </w:tr>
          </w:tbl>
          <w:p>
            <w:pPr>
              <w:adjustRightInd w:val="0"/>
              <w:snapToGrid w:val="0"/>
              <w:ind w:firstLine="0" w:firstLineChars="0"/>
              <w:jc w:val="both"/>
              <w:rPr>
                <w:bCs/>
                <w:color w:val="0000FF"/>
                <w:sz w:val="32"/>
                <w:szCs w:val="3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37" w:hRule="atLeast"/>
          <w:jc w:val="center"/>
        </w:trPr>
        <w:tc>
          <w:tcPr>
            <w:tcW w:w="251" w:type="pct"/>
            <w:shd w:val="clear" w:color="auto" w:fill="auto"/>
            <w:vAlign w:val="center"/>
          </w:tcPr>
          <w:p>
            <w:pPr>
              <w:pStyle w:val="72"/>
              <w:adjustRightInd w:val="0"/>
              <w:snapToGrid w:val="0"/>
              <w:spacing w:before="0" w:beforeAutospacing="0" w:after="0" w:afterAutospacing="0" w:line="240" w:lineRule="auto"/>
              <w:ind w:firstLine="0" w:firstLineChars="0"/>
              <w:jc w:val="center"/>
              <w:rPr>
                <w:rFonts w:ascii="Times New Roman" w:hAnsi="Times New Roman"/>
                <w:szCs w:val="24"/>
              </w:rPr>
            </w:pPr>
            <w:r>
              <w:rPr>
                <w:rFonts w:ascii="Times New Roman" w:hAnsi="Times New Roman"/>
                <w:bCs/>
                <w:kern w:val="2"/>
                <w:szCs w:val="24"/>
              </w:rPr>
              <w:t>与项目有关的原有环境污染问题</w:t>
            </w:r>
          </w:p>
        </w:tc>
        <w:tc>
          <w:tcPr>
            <w:tcW w:w="4748" w:type="pct"/>
            <w:shd w:val="clear" w:color="auto" w:fill="auto"/>
          </w:tcPr>
          <w:p>
            <w:pPr>
              <w:adjustRightInd w:val="0"/>
              <w:snapToGrid w:val="0"/>
              <w:ind w:firstLine="482"/>
              <w:rPr>
                <w:rFonts w:eastAsiaTheme="minorEastAsia"/>
                <w:b/>
                <w:bCs/>
              </w:rPr>
            </w:pPr>
            <w:r>
              <w:rPr>
                <w:rFonts w:hint="eastAsia" w:eastAsiaTheme="minorEastAsia"/>
                <w:b/>
                <w:bCs/>
              </w:rPr>
              <w:t>1、</w:t>
            </w:r>
            <w:r>
              <w:rPr>
                <w:rFonts w:eastAsiaTheme="minorEastAsia"/>
                <w:b/>
                <w:bCs/>
              </w:rPr>
              <w:t>现有工程环保手续履行情况</w:t>
            </w:r>
          </w:p>
          <w:p>
            <w:pPr>
              <w:pStyle w:val="2"/>
              <w:ind w:firstLine="480"/>
              <w:rPr>
                <w:color w:val="000000"/>
                <w:kern w:val="0"/>
                <w:sz w:val="24"/>
                <w:szCs w:val="24"/>
              </w:rPr>
            </w:pPr>
            <w:r>
              <w:rPr>
                <w:color w:val="000000"/>
                <w:kern w:val="0"/>
                <w:sz w:val="24"/>
                <w:szCs w:val="24"/>
                <w:lang w:bidi="ar"/>
              </w:rPr>
              <w:t>现有工程1条铁路专用线；3台360m</w:t>
            </w:r>
            <w:r>
              <w:rPr>
                <w:color w:val="000000"/>
                <w:kern w:val="0"/>
                <w:sz w:val="24"/>
                <w:szCs w:val="24"/>
                <w:vertAlign w:val="superscript"/>
                <w:lang w:bidi="ar"/>
              </w:rPr>
              <w:t>2</w:t>
            </w:r>
            <w:r>
              <w:rPr>
                <w:color w:val="000000"/>
                <w:kern w:val="0"/>
                <w:sz w:val="24"/>
                <w:szCs w:val="24"/>
                <w:lang w:bidi="ar"/>
              </w:rPr>
              <w:t>带式烧结机（2#已验收，1、3#已建成尚未投运）、5、6、7#90m</w:t>
            </w:r>
            <w:r>
              <w:rPr>
                <w:color w:val="000000"/>
                <w:kern w:val="0"/>
                <w:sz w:val="24"/>
                <w:szCs w:val="24"/>
                <w:vertAlign w:val="superscript"/>
                <w:lang w:bidi="ar"/>
              </w:rPr>
              <w:t>2</w:t>
            </w:r>
            <w:r>
              <w:rPr>
                <w:color w:val="000000"/>
                <w:kern w:val="0"/>
                <w:sz w:val="24"/>
                <w:szCs w:val="24"/>
                <w:lang w:bidi="ar"/>
              </w:rPr>
              <w:t>步进式烧结机；2条240万吨/年链篦机-回转窑生产线（已建成尚未投运）；2座480m</w:t>
            </w:r>
            <w:r>
              <w:rPr>
                <w:color w:val="000000"/>
                <w:kern w:val="0"/>
                <w:sz w:val="24"/>
                <w:szCs w:val="24"/>
                <w:vertAlign w:val="superscript"/>
                <w:lang w:bidi="ar"/>
              </w:rPr>
              <w:t>3</w:t>
            </w:r>
            <w:r>
              <w:rPr>
                <w:color w:val="000000"/>
                <w:kern w:val="0"/>
                <w:sz w:val="24"/>
                <w:szCs w:val="24"/>
                <w:lang w:bidi="ar"/>
              </w:rPr>
              <w:t>高炉、6座1080m</w:t>
            </w:r>
            <w:r>
              <w:rPr>
                <w:color w:val="000000"/>
                <w:kern w:val="0"/>
                <w:sz w:val="24"/>
                <w:szCs w:val="24"/>
                <w:vertAlign w:val="superscript"/>
                <w:lang w:bidi="ar"/>
              </w:rPr>
              <w:t>3</w:t>
            </w:r>
            <w:r>
              <w:rPr>
                <w:color w:val="000000"/>
                <w:kern w:val="0"/>
                <w:sz w:val="24"/>
                <w:szCs w:val="24"/>
                <w:lang w:bidi="ar"/>
              </w:rPr>
              <w:t>高炉，2座80t转炉、4座100t转炉，15条高速线材生产线，2条镀锌生产线及配套公辅设施。具备年产烧结矿1600万吨，球团矿480万吨，炼铁产能654万吨、炼钢产能592万吨及轧钢产能900万吨的产能。</w:t>
            </w:r>
          </w:p>
          <w:p>
            <w:pPr>
              <w:pStyle w:val="2"/>
              <w:ind w:firstLine="480"/>
              <w:rPr>
                <w:rFonts w:ascii="宋体" w:hAnsi="宋体" w:cs="宋体"/>
                <w:color w:val="000000"/>
                <w:kern w:val="0"/>
                <w:sz w:val="24"/>
                <w:szCs w:val="24"/>
              </w:rPr>
            </w:pPr>
            <w:r>
              <w:rPr>
                <w:rFonts w:hint="eastAsia" w:ascii="宋体" w:hAnsi="宋体" w:cs="宋体"/>
                <w:color w:val="000000"/>
                <w:kern w:val="0"/>
                <w:sz w:val="24"/>
                <w:szCs w:val="24"/>
                <w:lang w:bidi="ar"/>
              </w:rPr>
              <w:t>公司现有主要装备环保手续履行情况见下表。</w:t>
            </w:r>
          </w:p>
          <w:p>
            <w:pPr>
              <w:pStyle w:val="2"/>
              <w:ind w:firstLine="0" w:firstLineChars="0"/>
              <w:jc w:val="center"/>
              <w:rPr>
                <w:b/>
                <w:bCs/>
                <w:color w:val="000000"/>
                <w:kern w:val="0"/>
                <w:sz w:val="24"/>
                <w:szCs w:val="24"/>
              </w:rPr>
            </w:pPr>
            <w:r>
              <w:rPr>
                <w:b/>
                <w:bCs/>
                <w:color w:val="000000"/>
                <w:kern w:val="0"/>
                <w:sz w:val="24"/>
                <w:szCs w:val="24"/>
                <w:lang w:bidi="ar"/>
              </w:rPr>
              <w:t>表</w:t>
            </w:r>
            <w:r>
              <w:rPr>
                <w:rFonts w:hint="eastAsia"/>
                <w:b/>
                <w:bCs/>
                <w:color w:val="000000"/>
                <w:kern w:val="0"/>
                <w:sz w:val="24"/>
                <w:szCs w:val="24"/>
                <w:lang w:val="en-US" w:eastAsia="zh-CN" w:bidi="ar"/>
              </w:rPr>
              <w:t>22</w:t>
            </w:r>
            <w:r>
              <w:rPr>
                <w:b/>
                <w:bCs/>
                <w:color w:val="000000"/>
                <w:kern w:val="0"/>
                <w:sz w:val="24"/>
                <w:szCs w:val="24"/>
                <w:lang w:bidi="ar"/>
              </w:rPr>
              <w:t xml:space="preserve">    迁安市九江线材有限责任公司现有环保手续一览表</w:t>
            </w:r>
          </w:p>
          <w:tbl>
            <w:tblPr>
              <w:tblStyle w:val="7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96"/>
              <w:gridCol w:w="1613"/>
              <w:gridCol w:w="795"/>
              <w:gridCol w:w="1670"/>
              <w:gridCol w:w="892"/>
              <w:gridCol w:w="769"/>
              <w:gridCol w:w="1275"/>
              <w:gridCol w:w="9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27" w:type="pct"/>
                  <w:vMerge w:val="restar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sz w:val="18"/>
                      <w:szCs w:val="18"/>
                    </w:rPr>
                    <w:t>序号</w:t>
                  </w:r>
                </w:p>
              </w:tc>
              <w:tc>
                <w:tcPr>
                  <w:tcW w:w="981" w:type="pct"/>
                  <w:vMerge w:val="restar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建设项目名称</w:t>
                  </w:r>
                </w:p>
              </w:tc>
              <w:tc>
                <w:tcPr>
                  <w:tcW w:w="1940" w:type="pct"/>
                  <w:gridSpan w:val="3"/>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环境影响评价</w:t>
                  </w:r>
                </w:p>
              </w:tc>
              <w:tc>
                <w:tcPr>
                  <w:tcW w:w="1851" w:type="pct"/>
                  <w:gridSpan w:val="3"/>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竣工环境保护验收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27" w:type="pct"/>
                  <w:vMerge w:val="continue"/>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p>
              </w:tc>
              <w:tc>
                <w:tcPr>
                  <w:tcW w:w="981" w:type="pct"/>
                  <w:vMerge w:val="continue"/>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p>
              </w:tc>
              <w:tc>
                <w:tcPr>
                  <w:tcW w:w="493"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审批单位</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批准文号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批准时间</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审批单位</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批准文号</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批准</w:t>
                  </w:r>
                  <w:r>
                    <w:rPr>
                      <w:rFonts w:hint="eastAsia"/>
                      <w:sz w:val="18"/>
                      <w:szCs w:val="18"/>
                    </w:rPr>
                    <w:t>/验收</w:t>
                  </w:r>
                  <w:r>
                    <w:rPr>
                      <w:sz w:val="18"/>
                      <w:szCs w:val="18"/>
                    </w:rPr>
                    <w:t>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1</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环境影响评价报告暨排放污染物技术报告</w:t>
                  </w:r>
                </w:p>
              </w:tc>
              <w:tc>
                <w:tcPr>
                  <w:tcW w:w="493"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河北</w:t>
                  </w:r>
                  <w:r>
                    <w:rPr>
                      <w:rFonts w:hint="eastAsia"/>
                      <w:sz w:val="18"/>
                      <w:szCs w:val="18"/>
                    </w:rPr>
                    <w:t>省环保</w:t>
                  </w:r>
                  <w:r>
                    <w:rPr>
                      <w:sz w:val="18"/>
                      <w:szCs w:val="18"/>
                    </w:rPr>
                    <w:t>厅</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备案</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2017</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227" w:type="pct"/>
                  <w:vMerge w:val="restar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p>
              </w:tc>
              <w:tc>
                <w:tcPr>
                  <w:tcW w:w="981" w:type="pct"/>
                  <w:vMerge w:val="restar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迁安市九江线材有限责任公司厂区铁路专用线工程环境影响报告表</w:t>
                  </w:r>
                </w:p>
              </w:tc>
              <w:tc>
                <w:tcPr>
                  <w:tcW w:w="493" w:type="pct"/>
                  <w:vMerge w:val="restar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唐山市生态环境局迁安市分局</w:t>
                  </w:r>
                </w:p>
              </w:tc>
              <w:tc>
                <w:tcPr>
                  <w:tcW w:w="897" w:type="pct"/>
                  <w:vMerge w:val="restar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迁环表[</w:t>
                  </w:r>
                  <w:r>
                    <w:rPr>
                      <w:sz w:val="18"/>
                      <w:szCs w:val="18"/>
                    </w:rPr>
                    <w:t>2019]16</w:t>
                  </w:r>
                  <w:r>
                    <w:rPr>
                      <w:rFonts w:hint="eastAsia"/>
                      <w:sz w:val="18"/>
                      <w:szCs w:val="18"/>
                    </w:rPr>
                    <w:t>号</w:t>
                  </w:r>
                </w:p>
              </w:tc>
              <w:tc>
                <w:tcPr>
                  <w:tcW w:w="548" w:type="pct"/>
                  <w:vMerge w:val="restar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r>
                    <w:rPr>
                      <w:sz w:val="18"/>
                      <w:szCs w:val="18"/>
                    </w:rPr>
                    <w:t>019.3.19</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自主验收2</w:t>
                  </w:r>
                  <w:r>
                    <w:rPr>
                      <w:sz w:val="18"/>
                      <w:szCs w:val="18"/>
                    </w:rPr>
                    <w:t>020.7.9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27" w:type="pct"/>
                  <w:vMerge w:val="continue"/>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p>
              </w:tc>
              <w:tc>
                <w:tcPr>
                  <w:tcW w:w="981" w:type="pct"/>
                  <w:vMerge w:val="continue"/>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p>
              </w:tc>
              <w:tc>
                <w:tcPr>
                  <w:tcW w:w="493" w:type="pct"/>
                  <w:vMerge w:val="continue"/>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p>
              </w:tc>
              <w:tc>
                <w:tcPr>
                  <w:tcW w:w="897" w:type="pct"/>
                  <w:vMerge w:val="continue"/>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p>
              </w:tc>
              <w:tc>
                <w:tcPr>
                  <w:tcW w:w="548" w:type="pct"/>
                  <w:vMerge w:val="continue"/>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迁安市行政</w:t>
                  </w:r>
                  <w:r>
                    <w:rPr>
                      <w:sz w:val="18"/>
                      <w:szCs w:val="18"/>
                    </w:rPr>
                    <w:t>审批局</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w:t>
                  </w:r>
                  <w:r>
                    <w:rPr>
                      <w:sz w:val="18"/>
                      <w:szCs w:val="18"/>
                    </w:rPr>
                    <w:t>行审</w:t>
                  </w:r>
                  <w:r>
                    <w:rPr>
                      <w:rFonts w:hint="eastAsia"/>
                      <w:sz w:val="18"/>
                      <w:szCs w:val="18"/>
                    </w:rPr>
                    <w:t>环</w:t>
                  </w:r>
                  <w:r>
                    <w:rPr>
                      <w:sz w:val="18"/>
                      <w:szCs w:val="18"/>
                    </w:rPr>
                    <w:t>表验[2020]15</w:t>
                  </w:r>
                  <w:r>
                    <w:rPr>
                      <w:rFonts w:hint="eastAsia"/>
                      <w:sz w:val="18"/>
                      <w:szCs w:val="18"/>
                    </w:rPr>
                    <w:t>号</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2020.8.4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3</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迁安市九江线材有限责任公司炼钢产能减量置换项目环境影响报告书</w:t>
                  </w:r>
                </w:p>
              </w:tc>
              <w:tc>
                <w:tcPr>
                  <w:tcW w:w="493"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河北省生态环境厅</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冀环审</w:t>
                  </w:r>
                  <w:r>
                    <w:rPr>
                      <w:sz w:val="18"/>
                      <w:szCs w:val="18"/>
                    </w:rPr>
                    <w:t>[2019]32号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r>
                    <w:rPr>
                      <w:sz w:val="18"/>
                      <w:szCs w:val="18"/>
                    </w:rPr>
                    <w:t>019.10.22</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自主验收2</w:t>
                  </w:r>
                  <w:r>
                    <w:rPr>
                      <w:sz w:val="18"/>
                      <w:szCs w:val="18"/>
                    </w:rPr>
                    <w:t>020</w:t>
                  </w:r>
                  <w:r>
                    <w:rPr>
                      <w:rFonts w:hint="eastAsia"/>
                      <w:sz w:val="18"/>
                      <w:szCs w:val="18"/>
                    </w:rPr>
                    <w:t>.1</w:t>
                  </w:r>
                  <w:r>
                    <w:rPr>
                      <w:sz w:val="18"/>
                      <w:szCs w:val="18"/>
                    </w:rPr>
                    <w:t>0</w:t>
                  </w:r>
                  <w:r>
                    <w:rPr>
                      <w:rFonts w:hint="eastAsia"/>
                      <w:sz w:val="18"/>
                      <w:szCs w:val="18"/>
                    </w:rPr>
                    <w:t>.3</w:t>
                  </w:r>
                  <w:r>
                    <w:rPr>
                      <w:sz w:val="18"/>
                      <w:szCs w:val="18"/>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4</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迁安市九江线材有限责任公司钢渣综合利用项目环境影响报告表</w:t>
                  </w:r>
                </w:p>
              </w:tc>
              <w:tc>
                <w:tcPr>
                  <w:tcW w:w="493"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唐山市生态环境局迁安市分局</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迁环表[</w:t>
                  </w:r>
                  <w:r>
                    <w:rPr>
                      <w:sz w:val="18"/>
                      <w:szCs w:val="18"/>
                    </w:rPr>
                    <w:t>2019]89</w:t>
                  </w:r>
                  <w:r>
                    <w:rPr>
                      <w:rFonts w:hint="eastAsia"/>
                      <w:sz w:val="18"/>
                      <w:szCs w:val="18"/>
                    </w:rPr>
                    <w:t>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r>
                    <w:rPr>
                      <w:sz w:val="18"/>
                      <w:szCs w:val="18"/>
                    </w:rPr>
                    <w:t>019.12.13</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自主验收2020.12.5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5</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迁安市九江线材有限责任公司拔丝生产线技术改造及环保提升项目环境影响报告书</w:t>
                  </w:r>
                </w:p>
              </w:tc>
              <w:tc>
                <w:tcPr>
                  <w:tcW w:w="493"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迁安市行政审批局</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迁行审环评[</w:t>
                  </w:r>
                  <w:r>
                    <w:rPr>
                      <w:sz w:val="18"/>
                      <w:szCs w:val="18"/>
                    </w:rPr>
                    <w:t>2020]10</w:t>
                  </w:r>
                  <w:r>
                    <w:rPr>
                      <w:rFonts w:hint="eastAsia"/>
                      <w:sz w:val="18"/>
                      <w:szCs w:val="18"/>
                    </w:rPr>
                    <w:t>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r>
                    <w:rPr>
                      <w:sz w:val="18"/>
                      <w:szCs w:val="18"/>
                    </w:rPr>
                    <w:t>020.7.9</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6</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1#360m</w:t>
                  </w:r>
                  <w:r>
                    <w:rPr>
                      <w:sz w:val="18"/>
                      <w:szCs w:val="18"/>
                      <w:vertAlign w:val="superscript"/>
                    </w:rPr>
                    <w:t>2</w:t>
                  </w:r>
                  <w:r>
                    <w:rPr>
                      <w:sz w:val="18"/>
                      <w:szCs w:val="18"/>
                    </w:rPr>
                    <w:t>烧结机升级改造项目</w:t>
                  </w:r>
                  <w:r>
                    <w:rPr>
                      <w:rFonts w:hint="eastAsia"/>
                      <w:sz w:val="18"/>
                      <w:szCs w:val="18"/>
                    </w:rPr>
                    <w:t>环境影响报告书</w:t>
                  </w:r>
                </w:p>
              </w:tc>
              <w:tc>
                <w:tcPr>
                  <w:tcW w:w="493"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河北省生态环境厅</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冀环审[2020]96号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r>
                    <w:rPr>
                      <w:sz w:val="18"/>
                      <w:szCs w:val="18"/>
                    </w:rPr>
                    <w:t>020.10.14</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7</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2#360m</w:t>
                  </w:r>
                  <w:r>
                    <w:rPr>
                      <w:sz w:val="18"/>
                      <w:szCs w:val="18"/>
                      <w:vertAlign w:val="superscript"/>
                    </w:rPr>
                    <w:t>2</w:t>
                  </w:r>
                  <w:r>
                    <w:rPr>
                      <w:sz w:val="18"/>
                      <w:szCs w:val="18"/>
                    </w:rPr>
                    <w:t>烧结机升级改造项目</w:t>
                  </w:r>
                  <w:r>
                    <w:rPr>
                      <w:rFonts w:hint="eastAsia"/>
                      <w:sz w:val="18"/>
                      <w:szCs w:val="18"/>
                    </w:rPr>
                    <w:t>环境影响报告书</w:t>
                  </w:r>
                </w:p>
              </w:tc>
              <w:tc>
                <w:tcPr>
                  <w:tcW w:w="493" w:type="pct"/>
                  <w:tcBorders>
                    <w:tl2br w:val="nil"/>
                    <w:tr2bl w:val="nil"/>
                  </w:tcBorders>
                  <w:tcMar>
                    <w:top w:w="0" w:type="dxa"/>
                    <w:left w:w="28" w:type="dxa"/>
                    <w:bottom w:w="0" w:type="dxa"/>
                    <w:right w:w="28" w:type="dxa"/>
                  </w:tcMar>
                </w:tcPr>
                <w:p>
                  <w:pPr>
                    <w:widowControl/>
                    <w:adjustRightInd w:val="0"/>
                    <w:snapToGrid w:val="0"/>
                    <w:spacing w:line="360" w:lineRule="exact"/>
                    <w:ind w:firstLine="0" w:firstLineChars="0"/>
                    <w:contextualSpacing/>
                    <w:jc w:val="center"/>
                    <w:rPr>
                      <w:sz w:val="18"/>
                      <w:szCs w:val="18"/>
                    </w:rPr>
                  </w:pPr>
                  <w:r>
                    <w:rPr>
                      <w:rFonts w:hint="eastAsia"/>
                      <w:sz w:val="18"/>
                      <w:szCs w:val="18"/>
                    </w:rPr>
                    <w:t>河北省生态环境厅</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冀环审[2020]98号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r>
                    <w:rPr>
                      <w:sz w:val="18"/>
                      <w:szCs w:val="18"/>
                    </w:rPr>
                    <w:t>020.10.14</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自主验收2</w:t>
                  </w:r>
                  <w:r>
                    <w:rPr>
                      <w:sz w:val="18"/>
                      <w:szCs w:val="18"/>
                    </w:rPr>
                    <w:t>022</w:t>
                  </w:r>
                  <w:r>
                    <w:rPr>
                      <w:rFonts w:hint="eastAsia"/>
                      <w:sz w:val="18"/>
                      <w:szCs w:val="18"/>
                    </w:rPr>
                    <w:t>.4.1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8</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3#360m</w:t>
                  </w:r>
                  <w:r>
                    <w:rPr>
                      <w:sz w:val="18"/>
                      <w:szCs w:val="18"/>
                      <w:vertAlign w:val="superscript"/>
                    </w:rPr>
                    <w:t>2</w:t>
                  </w:r>
                  <w:r>
                    <w:rPr>
                      <w:sz w:val="18"/>
                      <w:szCs w:val="18"/>
                    </w:rPr>
                    <w:t>烧结机升级改造项目</w:t>
                  </w:r>
                  <w:r>
                    <w:rPr>
                      <w:rFonts w:hint="eastAsia"/>
                      <w:sz w:val="18"/>
                      <w:szCs w:val="18"/>
                    </w:rPr>
                    <w:t>环境影响报告书</w:t>
                  </w:r>
                </w:p>
              </w:tc>
              <w:tc>
                <w:tcPr>
                  <w:tcW w:w="493" w:type="pct"/>
                  <w:tcBorders>
                    <w:tl2br w:val="nil"/>
                    <w:tr2bl w:val="nil"/>
                  </w:tcBorders>
                  <w:tcMar>
                    <w:top w:w="0" w:type="dxa"/>
                    <w:left w:w="28" w:type="dxa"/>
                    <w:bottom w:w="0" w:type="dxa"/>
                    <w:right w:w="28" w:type="dxa"/>
                  </w:tcMar>
                </w:tcPr>
                <w:p>
                  <w:pPr>
                    <w:widowControl/>
                    <w:adjustRightInd w:val="0"/>
                    <w:snapToGrid w:val="0"/>
                    <w:spacing w:line="360" w:lineRule="exact"/>
                    <w:ind w:firstLine="0" w:firstLineChars="0"/>
                    <w:contextualSpacing/>
                    <w:jc w:val="center"/>
                    <w:rPr>
                      <w:sz w:val="18"/>
                      <w:szCs w:val="18"/>
                    </w:rPr>
                  </w:pPr>
                  <w:r>
                    <w:rPr>
                      <w:rFonts w:hint="eastAsia"/>
                      <w:sz w:val="18"/>
                      <w:szCs w:val="18"/>
                    </w:rPr>
                    <w:t>河北省生态环境厅</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冀环审[2020]97号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r>
                    <w:rPr>
                      <w:sz w:val="18"/>
                      <w:szCs w:val="18"/>
                    </w:rPr>
                    <w:t>020.10.14</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9</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1#240万吨/年链篦机回转窑项目</w:t>
                  </w:r>
                  <w:r>
                    <w:rPr>
                      <w:rFonts w:hint="eastAsia"/>
                      <w:sz w:val="18"/>
                      <w:szCs w:val="18"/>
                    </w:rPr>
                    <w:t>环境影响报告书</w:t>
                  </w:r>
                </w:p>
              </w:tc>
              <w:tc>
                <w:tcPr>
                  <w:tcW w:w="493" w:type="pct"/>
                  <w:tcBorders>
                    <w:tl2br w:val="nil"/>
                    <w:tr2bl w:val="nil"/>
                  </w:tcBorders>
                  <w:tcMar>
                    <w:top w:w="0" w:type="dxa"/>
                    <w:left w:w="28" w:type="dxa"/>
                    <w:bottom w:w="0" w:type="dxa"/>
                    <w:right w:w="28" w:type="dxa"/>
                  </w:tcMar>
                </w:tcPr>
                <w:p>
                  <w:pPr>
                    <w:widowControl/>
                    <w:adjustRightInd w:val="0"/>
                    <w:snapToGrid w:val="0"/>
                    <w:spacing w:line="360" w:lineRule="exact"/>
                    <w:ind w:firstLine="0" w:firstLineChars="0"/>
                    <w:contextualSpacing/>
                    <w:jc w:val="center"/>
                    <w:rPr>
                      <w:sz w:val="18"/>
                      <w:szCs w:val="18"/>
                    </w:rPr>
                  </w:pPr>
                  <w:r>
                    <w:rPr>
                      <w:rFonts w:hint="eastAsia"/>
                      <w:sz w:val="18"/>
                      <w:szCs w:val="18"/>
                    </w:rPr>
                    <w:t>河北省生态环境厅</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冀环审[2020]113号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2020.11.24</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10</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2#240万吨/年链篦机回转窑项目</w:t>
                  </w:r>
                  <w:r>
                    <w:rPr>
                      <w:rFonts w:hint="eastAsia"/>
                      <w:sz w:val="18"/>
                      <w:szCs w:val="18"/>
                    </w:rPr>
                    <w:t>环境影响报告书</w:t>
                  </w:r>
                </w:p>
              </w:tc>
              <w:tc>
                <w:tcPr>
                  <w:tcW w:w="493" w:type="pct"/>
                  <w:tcBorders>
                    <w:tl2br w:val="nil"/>
                    <w:tr2bl w:val="nil"/>
                  </w:tcBorders>
                  <w:tcMar>
                    <w:top w:w="0" w:type="dxa"/>
                    <w:left w:w="28" w:type="dxa"/>
                    <w:bottom w:w="0" w:type="dxa"/>
                    <w:right w:w="28" w:type="dxa"/>
                  </w:tcMar>
                </w:tcPr>
                <w:p>
                  <w:pPr>
                    <w:widowControl/>
                    <w:adjustRightInd w:val="0"/>
                    <w:snapToGrid w:val="0"/>
                    <w:spacing w:line="360" w:lineRule="exact"/>
                    <w:ind w:firstLine="0" w:firstLineChars="0"/>
                    <w:contextualSpacing/>
                    <w:jc w:val="center"/>
                    <w:rPr>
                      <w:sz w:val="18"/>
                      <w:szCs w:val="18"/>
                    </w:rPr>
                  </w:pPr>
                  <w:r>
                    <w:rPr>
                      <w:rFonts w:hint="eastAsia"/>
                      <w:sz w:val="18"/>
                      <w:szCs w:val="18"/>
                    </w:rPr>
                    <w:t>河北省生态环境厅</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冀环审[2020]114号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sz w:val="18"/>
                      <w:szCs w:val="18"/>
                    </w:rPr>
                    <w:t>2020.11.24</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11</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迁安市九江线材有限责任公司加热炉烟气</w:t>
                  </w:r>
                  <w:r>
                    <w:rPr>
                      <w:sz w:val="18"/>
                      <w:szCs w:val="18"/>
                    </w:rPr>
                    <w:t>SCR脱硝项目</w:t>
                  </w:r>
                  <w:r>
                    <w:rPr>
                      <w:rFonts w:hint="eastAsia"/>
                      <w:sz w:val="18"/>
                      <w:szCs w:val="18"/>
                    </w:rPr>
                    <w:t>环境影响登记表</w:t>
                  </w:r>
                </w:p>
              </w:tc>
              <w:tc>
                <w:tcPr>
                  <w:tcW w:w="493"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备案号</w:t>
                  </w:r>
                  <w:r>
                    <w:rPr>
                      <w:sz w:val="18"/>
                      <w:szCs w:val="18"/>
                    </w:rPr>
                    <w:t>202113028300000128</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r>
                    <w:rPr>
                      <w:sz w:val="18"/>
                      <w:szCs w:val="18"/>
                    </w:rPr>
                    <w:t>021.8.23</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12</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高炉煤气精脱硫项目环境影响登记表</w:t>
                  </w:r>
                </w:p>
              </w:tc>
              <w:tc>
                <w:tcPr>
                  <w:tcW w:w="493"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备案号</w:t>
                  </w:r>
                  <w:r>
                    <w:rPr>
                      <w:sz w:val="18"/>
                      <w:szCs w:val="18"/>
                    </w:rPr>
                    <w:t>202113028300000132</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w:t>
                  </w:r>
                  <w:r>
                    <w:rPr>
                      <w:sz w:val="18"/>
                      <w:szCs w:val="18"/>
                    </w:rPr>
                    <w:t>021.9.3</w:t>
                  </w:r>
                </w:p>
              </w:tc>
              <w:tc>
                <w:tcPr>
                  <w:tcW w:w="47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13</w:t>
                  </w:r>
                </w:p>
              </w:tc>
              <w:tc>
                <w:tcPr>
                  <w:tcW w:w="981"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迁安市九江线材有限责任公司整合重组减量置换项目</w:t>
                  </w:r>
                </w:p>
              </w:tc>
              <w:tc>
                <w:tcPr>
                  <w:tcW w:w="493"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河北省生态环境厅</w:t>
                  </w:r>
                </w:p>
              </w:tc>
              <w:tc>
                <w:tcPr>
                  <w:tcW w:w="897"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冀环审[2022]72号</w:t>
                  </w:r>
                </w:p>
              </w:tc>
              <w:tc>
                <w:tcPr>
                  <w:tcW w:w="548" w:type="pct"/>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2022.8.18</w:t>
                  </w:r>
                </w:p>
              </w:tc>
              <w:tc>
                <w:tcPr>
                  <w:tcW w:w="477" w:type="pct"/>
                  <w:tcBorders>
                    <w:right w:val="single" w:color="auto" w:sz="4" w:space="0"/>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779" w:type="pct"/>
                  <w:tcBorders>
                    <w:left w:val="single" w:color="auto" w:sz="4" w:space="0"/>
                    <w:right w:val="single" w:color="auto" w:sz="4" w:space="0"/>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c>
                <w:tcPr>
                  <w:tcW w:w="594" w:type="pct"/>
                  <w:tcBorders>
                    <w:left w:val="single" w:color="auto" w:sz="4" w:space="0"/>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7" w:type="pct"/>
                  <w:tcBorders>
                    <w:tl2br w:val="nil"/>
                    <w:tr2bl w:val="nil"/>
                  </w:tcBorders>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14</w:t>
                  </w:r>
                </w:p>
              </w:tc>
              <w:tc>
                <w:tcPr>
                  <w:tcW w:w="4772" w:type="pct"/>
                  <w:gridSpan w:val="7"/>
                  <w:tcBorders>
                    <w:tl2br w:val="nil"/>
                    <w:tr2bl w:val="nil"/>
                  </w:tcBorders>
                  <w:tcMar>
                    <w:top w:w="0" w:type="dxa"/>
                    <w:left w:w="28" w:type="dxa"/>
                    <w:bottom w:w="0" w:type="dxa"/>
                    <w:right w:w="28" w:type="dxa"/>
                  </w:tcMar>
                  <w:vAlign w:val="center"/>
                </w:tcPr>
                <w:p>
                  <w:pPr>
                    <w:widowControl/>
                    <w:adjustRightInd w:val="0"/>
                    <w:snapToGrid w:val="0"/>
                    <w:spacing w:line="360" w:lineRule="exact"/>
                    <w:ind w:firstLine="0" w:firstLineChars="0"/>
                    <w:contextualSpacing/>
                    <w:jc w:val="center"/>
                    <w:rPr>
                      <w:sz w:val="18"/>
                      <w:szCs w:val="18"/>
                    </w:rPr>
                  </w:pPr>
                  <w:r>
                    <w:rPr>
                      <w:rFonts w:hint="eastAsia"/>
                      <w:sz w:val="18"/>
                      <w:szCs w:val="18"/>
                    </w:rPr>
                    <w:t>排污许可证情况：2</w:t>
                  </w:r>
                  <w:r>
                    <w:rPr>
                      <w:sz w:val="18"/>
                      <w:szCs w:val="18"/>
                    </w:rPr>
                    <w:t>017</w:t>
                  </w:r>
                  <w:r>
                    <w:rPr>
                      <w:rFonts w:hint="eastAsia"/>
                      <w:sz w:val="18"/>
                      <w:szCs w:val="18"/>
                    </w:rPr>
                    <w:t>年首次申领排污许可证，证号：</w:t>
                  </w:r>
                  <w:r>
                    <w:rPr>
                      <w:sz w:val="18"/>
                      <w:szCs w:val="18"/>
                    </w:rPr>
                    <w:t>911302007356029939001P</w:t>
                  </w:r>
                </w:p>
              </w:tc>
            </w:tr>
          </w:tbl>
          <w:p>
            <w:pPr>
              <w:adjustRightInd w:val="0"/>
              <w:snapToGrid w:val="0"/>
              <w:ind w:firstLine="482"/>
              <w:rPr>
                <w:rFonts w:eastAsiaTheme="minorEastAsia"/>
                <w:b/>
                <w:bCs/>
              </w:rPr>
            </w:pPr>
            <w:r>
              <w:rPr>
                <w:rFonts w:hint="eastAsia"/>
                <w:b/>
                <w:bCs/>
                <w:kern w:val="1"/>
              </w:rPr>
              <w:t>2、</w:t>
            </w:r>
            <w:r>
              <w:rPr>
                <w:b/>
                <w:bCs/>
              </w:rPr>
              <w:t>现有工程污染物排放情况</w:t>
            </w:r>
          </w:p>
          <w:p>
            <w:pPr>
              <w:adjustRightInd w:val="0"/>
              <w:snapToGrid w:val="0"/>
              <w:ind w:firstLine="480"/>
            </w:pPr>
            <w:r>
              <w:t>(1)废气</w:t>
            </w:r>
          </w:p>
          <w:p>
            <w:pPr>
              <w:tabs>
                <w:tab w:val="left" w:pos="2375"/>
                <w:tab w:val="center" w:pos="4239"/>
              </w:tabs>
              <w:adjustRightInd w:val="0"/>
              <w:snapToGrid w:val="0"/>
              <w:ind w:firstLine="480"/>
            </w:pPr>
            <w:r>
              <w:t>1)有组织</w:t>
            </w:r>
          </w:p>
          <w:p>
            <w:pPr>
              <w:adjustRightInd w:val="0"/>
              <w:snapToGrid w:val="0"/>
              <w:ind w:firstLine="480"/>
              <w:rPr>
                <w:rFonts w:eastAsiaTheme="minorEastAsia"/>
              </w:rPr>
            </w:pPr>
            <w:r>
              <w:t>以在线监测数据、自行监测报告为依据，</w:t>
            </w:r>
            <w:r>
              <w:rPr>
                <w:rFonts w:hint="eastAsia" w:eastAsiaTheme="minorEastAsia"/>
                <w:kern w:val="0"/>
              </w:rPr>
              <w:t>迁安市九江线材有限责任公司</w:t>
            </w:r>
            <w:r>
              <w:t>现状工程</w:t>
            </w:r>
            <w:r>
              <w:rPr>
                <w:rFonts w:hint="eastAsia"/>
              </w:rPr>
              <w:t>烧结、球团、炼铁、炼钢、轧钢、发电、矿渣微粉、镀锌、钢渣处理、铁路专用线等各生产单元有组织废气排放均达到相应排放标准。</w:t>
            </w:r>
          </w:p>
          <w:p>
            <w:pPr>
              <w:tabs>
                <w:tab w:val="left" w:pos="2375"/>
                <w:tab w:val="center" w:pos="4239"/>
              </w:tabs>
              <w:adjustRightInd w:val="0"/>
              <w:snapToGrid w:val="0"/>
              <w:ind w:firstLine="480"/>
            </w:pPr>
            <w:r>
              <w:rPr>
                <w:rFonts w:hint="eastAsia"/>
              </w:rPr>
              <w:t>2)无组织</w:t>
            </w:r>
          </w:p>
          <w:p>
            <w:pPr>
              <w:pStyle w:val="329"/>
              <w:ind w:firstLine="480"/>
            </w:pPr>
            <w:r>
              <w:rPr>
                <w:rFonts w:hint="eastAsia" w:cs="Times New Roman" w:eastAsiaTheme="minorEastAsia"/>
                <w:color w:val="auto"/>
                <w:kern w:val="0"/>
              </w:rPr>
              <w:t>迁安市九江线材有限责任公司废气</w:t>
            </w:r>
            <w:r>
              <w:rPr>
                <w:rFonts w:hint="eastAsia" w:cs="Times New Roman"/>
                <w:bCs w:val="0"/>
                <w:color w:val="auto"/>
              </w:rPr>
              <w:t>无组织排放情况按照《排污许可技术规范申请与核发技术规范</w:t>
            </w:r>
            <w:r>
              <w:rPr>
                <w:rFonts w:cs="Times New Roman"/>
                <w:bCs w:val="0"/>
                <w:color w:val="auto"/>
              </w:rPr>
              <w:t>(钢铁工业)》(HJ846-2017)进行核算</w:t>
            </w:r>
            <w:r>
              <w:rPr>
                <w:rFonts w:hint="eastAsia" w:cs="Times New Roman"/>
                <w:bCs w:val="0"/>
                <w:color w:val="auto"/>
              </w:rPr>
              <w:t>，</w:t>
            </w:r>
            <w:r>
              <w:rPr>
                <w:rFonts w:hint="eastAsia"/>
              </w:rPr>
              <w:t>全厂无组织排放量为1360.1621t/a。</w:t>
            </w:r>
          </w:p>
          <w:p>
            <w:pPr>
              <w:tabs>
                <w:tab w:val="left" w:pos="2375"/>
                <w:tab w:val="center" w:pos="4239"/>
              </w:tabs>
              <w:adjustRightInd w:val="0"/>
              <w:snapToGrid w:val="0"/>
              <w:ind w:firstLine="480"/>
            </w:pPr>
            <w:r>
              <w:t>2020年9月，</w:t>
            </w:r>
            <w:r>
              <w:rPr>
                <w:rFonts w:hint="eastAsia"/>
              </w:rPr>
              <w:t>河北</w:t>
            </w:r>
            <w:r>
              <w:t>德禹检测</w:t>
            </w:r>
            <w:r>
              <w:rPr>
                <w:rFonts w:hint="eastAsia"/>
              </w:rPr>
              <w:t>技术</w:t>
            </w:r>
            <w:r>
              <w:t>有限公司对</w:t>
            </w:r>
            <w:r>
              <w:rPr>
                <w:rFonts w:hint="eastAsia" w:eastAsiaTheme="minorEastAsia"/>
                <w:kern w:val="0"/>
              </w:rPr>
              <w:t>迁安市九江线材有限责任公司</w:t>
            </w:r>
            <w:r>
              <w:rPr>
                <w:rFonts w:hint="eastAsia"/>
              </w:rPr>
              <w:t>厂界</w:t>
            </w:r>
            <w:r>
              <w:t>无组织排放进行了实测，</w:t>
            </w:r>
            <w:r>
              <w:rPr>
                <w:rFonts w:hint="eastAsia"/>
              </w:rPr>
              <w:t>厂界浓度范围为0.383~0.850，</w:t>
            </w:r>
            <w:r>
              <w:t>2020年</w:t>
            </w:r>
            <w:r>
              <w:rPr>
                <w:rFonts w:hint="eastAsia"/>
              </w:rPr>
              <w:t>8月份和12月份，对车间无组织颗粒物进行了监测，浓度范围为1.04~3.99，均可达到《钢铁工业大气污染物超低排放标准》(DB13/2169-2018)超低排放限值要求</w:t>
            </w:r>
            <w:r>
              <w:t>。</w:t>
            </w:r>
          </w:p>
          <w:p>
            <w:pPr>
              <w:adjustRightInd w:val="0"/>
              <w:snapToGrid w:val="0"/>
              <w:ind w:firstLine="480"/>
            </w:pPr>
            <w:r>
              <w:t>(</w:t>
            </w:r>
            <w:r>
              <w:rPr>
                <w:rFonts w:hint="eastAsia"/>
              </w:rPr>
              <w:t>2</w:t>
            </w:r>
            <w:r>
              <w:t>)废</w:t>
            </w:r>
            <w:r>
              <w:rPr>
                <w:rFonts w:hint="eastAsia"/>
              </w:rPr>
              <w:t>水</w:t>
            </w:r>
          </w:p>
          <w:p>
            <w:pPr>
              <w:widowControl/>
              <w:ind w:firstLine="480"/>
              <w:rPr>
                <w:rFonts w:cs="宋体"/>
                <w:kern w:val="0"/>
              </w:rPr>
            </w:pPr>
            <w:r>
              <w:rPr>
                <w:rFonts w:hint="eastAsia" w:eastAsiaTheme="minorEastAsia"/>
                <w:kern w:val="0"/>
              </w:rPr>
              <w:t>迁安市九江线材有限责任公司</w:t>
            </w:r>
            <w:r>
              <w:rPr>
                <w:rFonts w:cs="宋体"/>
                <w:kern w:val="0"/>
              </w:rPr>
              <w:t>配套水处理设施29套</w:t>
            </w:r>
            <w:r>
              <w:rPr>
                <w:rFonts w:hint="eastAsia" w:cs="宋体"/>
                <w:kern w:val="0"/>
              </w:rPr>
              <w:t>(</w:t>
            </w:r>
            <w:r>
              <w:rPr>
                <w:rFonts w:cs="宋体"/>
                <w:kern w:val="0"/>
              </w:rPr>
              <w:t>个</w:t>
            </w:r>
            <w:r>
              <w:rPr>
                <w:rFonts w:hint="eastAsia" w:cs="宋体"/>
                <w:kern w:val="0"/>
              </w:rPr>
              <w:t>)</w:t>
            </w:r>
            <w:r>
              <w:rPr>
                <w:rFonts w:cs="宋体"/>
                <w:kern w:val="0"/>
              </w:rPr>
              <w:t>：高炉冲渣水沉淀池9个，炼钢废水处理设施11套，轧钢废水处理设施7套</w:t>
            </w:r>
            <w:r>
              <w:rPr>
                <w:rFonts w:hint="eastAsia" w:cs="宋体"/>
                <w:kern w:val="0"/>
              </w:rPr>
              <w:t>(</w:t>
            </w:r>
            <w:r>
              <w:rPr>
                <w:rFonts w:cs="宋体"/>
                <w:kern w:val="0"/>
              </w:rPr>
              <w:t>个</w:t>
            </w:r>
            <w:r>
              <w:rPr>
                <w:rFonts w:hint="eastAsia" w:cs="宋体"/>
                <w:kern w:val="0"/>
              </w:rPr>
              <w:t>)，镀锌废水处理设施1套</w:t>
            </w:r>
            <w:r>
              <w:rPr>
                <w:rFonts w:cs="宋体"/>
                <w:kern w:val="0"/>
              </w:rPr>
              <w:t>，综合污水处理厂1座。</w:t>
            </w:r>
          </w:p>
          <w:p>
            <w:pPr>
              <w:widowControl/>
              <w:ind w:firstLine="480"/>
              <w:rPr>
                <w:rFonts w:cs="宋体"/>
                <w:kern w:val="0"/>
              </w:rPr>
            </w:pPr>
            <w:r>
              <w:rPr>
                <w:rFonts w:hint="eastAsia" w:eastAsiaTheme="minorEastAsia"/>
                <w:kern w:val="0"/>
              </w:rPr>
              <w:t>迁安市九江线材有限责任公司</w:t>
            </w:r>
            <w:r>
              <w:rPr>
                <w:rFonts w:hint="eastAsia" w:cs="宋体"/>
                <w:kern w:val="0"/>
              </w:rPr>
              <w:t>综合污水处理厂</w:t>
            </w:r>
            <w:r>
              <w:rPr>
                <w:rFonts w:cs="宋体"/>
                <w:kern w:val="0"/>
              </w:rPr>
              <w:t>设计处理能力</w:t>
            </w:r>
            <w:r>
              <w:rPr>
                <w:rFonts w:hint="eastAsia" w:cs="宋体"/>
                <w:kern w:val="0"/>
              </w:rPr>
              <w:t>7</w:t>
            </w:r>
            <w:r>
              <w:rPr>
                <w:rFonts w:cs="宋体"/>
                <w:kern w:val="0"/>
              </w:rPr>
              <w:t>000m</w:t>
            </w:r>
            <w:r>
              <w:rPr>
                <w:rFonts w:cs="宋体"/>
                <w:kern w:val="0"/>
                <w:vertAlign w:val="superscript"/>
              </w:rPr>
              <w:t>3</w:t>
            </w:r>
            <w:r>
              <w:rPr>
                <w:rFonts w:cs="宋体"/>
                <w:kern w:val="0"/>
              </w:rPr>
              <w:t>/d，</w:t>
            </w:r>
            <w:r>
              <w:rPr>
                <w:rFonts w:hint="eastAsia" w:cs="宋体"/>
                <w:kern w:val="0"/>
              </w:rPr>
              <w:t>污水处理工艺采用“絮凝沉淀+反冲洗滤+多介质过滤+超滤+反渗透”，各工序排污水经污水处理站处理后全部回用，无废水外排。</w:t>
            </w:r>
          </w:p>
          <w:p>
            <w:pPr>
              <w:adjustRightInd w:val="0"/>
              <w:snapToGrid w:val="0"/>
              <w:ind w:firstLine="480"/>
            </w:pPr>
            <w:r>
              <w:t>(</w:t>
            </w:r>
            <w:r>
              <w:rPr>
                <w:rFonts w:hint="eastAsia"/>
              </w:rPr>
              <w:t>3</w:t>
            </w:r>
            <w:r>
              <w:t>)</w:t>
            </w:r>
            <w:r>
              <w:rPr>
                <w:rFonts w:hint="eastAsia"/>
              </w:rPr>
              <w:t>噪声</w:t>
            </w:r>
          </w:p>
          <w:p>
            <w:pPr>
              <w:widowControl/>
              <w:ind w:firstLine="480"/>
              <w:rPr>
                <w:rFonts w:cs="宋体"/>
                <w:kern w:val="0"/>
              </w:rPr>
            </w:pPr>
            <w:r>
              <w:rPr>
                <w:rFonts w:hint="eastAsia" w:eastAsiaTheme="minorEastAsia"/>
                <w:kern w:val="0"/>
              </w:rPr>
              <w:t>迁安市九江线材有限责任公司</w:t>
            </w:r>
            <w:r>
              <w:rPr>
                <w:rFonts w:hint="eastAsia" w:cs="宋体"/>
                <w:kern w:val="0"/>
              </w:rPr>
              <w:t>设备工程噪声</w:t>
            </w:r>
            <w:r>
              <w:rPr>
                <w:rFonts w:cs="宋体"/>
                <w:kern w:val="0"/>
              </w:rPr>
              <w:t>分为机械噪声和空气动力性噪声</w:t>
            </w:r>
            <w:r>
              <w:rPr>
                <w:rFonts w:hint="eastAsia" w:cs="宋体"/>
                <w:kern w:val="0"/>
              </w:rPr>
              <w:t>，主要源自各种生产设备和辅助生产设备。2</w:t>
            </w:r>
            <w:r>
              <w:rPr>
                <w:rFonts w:cs="宋体"/>
                <w:kern w:val="0"/>
              </w:rPr>
              <w:t>0</w:t>
            </w:r>
            <w:r>
              <w:rPr>
                <w:rFonts w:hint="eastAsia" w:cs="宋体"/>
                <w:kern w:val="0"/>
              </w:rPr>
              <w:t>20年12月24日，河北德禹检测技术有限公司对</w:t>
            </w:r>
            <w:r>
              <w:rPr>
                <w:rFonts w:hint="eastAsia" w:eastAsiaTheme="minorEastAsia"/>
                <w:kern w:val="0"/>
              </w:rPr>
              <w:t>迁安市九江线材有限责任公司</w:t>
            </w:r>
            <w:r>
              <w:rPr>
                <w:rFonts w:hint="eastAsia" w:cs="宋体"/>
                <w:kern w:val="0"/>
              </w:rPr>
              <w:t>厂界噪声进行了实测，监测点位共计1</w:t>
            </w:r>
            <w:r>
              <w:rPr>
                <w:rFonts w:cs="宋体"/>
                <w:kern w:val="0"/>
              </w:rPr>
              <w:t>5</w:t>
            </w:r>
            <w:r>
              <w:rPr>
                <w:rFonts w:hint="eastAsia" w:cs="宋体"/>
                <w:kern w:val="0"/>
              </w:rPr>
              <w:t>个，监测结果表明厂界噪声能够满足《工业企业厂界环境噪声排放标准》(GB12348-2008)3类、4类标准。</w:t>
            </w:r>
          </w:p>
          <w:p>
            <w:pPr>
              <w:widowControl/>
              <w:ind w:firstLine="480"/>
              <w:rPr>
                <w:rFonts w:cs="宋体"/>
                <w:kern w:val="0"/>
              </w:rPr>
            </w:pPr>
            <w:r>
              <w:rPr>
                <w:rFonts w:hint="eastAsia" w:cs="宋体"/>
                <w:kern w:val="0"/>
              </w:rPr>
              <w:t>(4)固废</w:t>
            </w:r>
          </w:p>
          <w:p>
            <w:pPr>
              <w:widowControl/>
              <w:ind w:firstLine="480"/>
              <w:rPr>
                <w:b/>
                <w:bCs/>
              </w:rPr>
            </w:pPr>
            <w:r>
              <w:rPr>
                <w:rFonts w:hint="eastAsia" w:cs="宋体"/>
                <w:kern w:val="0"/>
              </w:rPr>
              <w:t>固体废物包括除尘灰、脱硫石膏、瓦斯灰、高炉渣、钢渣、铸余渣、氧化铁皮、含铁尘泥、轧废、污泥、锰砂、废活性炭、电镀锌槽渣、废酸、废矿物油、废液压油、实验室废液等，其中除尘灰、脱硫石膏、瓦斯灰、高炉渣、钢渣、铸余渣、氧化铁皮、含铁尘泥、轧废、污泥属于一般固体废物，除尘灰、瓦斯灰、含铁尘泥、氧化铁皮送烧结工序配料，脱硫石膏、高炉水渣送矿渣微粉厂做原料，钢渣和铸余渣送至钢渣处理生产线综合利用；根据《国家危险废物名录》，锰砂、废活性炭、电镀锌槽渣、废酸、废润滑油、废液压油、实验室废液属于危险废物，在危废暂存间暂存后交有资质单位处置。</w:t>
            </w:r>
          </w:p>
          <w:p>
            <w:pPr>
              <w:ind w:firstLine="480"/>
              <w:rPr>
                <w:rFonts w:cs="宋体"/>
                <w:kern w:val="0"/>
              </w:rPr>
            </w:pPr>
            <w:r>
              <w:rPr>
                <w:rFonts w:hint="eastAsia" w:eastAsiaTheme="minorEastAsia"/>
                <w:kern w:val="0"/>
              </w:rPr>
              <w:t>迁安市九江线材有限责任公司</w:t>
            </w:r>
            <w:r>
              <w:rPr>
                <w:rFonts w:hint="eastAsia" w:cs="宋体"/>
                <w:kern w:val="0"/>
              </w:rPr>
              <w:t>现有危废暂存间2间，1间设置在轧钢三分厂北侧，面积600m</w:t>
            </w:r>
            <w:r>
              <w:rPr>
                <w:rFonts w:hint="eastAsia" w:cs="宋体"/>
                <w:kern w:val="0"/>
                <w:vertAlign w:val="superscript"/>
              </w:rPr>
              <w:t>2</w:t>
            </w:r>
            <w:r>
              <w:rPr>
                <w:rFonts w:hint="eastAsia" w:cs="宋体"/>
                <w:kern w:val="0"/>
              </w:rPr>
              <w:t>，全厂共用，1间设置在镀锌区，面积50m</w:t>
            </w:r>
            <w:r>
              <w:rPr>
                <w:rFonts w:hint="eastAsia" w:cs="宋体"/>
                <w:kern w:val="0"/>
                <w:vertAlign w:val="superscript"/>
              </w:rPr>
              <w:t>2</w:t>
            </w:r>
            <w:r>
              <w:rPr>
                <w:rFonts w:hint="eastAsia" w:cs="宋体"/>
                <w:kern w:val="0"/>
              </w:rPr>
              <w:t>，单独存放镀锌生产线产生的危废。企业危废暂存间采用“玻璃钢+水泥”硬化防渗，渗透系数小于10</w:t>
            </w:r>
            <w:r>
              <w:rPr>
                <w:rFonts w:hint="eastAsia" w:cs="宋体"/>
                <w:kern w:val="0"/>
                <w:vertAlign w:val="superscript"/>
              </w:rPr>
              <w:t>-10</w:t>
            </w:r>
            <w:r>
              <w:rPr>
                <w:rFonts w:hint="eastAsia" w:cs="宋体"/>
                <w:kern w:val="0"/>
              </w:rPr>
              <w:t>cm/s，并设置有泄漏液收集池、危险废物警示标识、泄漏应急设施及管理台账等，危废暂存间建设满足《危险废物贮存污染控制标准》(GB18597-2001)及修改单中的相关要求。</w:t>
            </w:r>
          </w:p>
          <w:p>
            <w:pPr>
              <w:adjustRightInd w:val="0"/>
              <w:snapToGrid w:val="0"/>
              <w:ind w:firstLine="480"/>
              <w:rPr>
                <w:rFonts w:eastAsiaTheme="minorEastAsia"/>
                <w:b/>
                <w:bCs/>
              </w:rPr>
            </w:pPr>
            <w:r>
              <w:rPr>
                <w:rFonts w:hint="eastAsia" w:eastAsiaTheme="minorEastAsia"/>
                <w:kern w:val="0"/>
              </w:rPr>
              <w:t>迁安市九江线材有限责任公司</w:t>
            </w:r>
            <w:r>
              <w:rPr>
                <w:rFonts w:hint="eastAsia" w:cs="宋体"/>
                <w:kern w:val="0"/>
              </w:rPr>
              <w:t>危险废物主要为镀锌厂污泥、废活性炭、废矿物油等，产生量0.046</w:t>
            </w:r>
            <w:r>
              <w:rPr>
                <w:rFonts w:cs="宋体"/>
                <w:kern w:val="0"/>
              </w:rPr>
              <w:t>5</w:t>
            </w:r>
            <w:r>
              <w:rPr>
                <w:rFonts w:hint="eastAsia" w:cs="宋体"/>
                <w:kern w:val="0"/>
              </w:rPr>
              <w:t>万t/a，厂区危废暂存间规模可以满足危废暂存需求</w:t>
            </w:r>
            <w:r>
              <w:rPr>
                <w:rFonts w:cs="宋体"/>
                <w:kern w:val="0"/>
              </w:rPr>
              <w:t>。</w:t>
            </w:r>
          </w:p>
          <w:p>
            <w:pPr>
              <w:ind w:firstLine="480"/>
              <w:rPr>
                <w:rFonts w:eastAsiaTheme="minorEastAsia"/>
                <w:kern w:val="0"/>
              </w:rPr>
            </w:pPr>
            <w:r>
              <w:rPr>
                <w:rFonts w:hint="eastAsia" w:cs="宋体"/>
                <w:kern w:val="0"/>
              </w:rPr>
              <w:t>(5)应急预案</w:t>
            </w:r>
          </w:p>
          <w:p>
            <w:pPr>
              <w:ind w:firstLine="480"/>
              <w:rPr>
                <w:szCs w:val="21"/>
              </w:rPr>
            </w:pPr>
            <w:r>
              <w:rPr>
                <w:rFonts w:hint="eastAsia" w:eastAsiaTheme="minorEastAsia"/>
                <w:kern w:val="0"/>
              </w:rPr>
              <w:t>迁安市九江线材有限责任公司</w:t>
            </w:r>
            <w:r>
              <w:rPr>
                <w:rFonts w:hint="eastAsia"/>
                <w:szCs w:val="21"/>
                <w:lang w:val="en-US" w:eastAsia="zh-CN"/>
              </w:rPr>
              <w:t>厂区建有</w:t>
            </w:r>
            <w:r>
              <w:rPr>
                <w:rFonts w:hint="default"/>
                <w:szCs w:val="21"/>
                <w:lang w:val="en-US" w:eastAsia="zh-CN"/>
              </w:rPr>
              <w:t>1</w:t>
            </w:r>
            <w:r>
              <w:rPr>
                <w:rFonts w:hint="eastAsia"/>
                <w:szCs w:val="21"/>
                <w:lang w:val="en-US" w:eastAsia="zh-CN"/>
              </w:rPr>
              <w:t>座</w:t>
            </w:r>
            <w:r>
              <w:rPr>
                <w:rFonts w:hint="default"/>
                <w:szCs w:val="21"/>
                <w:lang w:val="en-US" w:eastAsia="zh-CN"/>
              </w:rPr>
              <w:t>1000m</w:t>
            </w:r>
            <w:r>
              <w:rPr>
                <w:rFonts w:hint="eastAsia"/>
                <w:szCs w:val="21"/>
                <w:vertAlign w:val="superscript"/>
                <w:lang w:val="en-US" w:eastAsia="zh-CN"/>
              </w:rPr>
              <w:t>3</w:t>
            </w:r>
            <w:r>
              <w:rPr>
                <w:rFonts w:hint="eastAsia"/>
                <w:szCs w:val="21"/>
                <w:lang w:val="en-US" w:eastAsia="zh-CN"/>
              </w:rPr>
              <w:t>初期雨水收集池、</w:t>
            </w:r>
            <w:r>
              <w:rPr>
                <w:rFonts w:hint="default"/>
                <w:szCs w:val="21"/>
                <w:lang w:val="en-US" w:eastAsia="zh-CN"/>
              </w:rPr>
              <w:t>1</w:t>
            </w:r>
            <w:r>
              <w:rPr>
                <w:rFonts w:hint="eastAsia"/>
                <w:szCs w:val="21"/>
                <w:lang w:val="en-US" w:eastAsia="zh-CN"/>
              </w:rPr>
              <w:t>座</w:t>
            </w:r>
            <w:r>
              <w:rPr>
                <w:rFonts w:hint="default"/>
                <w:szCs w:val="21"/>
                <w:lang w:val="en-US" w:eastAsia="zh-CN"/>
              </w:rPr>
              <w:t>525m</w:t>
            </w:r>
            <w:r>
              <w:rPr>
                <w:rFonts w:hint="eastAsia"/>
                <w:szCs w:val="21"/>
                <w:vertAlign w:val="superscript"/>
                <w:lang w:val="en-US" w:eastAsia="zh-CN"/>
              </w:rPr>
              <w:t>3</w:t>
            </w:r>
            <w:r>
              <w:rPr>
                <w:rFonts w:hint="eastAsia"/>
                <w:szCs w:val="21"/>
                <w:lang w:val="en-US" w:eastAsia="zh-CN"/>
              </w:rPr>
              <w:t>初期雨水收集池、</w:t>
            </w:r>
            <w:r>
              <w:rPr>
                <w:rFonts w:hint="default"/>
                <w:szCs w:val="21"/>
                <w:lang w:val="en-US" w:eastAsia="zh-CN"/>
              </w:rPr>
              <w:t>1</w:t>
            </w:r>
            <w:r>
              <w:rPr>
                <w:rFonts w:hint="eastAsia"/>
                <w:szCs w:val="21"/>
                <w:lang w:val="en-US" w:eastAsia="zh-CN"/>
              </w:rPr>
              <w:t>座</w:t>
            </w:r>
            <w:r>
              <w:rPr>
                <w:rFonts w:hint="default"/>
                <w:szCs w:val="21"/>
                <w:lang w:val="en-US" w:eastAsia="zh-CN"/>
              </w:rPr>
              <w:t>360m</w:t>
            </w:r>
            <w:r>
              <w:rPr>
                <w:rFonts w:hint="eastAsia"/>
                <w:szCs w:val="21"/>
                <w:vertAlign w:val="superscript"/>
                <w:lang w:val="en-US" w:eastAsia="zh-CN"/>
              </w:rPr>
              <w:t>3</w:t>
            </w:r>
            <w:r>
              <w:rPr>
                <w:rFonts w:hint="eastAsia"/>
                <w:szCs w:val="21"/>
                <w:lang w:val="en-US" w:eastAsia="zh-CN"/>
              </w:rPr>
              <w:t>初期雨水收集池，</w:t>
            </w:r>
            <w:r>
              <w:rPr>
                <w:szCs w:val="21"/>
              </w:rPr>
              <w:t>2022年1月20日编制并签署发布了《迁安市九江线材有限责任公司突发环境事件应急预案》，同时在唐山市生态环境局迁安市分局备案，备案编号为：</w:t>
            </w:r>
            <w:r>
              <w:rPr>
                <w:rFonts w:hint="eastAsia"/>
                <w:szCs w:val="21"/>
              </w:rPr>
              <w:t>130</w:t>
            </w:r>
            <w:r>
              <w:rPr>
                <w:szCs w:val="21"/>
              </w:rPr>
              <w:t>28</w:t>
            </w:r>
            <w:r>
              <w:rPr>
                <w:rFonts w:hint="eastAsia"/>
                <w:szCs w:val="21"/>
              </w:rPr>
              <w:t>3-20</w:t>
            </w:r>
            <w:r>
              <w:rPr>
                <w:szCs w:val="21"/>
              </w:rPr>
              <w:t>22</w:t>
            </w:r>
            <w:r>
              <w:rPr>
                <w:rFonts w:hint="eastAsia"/>
                <w:szCs w:val="21"/>
              </w:rPr>
              <w:t>-0</w:t>
            </w:r>
            <w:r>
              <w:rPr>
                <w:szCs w:val="21"/>
              </w:rPr>
              <w:t>09</w:t>
            </w:r>
            <w:r>
              <w:rPr>
                <w:rFonts w:hint="eastAsia"/>
                <w:szCs w:val="21"/>
              </w:rPr>
              <w:t>-</w:t>
            </w:r>
            <w:r>
              <w:rPr>
                <w:szCs w:val="21"/>
              </w:rPr>
              <w:t>H；针对可能出现的突发环境事件制定了完善的风险防范措施，实现与园区应急预案联动。</w:t>
            </w:r>
            <w:r>
              <w:rPr>
                <w:rFonts w:hint="eastAsia"/>
                <w:szCs w:val="21"/>
                <w:lang w:val="en-US" w:eastAsia="zh-CN"/>
              </w:rPr>
              <w:t>另外，九江线材公司在工艺设计中提高自动化控制水平和机械化生产水平，生产装置采用</w:t>
            </w:r>
            <w:r>
              <w:rPr>
                <w:rFonts w:hint="default"/>
                <w:szCs w:val="21"/>
                <w:lang w:val="en-US" w:eastAsia="zh-CN"/>
              </w:rPr>
              <w:t>DCS</w:t>
            </w:r>
            <w:r>
              <w:rPr>
                <w:rFonts w:hint="eastAsia"/>
                <w:szCs w:val="21"/>
                <w:lang w:val="en-US" w:eastAsia="zh-CN"/>
              </w:rPr>
              <w:t>控制系统，优化操作指标，并针对高炉煤气、转炉煤气、氨等危险物质采取了预防、应急处置措施，同时加强了危险物质在贮存、使用、运输等环节的日常管理和安全防范。</w:t>
            </w:r>
          </w:p>
          <w:p>
            <w:pPr>
              <w:numPr>
                <w:ilvl w:val="0"/>
                <w:numId w:val="3"/>
              </w:numPr>
              <w:tabs>
                <w:tab w:val="left" w:pos="2375"/>
                <w:tab w:val="center" w:pos="4239"/>
              </w:tabs>
              <w:adjustRightInd w:val="0"/>
              <w:snapToGrid w:val="0"/>
              <w:ind w:firstLine="482"/>
              <w:rPr>
                <w:rFonts w:hint="eastAsia"/>
                <w:b/>
                <w:bCs/>
                <w:lang w:val="en-US" w:eastAsia="zh-CN"/>
              </w:rPr>
            </w:pPr>
            <w:r>
              <w:rPr>
                <w:rFonts w:hint="eastAsia"/>
                <w:b/>
                <w:bCs/>
                <w:lang w:val="en-US" w:eastAsia="zh-CN"/>
              </w:rPr>
              <w:t>相关工程介绍</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为进一步降低高炉煤气中硫含量，</w:t>
            </w:r>
            <w:r>
              <w:rPr>
                <w:rFonts w:hint="eastAsia" w:eastAsiaTheme="minorEastAsia"/>
                <w:kern w:val="0"/>
              </w:rPr>
              <w:t>迁安市九江线材有限责任公司</w:t>
            </w:r>
            <w:r>
              <w:rPr>
                <w:rFonts w:hint="eastAsia" w:ascii="宋体" w:hAnsi="宋体" w:eastAsia="宋体" w:cs="宋体"/>
                <w:color w:val="000000"/>
                <w:kern w:val="0"/>
                <w:sz w:val="24"/>
                <w:szCs w:val="24"/>
                <w:lang w:val="en-US" w:eastAsia="zh-CN" w:bidi="ar"/>
              </w:rPr>
              <w:t>于</w:t>
            </w:r>
            <w:r>
              <w:rPr>
                <w:rFonts w:hint="default" w:ascii="Times New Roman" w:hAnsi="Times New Roman" w:eastAsia="宋体" w:cs="Times New Roman"/>
                <w:color w:val="000000"/>
                <w:kern w:val="0"/>
                <w:sz w:val="24"/>
                <w:szCs w:val="24"/>
                <w:lang w:val="en-US" w:eastAsia="zh-CN" w:bidi="ar"/>
              </w:rPr>
              <w:t>2021</w:t>
            </w:r>
            <w:r>
              <w:rPr>
                <w:rFonts w:hint="eastAsia" w:ascii="宋体" w:hAnsi="宋体" w:eastAsia="宋体" w:cs="宋体"/>
                <w:color w:val="000000"/>
                <w:kern w:val="0"/>
                <w:sz w:val="24"/>
                <w:szCs w:val="24"/>
                <w:lang w:val="en-US" w:eastAsia="zh-CN" w:bidi="ar"/>
              </w:rPr>
              <w:t>年投资</w:t>
            </w:r>
            <w:r>
              <w:rPr>
                <w:rFonts w:hint="default" w:ascii="Times New Roman" w:hAnsi="Times New Roman" w:eastAsia="宋体" w:cs="Times New Roman"/>
                <w:color w:val="000000"/>
                <w:kern w:val="0"/>
                <w:sz w:val="24"/>
                <w:szCs w:val="24"/>
                <w:lang w:val="en-US" w:eastAsia="zh-CN" w:bidi="ar"/>
              </w:rPr>
              <w:t>35300</w:t>
            </w:r>
            <w:r>
              <w:rPr>
                <w:rFonts w:hint="eastAsia" w:ascii="宋体" w:hAnsi="宋体" w:eastAsia="宋体" w:cs="宋体"/>
                <w:color w:val="000000"/>
                <w:kern w:val="0"/>
                <w:sz w:val="24"/>
                <w:szCs w:val="24"/>
                <w:lang w:val="en-US" w:eastAsia="zh-CN" w:bidi="ar"/>
              </w:rPr>
              <w:t>万元，实施了高炉煤气精脱硫项目，于</w:t>
            </w:r>
            <w:r>
              <w:rPr>
                <w:rFonts w:hint="default" w:ascii="Times New Roman" w:hAnsi="Times New Roman" w:eastAsia="宋体" w:cs="Times New Roman"/>
                <w:color w:val="000000"/>
                <w:kern w:val="0"/>
                <w:sz w:val="24"/>
                <w:szCs w:val="24"/>
                <w:lang w:val="en-US" w:eastAsia="zh-CN" w:bidi="ar"/>
              </w:rPr>
              <w:t>2021</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日填报了环境影响登记表（备案号</w:t>
            </w:r>
            <w:r>
              <w:rPr>
                <w:rFonts w:hint="default" w:ascii="Times New Roman" w:hAnsi="Times New Roman" w:eastAsia="宋体" w:cs="Times New Roman"/>
                <w:color w:val="000000"/>
                <w:kern w:val="0"/>
                <w:sz w:val="24"/>
                <w:szCs w:val="24"/>
                <w:lang w:val="en-US" w:eastAsia="zh-CN" w:bidi="ar"/>
              </w:rPr>
              <w:t>202113028300000132</w:t>
            </w:r>
            <w:r>
              <w:rPr>
                <w:rFonts w:hint="eastAsia" w:ascii="宋体" w:hAnsi="宋体" w:eastAsia="宋体" w:cs="宋体"/>
                <w:color w:val="000000"/>
                <w:kern w:val="0"/>
                <w:sz w:val="24"/>
                <w:szCs w:val="24"/>
                <w:lang w:val="en-US" w:eastAsia="zh-CN" w:bidi="ar"/>
              </w:rPr>
              <w:t>）。该项目采用“脱氯</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水解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脱硫塔”的处置工艺，将有机硫转化为无机硫后，在脱硫塔内硫化氢被脱硫吸附剂吸收，最终可实现总硫小于</w:t>
            </w:r>
            <w:r>
              <w:rPr>
                <w:rFonts w:hint="default" w:ascii="Times New Roman" w:hAnsi="Times New Roman" w:eastAsia="宋体" w:cs="Times New Roman"/>
                <w:color w:val="000000"/>
                <w:kern w:val="0"/>
                <w:sz w:val="24"/>
                <w:szCs w:val="24"/>
                <w:lang w:val="en-US" w:eastAsia="zh-CN" w:bidi="ar"/>
              </w:rPr>
              <w:t>20mg/m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。该项目已于</w:t>
            </w:r>
            <w:r>
              <w:rPr>
                <w:rFonts w:hint="default" w:ascii="Times New Roman" w:hAnsi="Times New Roman" w:eastAsia="宋体" w:cs="Times New Roman"/>
                <w:color w:val="000000"/>
                <w:kern w:val="0"/>
                <w:sz w:val="24"/>
                <w:szCs w:val="24"/>
                <w:lang w:val="en-US" w:eastAsia="zh-CN" w:bidi="ar"/>
              </w:rPr>
              <w:t>2021</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31</w:t>
            </w:r>
            <w:r>
              <w:rPr>
                <w:rFonts w:hint="eastAsia" w:ascii="宋体" w:hAnsi="宋体" w:eastAsia="宋体" w:cs="宋体"/>
                <w:color w:val="000000"/>
                <w:kern w:val="0"/>
                <w:sz w:val="24"/>
                <w:szCs w:val="24"/>
                <w:lang w:val="en-US" w:eastAsia="zh-CN" w:bidi="ar"/>
              </w:rPr>
              <w:t>日通过验收。</w:t>
            </w:r>
          </w:p>
          <w:p>
            <w:pPr>
              <w:tabs>
                <w:tab w:val="left" w:pos="2375"/>
                <w:tab w:val="center" w:pos="4239"/>
              </w:tabs>
              <w:adjustRightInd w:val="0"/>
              <w:snapToGrid w:val="0"/>
              <w:ind w:firstLine="482"/>
            </w:pPr>
            <w:r>
              <w:rPr>
                <w:rFonts w:hint="eastAsia"/>
                <w:b/>
                <w:bCs/>
                <w:lang w:val="en-US" w:eastAsia="zh-CN"/>
              </w:rPr>
              <w:t>4</w:t>
            </w:r>
            <w:r>
              <w:rPr>
                <w:b/>
                <w:bCs/>
              </w:rPr>
              <w:t>、与项目有关的主要环境问题</w:t>
            </w:r>
          </w:p>
          <w:p>
            <w:pPr>
              <w:ind w:firstLine="480"/>
            </w:pPr>
            <w:r>
              <w:rPr>
                <w:rFonts w:hint="eastAsia" w:eastAsiaTheme="minorEastAsia"/>
                <w:kern w:val="0"/>
              </w:rPr>
              <w:t>现状无与项目有关的环境问题。</w:t>
            </w:r>
          </w:p>
        </w:tc>
      </w:tr>
    </w:tbl>
    <w:p>
      <w:pPr>
        <w:pStyle w:val="72"/>
        <w:ind w:firstLine="880"/>
        <w:jc w:val="center"/>
        <w:rPr>
          <w:rFonts w:ascii="Times New Roman" w:hAnsi="Times New Roman" w:eastAsiaTheme="minorEastAsia"/>
          <w:snapToGrid w:val="0"/>
          <w:color w:val="0000FF"/>
          <w:sz w:val="44"/>
          <w:szCs w:val="44"/>
        </w:rPr>
      </w:pPr>
    </w:p>
    <w:p>
      <w:pPr>
        <w:pStyle w:val="72"/>
        <w:snapToGrid w:val="0"/>
        <w:spacing w:before="0" w:beforeAutospacing="0" w:after="0" w:afterAutospacing="0" w:line="240" w:lineRule="auto"/>
        <w:ind w:firstLine="0" w:firstLineChars="0"/>
        <w:outlineLvl w:val="0"/>
        <w:rPr>
          <w:rFonts w:ascii="Times New Roman" w:hAnsi="Times New Roman" w:eastAsiaTheme="minorEastAsia"/>
          <w:b/>
          <w:bCs/>
          <w:snapToGrid w:val="0"/>
          <w:sz w:val="32"/>
          <w:szCs w:val="32"/>
        </w:rPr>
      </w:pPr>
      <w:r>
        <w:rPr>
          <w:rFonts w:ascii="Times New Roman" w:hAnsi="Times New Roman" w:eastAsiaTheme="minorEastAsia"/>
          <w:b/>
          <w:bCs/>
          <w:snapToGrid w:val="0"/>
          <w:sz w:val="32"/>
          <w:szCs w:val="32"/>
        </w:rPr>
        <w:t>三、区域环境质量现状、环境保护目标及评价标准</w:t>
      </w:r>
    </w:p>
    <w:tbl>
      <w:tblPr>
        <w:tblStyle w:val="7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456" w:type="dxa"/>
            <w:vAlign w:val="center"/>
          </w:tcPr>
          <w:p>
            <w:pPr>
              <w:widowControl/>
              <w:adjustRightInd w:val="0"/>
              <w:snapToGrid w:val="0"/>
              <w:spacing w:line="240" w:lineRule="auto"/>
              <w:ind w:firstLine="0" w:firstLineChars="0"/>
              <w:jc w:val="center"/>
              <w:rPr>
                <w:rFonts w:ascii="宋体" w:hAnsi="宋体" w:cs="宋体"/>
              </w:rPr>
            </w:pPr>
            <w:r>
              <w:rPr>
                <w:rFonts w:hint="eastAsia" w:ascii="宋体" w:hAnsi="宋体" w:cs="宋体"/>
              </w:rPr>
              <w:t>区域</w:t>
            </w:r>
          </w:p>
          <w:p>
            <w:pPr>
              <w:widowControl/>
              <w:adjustRightInd w:val="0"/>
              <w:snapToGrid w:val="0"/>
              <w:spacing w:line="240" w:lineRule="auto"/>
              <w:ind w:firstLine="0" w:firstLineChars="0"/>
              <w:jc w:val="center"/>
              <w:rPr>
                <w:rFonts w:ascii="宋体" w:hAnsi="宋体" w:cs="宋体"/>
              </w:rPr>
            </w:pPr>
            <w:r>
              <w:rPr>
                <w:rFonts w:hint="eastAsia" w:ascii="宋体" w:hAnsi="宋体" w:cs="宋体"/>
              </w:rPr>
              <w:t>环境</w:t>
            </w:r>
          </w:p>
          <w:p>
            <w:pPr>
              <w:widowControl/>
              <w:adjustRightInd w:val="0"/>
              <w:snapToGrid w:val="0"/>
              <w:spacing w:line="240" w:lineRule="auto"/>
              <w:ind w:firstLine="0" w:firstLineChars="0"/>
              <w:jc w:val="center"/>
              <w:rPr>
                <w:rFonts w:ascii="宋体" w:hAnsi="宋体" w:cs="宋体"/>
              </w:rPr>
            </w:pPr>
            <w:r>
              <w:rPr>
                <w:rFonts w:hint="eastAsia" w:ascii="宋体" w:hAnsi="宋体" w:cs="宋体"/>
              </w:rPr>
              <w:t>质量</w:t>
            </w:r>
          </w:p>
          <w:p>
            <w:pPr>
              <w:widowControl/>
              <w:adjustRightInd w:val="0"/>
              <w:snapToGrid w:val="0"/>
              <w:spacing w:line="240" w:lineRule="auto"/>
              <w:ind w:firstLine="0" w:firstLineChars="0"/>
              <w:jc w:val="center"/>
              <w:rPr>
                <w:rFonts w:eastAsiaTheme="minorEastAsia"/>
                <w:kern w:val="0"/>
                <w:sz w:val="32"/>
              </w:rPr>
            </w:pPr>
            <w:r>
              <w:rPr>
                <w:rFonts w:hint="eastAsia" w:ascii="宋体" w:hAnsi="宋体" w:cs="宋体"/>
              </w:rPr>
              <w:t>现状</w:t>
            </w:r>
          </w:p>
        </w:tc>
        <w:tc>
          <w:tcPr>
            <w:tcW w:w="8603" w:type="dxa"/>
            <w:vAlign w:val="center"/>
          </w:tcPr>
          <w:p>
            <w:pPr>
              <w:adjustRightInd w:val="0"/>
              <w:snapToGrid w:val="0"/>
              <w:ind w:firstLine="480"/>
            </w:pPr>
            <w:r>
              <w:t>1、环境空气质量现状评价</w:t>
            </w:r>
          </w:p>
          <w:p>
            <w:pPr>
              <w:adjustRightInd w:val="0"/>
              <w:snapToGrid w:val="0"/>
              <w:ind w:firstLine="480"/>
            </w:pPr>
            <w:r>
              <w:t>(1)空气质量达标区判定</w:t>
            </w:r>
          </w:p>
          <w:p>
            <w:pPr>
              <w:ind w:firstLine="480"/>
            </w:pPr>
            <w:r>
              <w:t>按照《环境影响评价技术导则大气环境》(HJ2.2-2018)相关规定：“根据国家或地方生态环境主管部门公开发布的城市环境空气质量达标情况，判断项目所在区域是否属于达标区”。项目所在区域为迁安市，根据唐山市生态环境局公开发布的《202</w:t>
            </w:r>
            <w:r>
              <w:rPr>
                <w:rFonts w:hint="eastAsia"/>
              </w:rPr>
              <w:t>1</w:t>
            </w:r>
            <w:r>
              <w:t>年唐山市</w:t>
            </w:r>
            <w:r>
              <w:rPr>
                <w:rFonts w:hint="eastAsia"/>
              </w:rPr>
              <w:t>生态</w:t>
            </w:r>
            <w:r>
              <w:t>环境状况公报》判断项目所在区域是否为达标区。</w:t>
            </w:r>
          </w:p>
          <w:p>
            <w:pPr>
              <w:ind w:firstLine="480"/>
            </w:pPr>
            <w:r>
              <w:t>区域空气质量达标区判定见表</w:t>
            </w:r>
            <w:r>
              <w:rPr>
                <w:rFonts w:hint="eastAsia"/>
                <w:lang w:val="en-US" w:eastAsia="zh-CN"/>
              </w:rPr>
              <w:t>23</w:t>
            </w:r>
            <w:r>
              <w:t>。</w:t>
            </w:r>
          </w:p>
          <w:p>
            <w:pPr>
              <w:pStyle w:val="167"/>
              <w:keepNext w:val="0"/>
              <w:spacing w:before="120" w:line="360" w:lineRule="auto"/>
              <w:ind w:firstLine="0" w:firstLineChars="0"/>
            </w:pPr>
            <w:r>
              <w:t>表</w:t>
            </w:r>
            <w:r>
              <w:rPr>
                <w:rFonts w:hint="eastAsia"/>
                <w:lang w:val="en-US" w:eastAsia="zh-CN"/>
              </w:rPr>
              <w:t>23</w:t>
            </w:r>
            <w:r>
              <w:t xml:space="preserve">  </w:t>
            </w:r>
            <w:r>
              <w:rPr>
                <w:rFonts w:hint="eastAsia"/>
              </w:rPr>
              <w:t xml:space="preserve"> </w:t>
            </w:r>
            <w:r>
              <w:t xml:space="preserve"> 区域空气质量现状评价表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840"/>
              <w:gridCol w:w="1261"/>
              <w:gridCol w:w="1213"/>
              <w:gridCol w:w="909"/>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46"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污染物</w:t>
                  </w:r>
                </w:p>
              </w:tc>
              <w:tc>
                <w:tcPr>
                  <w:tcW w:w="1695"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年评价指标</w:t>
                  </w:r>
                </w:p>
              </w:tc>
              <w:tc>
                <w:tcPr>
                  <w:tcW w:w="752"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现状浓度(μg/m³)</w:t>
                  </w:r>
                </w:p>
              </w:tc>
              <w:tc>
                <w:tcPr>
                  <w:tcW w:w="723"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标准值(μg/m³)</w:t>
                  </w:r>
                </w:p>
              </w:tc>
              <w:tc>
                <w:tcPr>
                  <w:tcW w:w="543"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占标率(%)</w:t>
                  </w:r>
                </w:p>
              </w:tc>
              <w:tc>
                <w:tcPr>
                  <w:tcW w:w="437"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SO</w:t>
                  </w:r>
                  <w:r>
                    <w:rPr>
                      <w:rFonts w:ascii="Times New Roman"/>
                      <w:sz w:val="18"/>
                      <w:szCs w:val="18"/>
                      <w:vertAlign w:val="subscript"/>
                    </w:rPr>
                    <w:t>2</w:t>
                  </w:r>
                </w:p>
              </w:tc>
              <w:tc>
                <w:tcPr>
                  <w:tcW w:w="1695"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年平均质量浓度</w:t>
                  </w:r>
                </w:p>
              </w:tc>
              <w:tc>
                <w:tcPr>
                  <w:tcW w:w="752"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14</w:t>
                  </w:r>
                </w:p>
              </w:tc>
              <w:tc>
                <w:tcPr>
                  <w:tcW w:w="723"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60</w:t>
                  </w:r>
                </w:p>
              </w:tc>
              <w:tc>
                <w:tcPr>
                  <w:tcW w:w="543"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23.3</w:t>
                  </w:r>
                </w:p>
              </w:tc>
              <w:tc>
                <w:tcPr>
                  <w:tcW w:w="437"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NO</w:t>
                  </w:r>
                  <w:r>
                    <w:rPr>
                      <w:rFonts w:ascii="Times New Roman"/>
                      <w:sz w:val="18"/>
                      <w:szCs w:val="18"/>
                      <w:vertAlign w:val="subscript"/>
                    </w:rPr>
                    <w:t>2</w:t>
                  </w:r>
                </w:p>
              </w:tc>
              <w:tc>
                <w:tcPr>
                  <w:tcW w:w="1695"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年平均质量浓度</w:t>
                  </w:r>
                </w:p>
              </w:tc>
              <w:tc>
                <w:tcPr>
                  <w:tcW w:w="752"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33</w:t>
                  </w:r>
                </w:p>
              </w:tc>
              <w:tc>
                <w:tcPr>
                  <w:tcW w:w="723"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40</w:t>
                  </w:r>
                </w:p>
              </w:tc>
              <w:tc>
                <w:tcPr>
                  <w:tcW w:w="543"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82.5</w:t>
                  </w:r>
                </w:p>
              </w:tc>
              <w:tc>
                <w:tcPr>
                  <w:tcW w:w="437"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PM</w:t>
                  </w:r>
                  <w:r>
                    <w:rPr>
                      <w:rFonts w:ascii="Times New Roman"/>
                      <w:sz w:val="18"/>
                      <w:szCs w:val="18"/>
                      <w:vertAlign w:val="subscript"/>
                    </w:rPr>
                    <w:t>10</w:t>
                  </w:r>
                </w:p>
              </w:tc>
              <w:tc>
                <w:tcPr>
                  <w:tcW w:w="1695"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年平均质量浓度</w:t>
                  </w:r>
                </w:p>
              </w:tc>
              <w:tc>
                <w:tcPr>
                  <w:tcW w:w="752"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79</w:t>
                  </w:r>
                </w:p>
              </w:tc>
              <w:tc>
                <w:tcPr>
                  <w:tcW w:w="723"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70</w:t>
                  </w:r>
                </w:p>
              </w:tc>
              <w:tc>
                <w:tcPr>
                  <w:tcW w:w="543"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112.9</w:t>
                  </w:r>
                </w:p>
              </w:tc>
              <w:tc>
                <w:tcPr>
                  <w:tcW w:w="437"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PM</w:t>
                  </w:r>
                  <w:r>
                    <w:rPr>
                      <w:rFonts w:ascii="Times New Roman"/>
                      <w:sz w:val="18"/>
                      <w:szCs w:val="18"/>
                      <w:vertAlign w:val="subscript"/>
                    </w:rPr>
                    <w:t>2.5</w:t>
                  </w:r>
                </w:p>
              </w:tc>
              <w:tc>
                <w:tcPr>
                  <w:tcW w:w="1695"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年平均质量浓度</w:t>
                  </w:r>
                </w:p>
              </w:tc>
              <w:tc>
                <w:tcPr>
                  <w:tcW w:w="752"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34</w:t>
                  </w:r>
                </w:p>
              </w:tc>
              <w:tc>
                <w:tcPr>
                  <w:tcW w:w="723"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35</w:t>
                  </w:r>
                </w:p>
              </w:tc>
              <w:tc>
                <w:tcPr>
                  <w:tcW w:w="543"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97.1</w:t>
                  </w:r>
                </w:p>
              </w:tc>
              <w:tc>
                <w:tcPr>
                  <w:tcW w:w="437"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CO(mg/m³)</w:t>
                  </w:r>
                </w:p>
              </w:tc>
              <w:tc>
                <w:tcPr>
                  <w:tcW w:w="1695"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95%百分位数日平均</w:t>
                  </w:r>
                </w:p>
              </w:tc>
              <w:tc>
                <w:tcPr>
                  <w:tcW w:w="752"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2.6</w:t>
                  </w:r>
                </w:p>
              </w:tc>
              <w:tc>
                <w:tcPr>
                  <w:tcW w:w="723"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4</w:t>
                  </w:r>
                </w:p>
              </w:tc>
              <w:tc>
                <w:tcPr>
                  <w:tcW w:w="543"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65.0</w:t>
                  </w:r>
                </w:p>
              </w:tc>
              <w:tc>
                <w:tcPr>
                  <w:tcW w:w="437"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46"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O</w:t>
                  </w:r>
                  <w:r>
                    <w:rPr>
                      <w:rFonts w:ascii="Times New Roman"/>
                      <w:sz w:val="18"/>
                      <w:szCs w:val="18"/>
                      <w:vertAlign w:val="subscript"/>
                    </w:rPr>
                    <w:t>3</w:t>
                  </w:r>
                </w:p>
              </w:tc>
              <w:tc>
                <w:tcPr>
                  <w:tcW w:w="1695"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90%百分位数8h平均浓度</w:t>
                  </w:r>
                </w:p>
              </w:tc>
              <w:tc>
                <w:tcPr>
                  <w:tcW w:w="752"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155</w:t>
                  </w:r>
                </w:p>
              </w:tc>
              <w:tc>
                <w:tcPr>
                  <w:tcW w:w="723"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160</w:t>
                  </w:r>
                </w:p>
              </w:tc>
              <w:tc>
                <w:tcPr>
                  <w:tcW w:w="543" w:type="pct"/>
                  <w:vAlign w:val="center"/>
                </w:tcPr>
                <w:p>
                  <w:pPr>
                    <w:pStyle w:val="128"/>
                    <w:adjustRightInd/>
                    <w:snapToGrid/>
                    <w:spacing w:beforeLines="0" w:afterLines="0" w:line="280" w:lineRule="exact"/>
                    <w:ind w:firstLine="0" w:firstLineChars="0"/>
                    <w:rPr>
                      <w:rFonts w:ascii="Times New Roman"/>
                      <w:sz w:val="18"/>
                      <w:szCs w:val="18"/>
                    </w:rPr>
                  </w:pPr>
                  <w:r>
                    <w:rPr>
                      <w:rFonts w:hint="eastAsia" w:ascii="Times New Roman"/>
                      <w:sz w:val="18"/>
                      <w:szCs w:val="18"/>
                    </w:rPr>
                    <w:t>96.9</w:t>
                  </w:r>
                </w:p>
              </w:tc>
              <w:tc>
                <w:tcPr>
                  <w:tcW w:w="437" w:type="pct"/>
                  <w:vAlign w:val="center"/>
                </w:tcPr>
                <w:p>
                  <w:pPr>
                    <w:pStyle w:val="128"/>
                    <w:adjustRightInd/>
                    <w:snapToGrid/>
                    <w:spacing w:beforeLines="0" w:afterLines="0" w:line="280" w:lineRule="exact"/>
                    <w:ind w:firstLine="0" w:firstLineChars="0"/>
                    <w:rPr>
                      <w:rFonts w:ascii="Times New Roman"/>
                      <w:sz w:val="18"/>
                      <w:szCs w:val="18"/>
                    </w:rPr>
                  </w:pPr>
                  <w:r>
                    <w:rPr>
                      <w:rFonts w:ascii="Times New Roman"/>
                      <w:sz w:val="18"/>
                      <w:szCs w:val="18"/>
                    </w:rPr>
                    <w:t>达标</w:t>
                  </w:r>
                </w:p>
              </w:tc>
            </w:tr>
          </w:tbl>
          <w:p>
            <w:pPr>
              <w:ind w:firstLine="480"/>
            </w:pPr>
            <w:r>
              <w:t>由上表可知，唐山市202</w:t>
            </w:r>
            <w:r>
              <w:rPr>
                <w:rFonts w:hint="eastAsia"/>
              </w:rPr>
              <w:t>1</w:t>
            </w:r>
            <w:r>
              <w:t>年区域空气质量现状评价因子SO</w:t>
            </w:r>
            <w:r>
              <w:rPr>
                <w:vertAlign w:val="subscript"/>
              </w:rPr>
              <w:t>2</w:t>
            </w:r>
            <w:r>
              <w:t>年平均质量浓度、NO</w:t>
            </w:r>
            <w:r>
              <w:rPr>
                <w:vertAlign w:val="subscript"/>
              </w:rPr>
              <w:t>2</w:t>
            </w:r>
            <w:r>
              <w:t>年平均质量浓度、PM</w:t>
            </w:r>
            <w:r>
              <w:rPr>
                <w:vertAlign w:val="subscript"/>
              </w:rPr>
              <w:t>2.5</w:t>
            </w:r>
            <w:r>
              <w:t>平均质量浓度</w:t>
            </w:r>
            <w:r>
              <w:rPr>
                <w:rFonts w:hint="eastAsia"/>
              </w:rPr>
              <w:t>、</w:t>
            </w:r>
            <w:r>
              <w:t>CO百分位数日平均浓度</w:t>
            </w:r>
            <w:r>
              <w:rPr>
                <w:rFonts w:hint="eastAsia"/>
              </w:rPr>
              <w:t>、</w:t>
            </w:r>
            <w:r>
              <w:t>O</w:t>
            </w:r>
            <w:r>
              <w:rPr>
                <w:vertAlign w:val="subscript"/>
              </w:rPr>
              <w:t>3</w:t>
            </w:r>
            <w:r>
              <w:t>年平均质量浓度均满足《环境空气质量标准》(GB3095-2012)二级标准及其修改单要求，PM</w:t>
            </w:r>
            <w:r>
              <w:rPr>
                <w:vertAlign w:val="subscript"/>
              </w:rPr>
              <w:t>10</w:t>
            </w:r>
            <w:r>
              <w:t>平均质量浓度超标。</w:t>
            </w:r>
          </w:p>
          <w:p>
            <w:pPr>
              <w:ind w:firstLine="480"/>
            </w:pPr>
            <w:r>
              <w:t>综上判定，项目所在区域为不达标区。</w:t>
            </w:r>
          </w:p>
          <w:p>
            <w:pPr>
              <w:ind w:firstLine="480"/>
              <w:rPr>
                <w:rFonts w:hint="default" w:eastAsia="宋体"/>
                <w:highlight w:val="none"/>
                <w:lang w:val="en-US" w:eastAsia="zh-CN"/>
              </w:rPr>
            </w:pPr>
            <w:r>
              <w:t>(2)</w:t>
            </w:r>
            <w:r>
              <w:rPr>
                <w:rFonts w:hint="eastAsia"/>
                <w:lang w:val="en-US" w:eastAsia="zh-CN"/>
              </w:rPr>
              <w:t>项目特征因子</w:t>
            </w:r>
          </w:p>
          <w:p>
            <w:pPr>
              <w:ind w:firstLine="480"/>
            </w:pPr>
            <w:bookmarkStart w:id="1" w:name="_Ref8046443"/>
            <w:r>
              <w:t>本项目特征因子TSP现状监测引用《唐山松汀钢铁有限公司环境质量现状监测》(德禹(环)字第202110008号)中监测数据，监测时间为2021年11月21日-11月27日，监测点位位于本项目东侧的木厂口村，距厂区最近距离</w:t>
            </w:r>
            <w:r>
              <w:rPr>
                <w:rFonts w:hint="eastAsia"/>
              </w:rPr>
              <w:t>1000</w:t>
            </w:r>
            <w:r>
              <w:t>m，监测报告为项目周边5千米范围内近3年的现有监测数据，监测报告可以引用。</w:t>
            </w:r>
          </w:p>
          <w:p>
            <w:pPr>
              <w:pStyle w:val="167"/>
              <w:spacing w:beforeLines="0" w:line="360" w:lineRule="auto"/>
              <w:ind w:firstLine="482"/>
              <w:rPr>
                <w:highlight w:val="none"/>
              </w:rPr>
            </w:pPr>
          </w:p>
          <w:p>
            <w:pPr>
              <w:pStyle w:val="167"/>
              <w:spacing w:beforeLines="0" w:line="360" w:lineRule="auto"/>
              <w:ind w:firstLine="482"/>
              <w:rPr>
                <w:highlight w:val="none"/>
              </w:rPr>
            </w:pPr>
          </w:p>
          <w:p>
            <w:pPr>
              <w:pStyle w:val="167"/>
              <w:spacing w:beforeLines="0" w:line="360" w:lineRule="auto"/>
              <w:ind w:firstLine="482"/>
              <w:rPr>
                <w:highlight w:val="none"/>
              </w:rPr>
            </w:pPr>
          </w:p>
          <w:p>
            <w:pPr>
              <w:pStyle w:val="167"/>
              <w:spacing w:beforeLines="0" w:line="360" w:lineRule="auto"/>
              <w:ind w:firstLine="482"/>
              <w:rPr>
                <w:highlight w:val="none"/>
              </w:rPr>
            </w:pPr>
            <w:r>
              <w:rPr>
                <w:highlight w:val="none"/>
              </w:rPr>
              <w:t>表</w:t>
            </w:r>
            <w:bookmarkEnd w:id="1"/>
            <w:r>
              <w:rPr>
                <w:rFonts w:hint="eastAsia"/>
                <w:highlight w:val="none"/>
                <w:lang w:val="en-US" w:eastAsia="zh-CN"/>
              </w:rPr>
              <w:t>24</w:t>
            </w:r>
            <w:r>
              <w:rPr>
                <w:highlight w:val="none"/>
              </w:rPr>
              <w:t xml:space="preserve">    监测点位基本信息</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01"/>
              <w:gridCol w:w="1120"/>
              <w:gridCol w:w="1063"/>
              <w:gridCol w:w="772"/>
              <w:gridCol w:w="725"/>
              <w:gridCol w:w="2006"/>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widowControl/>
                    <w:spacing w:line="280" w:lineRule="exact"/>
                    <w:ind w:firstLine="0" w:firstLineChars="0"/>
                    <w:jc w:val="center"/>
                    <w:rPr>
                      <w:sz w:val="18"/>
                      <w:szCs w:val="18"/>
                      <w:highlight w:val="none"/>
                    </w:rPr>
                  </w:pPr>
                  <w:r>
                    <w:rPr>
                      <w:sz w:val="18"/>
                      <w:szCs w:val="18"/>
                      <w:highlight w:val="none"/>
                    </w:rPr>
                    <w:t>序号</w:t>
                  </w:r>
                </w:p>
              </w:tc>
              <w:tc>
                <w:tcPr>
                  <w:tcW w:w="478" w:type="pct"/>
                  <w:vMerge w:val="restart"/>
                  <w:vAlign w:val="center"/>
                </w:tcPr>
                <w:p>
                  <w:pPr>
                    <w:widowControl/>
                    <w:spacing w:line="280" w:lineRule="exact"/>
                    <w:ind w:firstLine="0" w:firstLineChars="0"/>
                    <w:jc w:val="center"/>
                    <w:rPr>
                      <w:sz w:val="18"/>
                      <w:szCs w:val="18"/>
                      <w:highlight w:val="none"/>
                    </w:rPr>
                  </w:pPr>
                  <w:r>
                    <w:rPr>
                      <w:sz w:val="18"/>
                      <w:szCs w:val="18"/>
                      <w:highlight w:val="none"/>
                    </w:rPr>
                    <w:t>监测点名称</w:t>
                  </w:r>
                </w:p>
              </w:tc>
              <w:tc>
                <w:tcPr>
                  <w:tcW w:w="1303" w:type="pct"/>
                  <w:gridSpan w:val="2"/>
                  <w:vAlign w:val="center"/>
                </w:tcPr>
                <w:p>
                  <w:pPr>
                    <w:widowControl/>
                    <w:spacing w:line="280" w:lineRule="exact"/>
                    <w:ind w:firstLine="0" w:firstLineChars="0"/>
                    <w:jc w:val="center"/>
                    <w:rPr>
                      <w:sz w:val="18"/>
                      <w:szCs w:val="18"/>
                      <w:highlight w:val="none"/>
                    </w:rPr>
                  </w:pPr>
                  <w:r>
                    <w:rPr>
                      <w:sz w:val="18"/>
                      <w:szCs w:val="18"/>
                      <w:highlight w:val="none"/>
                    </w:rPr>
                    <w:t>监测点坐标</w:t>
                  </w:r>
                </w:p>
              </w:tc>
              <w:tc>
                <w:tcPr>
                  <w:tcW w:w="460" w:type="pct"/>
                  <w:vMerge w:val="restart"/>
                  <w:vAlign w:val="center"/>
                </w:tcPr>
                <w:p>
                  <w:pPr>
                    <w:widowControl/>
                    <w:spacing w:line="280" w:lineRule="exact"/>
                    <w:ind w:firstLine="0" w:firstLineChars="0"/>
                    <w:jc w:val="center"/>
                    <w:rPr>
                      <w:sz w:val="18"/>
                      <w:szCs w:val="18"/>
                      <w:highlight w:val="none"/>
                    </w:rPr>
                  </w:pPr>
                  <w:r>
                    <w:rPr>
                      <w:sz w:val="18"/>
                      <w:szCs w:val="18"/>
                      <w:highlight w:val="none"/>
                    </w:rPr>
                    <w:t>相对厂址方位</w:t>
                  </w:r>
                </w:p>
              </w:tc>
              <w:tc>
                <w:tcPr>
                  <w:tcW w:w="432" w:type="pct"/>
                  <w:vMerge w:val="restart"/>
                  <w:vAlign w:val="center"/>
                </w:tcPr>
                <w:p>
                  <w:pPr>
                    <w:widowControl/>
                    <w:spacing w:line="280" w:lineRule="exact"/>
                    <w:ind w:firstLine="0" w:firstLineChars="0"/>
                    <w:jc w:val="center"/>
                    <w:rPr>
                      <w:sz w:val="18"/>
                      <w:szCs w:val="18"/>
                      <w:highlight w:val="none"/>
                    </w:rPr>
                  </w:pPr>
                  <w:r>
                    <w:rPr>
                      <w:sz w:val="18"/>
                      <w:szCs w:val="18"/>
                      <w:highlight w:val="none"/>
                    </w:rPr>
                    <w:t>监测因子</w:t>
                  </w:r>
                </w:p>
              </w:tc>
              <w:tc>
                <w:tcPr>
                  <w:tcW w:w="1197" w:type="pct"/>
                  <w:vMerge w:val="restart"/>
                  <w:vAlign w:val="center"/>
                </w:tcPr>
                <w:p>
                  <w:pPr>
                    <w:widowControl/>
                    <w:spacing w:line="280" w:lineRule="exact"/>
                    <w:ind w:firstLine="0" w:firstLineChars="0"/>
                    <w:jc w:val="center"/>
                    <w:rPr>
                      <w:sz w:val="18"/>
                      <w:szCs w:val="18"/>
                      <w:highlight w:val="none"/>
                    </w:rPr>
                  </w:pPr>
                  <w:r>
                    <w:rPr>
                      <w:sz w:val="18"/>
                      <w:szCs w:val="18"/>
                      <w:highlight w:val="none"/>
                    </w:rPr>
                    <w:t>监测时段</w:t>
                  </w:r>
                </w:p>
              </w:tc>
              <w:tc>
                <w:tcPr>
                  <w:tcW w:w="881" w:type="pct"/>
                  <w:vMerge w:val="restart"/>
                  <w:vAlign w:val="center"/>
                </w:tcPr>
                <w:p>
                  <w:pPr>
                    <w:widowControl/>
                    <w:spacing w:line="280" w:lineRule="exact"/>
                    <w:ind w:firstLine="0" w:firstLineChars="0"/>
                    <w:jc w:val="center"/>
                    <w:rPr>
                      <w:sz w:val="18"/>
                      <w:szCs w:val="18"/>
                      <w:highlight w:val="none"/>
                    </w:rPr>
                  </w:pPr>
                  <w:r>
                    <w:rPr>
                      <w:sz w:val="18"/>
                      <w:szCs w:val="18"/>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widowControl/>
                    <w:spacing w:line="280" w:lineRule="exact"/>
                    <w:ind w:firstLine="0" w:firstLineChars="0"/>
                    <w:jc w:val="center"/>
                    <w:rPr>
                      <w:sz w:val="18"/>
                      <w:szCs w:val="18"/>
                      <w:highlight w:val="none"/>
                    </w:rPr>
                  </w:pPr>
                </w:p>
              </w:tc>
              <w:tc>
                <w:tcPr>
                  <w:tcW w:w="478" w:type="pct"/>
                  <w:vMerge w:val="continue"/>
                  <w:vAlign w:val="center"/>
                </w:tcPr>
                <w:p>
                  <w:pPr>
                    <w:widowControl/>
                    <w:spacing w:line="280" w:lineRule="exact"/>
                    <w:ind w:firstLine="0" w:firstLineChars="0"/>
                    <w:jc w:val="center"/>
                    <w:rPr>
                      <w:sz w:val="18"/>
                      <w:szCs w:val="18"/>
                      <w:highlight w:val="none"/>
                    </w:rPr>
                  </w:pPr>
                </w:p>
              </w:tc>
              <w:tc>
                <w:tcPr>
                  <w:tcW w:w="668" w:type="pct"/>
                  <w:vAlign w:val="center"/>
                </w:tcPr>
                <w:p>
                  <w:pPr>
                    <w:widowControl/>
                    <w:spacing w:line="280" w:lineRule="exact"/>
                    <w:ind w:firstLine="0" w:firstLineChars="0"/>
                    <w:jc w:val="center"/>
                    <w:rPr>
                      <w:sz w:val="18"/>
                      <w:szCs w:val="18"/>
                      <w:highlight w:val="none"/>
                    </w:rPr>
                  </w:pPr>
                  <w:r>
                    <w:rPr>
                      <w:sz w:val="18"/>
                      <w:szCs w:val="18"/>
                      <w:highlight w:val="none"/>
                    </w:rPr>
                    <w:t>东经(°)</w:t>
                  </w:r>
                </w:p>
              </w:tc>
              <w:tc>
                <w:tcPr>
                  <w:tcW w:w="634" w:type="pct"/>
                  <w:vAlign w:val="center"/>
                </w:tcPr>
                <w:p>
                  <w:pPr>
                    <w:widowControl/>
                    <w:spacing w:line="280" w:lineRule="exact"/>
                    <w:ind w:firstLine="0" w:firstLineChars="0"/>
                    <w:jc w:val="center"/>
                    <w:rPr>
                      <w:sz w:val="18"/>
                      <w:szCs w:val="18"/>
                      <w:highlight w:val="none"/>
                    </w:rPr>
                  </w:pPr>
                  <w:r>
                    <w:rPr>
                      <w:sz w:val="18"/>
                      <w:szCs w:val="18"/>
                      <w:highlight w:val="none"/>
                    </w:rPr>
                    <w:t>北纬(°)</w:t>
                  </w:r>
                </w:p>
              </w:tc>
              <w:tc>
                <w:tcPr>
                  <w:tcW w:w="460" w:type="pct"/>
                  <w:vMerge w:val="continue"/>
                  <w:vAlign w:val="center"/>
                </w:tcPr>
                <w:p>
                  <w:pPr>
                    <w:widowControl/>
                    <w:spacing w:line="280" w:lineRule="exact"/>
                    <w:ind w:firstLine="0" w:firstLineChars="0"/>
                    <w:jc w:val="center"/>
                    <w:rPr>
                      <w:sz w:val="18"/>
                      <w:szCs w:val="18"/>
                      <w:highlight w:val="none"/>
                    </w:rPr>
                  </w:pPr>
                </w:p>
              </w:tc>
              <w:tc>
                <w:tcPr>
                  <w:tcW w:w="432" w:type="pct"/>
                  <w:vMerge w:val="continue"/>
                  <w:vAlign w:val="center"/>
                </w:tcPr>
                <w:p>
                  <w:pPr>
                    <w:widowControl/>
                    <w:spacing w:line="280" w:lineRule="exact"/>
                    <w:ind w:firstLine="0" w:firstLineChars="0"/>
                    <w:jc w:val="center"/>
                    <w:rPr>
                      <w:sz w:val="18"/>
                      <w:szCs w:val="18"/>
                      <w:highlight w:val="none"/>
                    </w:rPr>
                  </w:pPr>
                </w:p>
              </w:tc>
              <w:tc>
                <w:tcPr>
                  <w:tcW w:w="1197" w:type="pct"/>
                  <w:vMerge w:val="continue"/>
                  <w:vAlign w:val="center"/>
                </w:tcPr>
                <w:p>
                  <w:pPr>
                    <w:widowControl/>
                    <w:spacing w:line="280" w:lineRule="exact"/>
                    <w:ind w:firstLine="0" w:firstLineChars="0"/>
                    <w:jc w:val="center"/>
                    <w:rPr>
                      <w:sz w:val="18"/>
                      <w:szCs w:val="18"/>
                      <w:highlight w:val="none"/>
                    </w:rPr>
                  </w:pPr>
                </w:p>
              </w:tc>
              <w:tc>
                <w:tcPr>
                  <w:tcW w:w="881" w:type="pct"/>
                  <w:vMerge w:val="continue"/>
                  <w:vAlign w:val="center"/>
                </w:tcPr>
                <w:p>
                  <w:pPr>
                    <w:widowControl/>
                    <w:spacing w:line="280" w:lineRule="exact"/>
                    <w:ind w:firstLine="0" w:firstLineChars="0"/>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44" w:type="pct"/>
                  <w:vAlign w:val="center"/>
                </w:tcPr>
                <w:p>
                  <w:pPr>
                    <w:widowControl/>
                    <w:spacing w:line="280" w:lineRule="exact"/>
                    <w:ind w:firstLine="0" w:firstLineChars="0"/>
                    <w:jc w:val="center"/>
                    <w:rPr>
                      <w:sz w:val="18"/>
                      <w:szCs w:val="18"/>
                      <w:highlight w:val="none"/>
                    </w:rPr>
                  </w:pPr>
                  <w:r>
                    <w:rPr>
                      <w:sz w:val="18"/>
                      <w:szCs w:val="18"/>
                      <w:highlight w:val="none"/>
                    </w:rPr>
                    <w:t>1</w:t>
                  </w:r>
                </w:p>
              </w:tc>
              <w:tc>
                <w:tcPr>
                  <w:tcW w:w="478" w:type="pct"/>
                  <w:vAlign w:val="center"/>
                </w:tcPr>
                <w:p>
                  <w:pPr>
                    <w:widowControl/>
                    <w:spacing w:line="280" w:lineRule="exact"/>
                    <w:ind w:firstLine="0" w:firstLineChars="0"/>
                    <w:jc w:val="center"/>
                    <w:rPr>
                      <w:sz w:val="18"/>
                      <w:szCs w:val="18"/>
                      <w:highlight w:val="none"/>
                    </w:rPr>
                  </w:pPr>
                  <w:r>
                    <w:rPr>
                      <w:sz w:val="18"/>
                      <w:szCs w:val="18"/>
                      <w:highlight w:val="none"/>
                    </w:rPr>
                    <w:t>木厂口村</w:t>
                  </w:r>
                </w:p>
              </w:tc>
              <w:tc>
                <w:tcPr>
                  <w:tcW w:w="668" w:type="pct"/>
                  <w:vAlign w:val="center"/>
                </w:tcPr>
                <w:p>
                  <w:pPr>
                    <w:widowControl/>
                    <w:spacing w:line="280" w:lineRule="exact"/>
                    <w:ind w:firstLine="0" w:firstLineChars="0"/>
                    <w:jc w:val="center"/>
                    <w:rPr>
                      <w:sz w:val="18"/>
                      <w:szCs w:val="18"/>
                      <w:highlight w:val="none"/>
                    </w:rPr>
                  </w:pPr>
                  <w:r>
                    <w:rPr>
                      <w:sz w:val="18"/>
                      <w:szCs w:val="18"/>
                      <w:highlight w:val="none"/>
                    </w:rPr>
                    <w:t>118.594188</w:t>
                  </w:r>
                </w:p>
              </w:tc>
              <w:tc>
                <w:tcPr>
                  <w:tcW w:w="634" w:type="pct"/>
                  <w:vAlign w:val="center"/>
                </w:tcPr>
                <w:p>
                  <w:pPr>
                    <w:widowControl/>
                    <w:spacing w:line="280" w:lineRule="exact"/>
                    <w:ind w:firstLine="0" w:firstLineChars="0"/>
                    <w:jc w:val="center"/>
                    <w:rPr>
                      <w:sz w:val="18"/>
                      <w:szCs w:val="18"/>
                      <w:highlight w:val="none"/>
                    </w:rPr>
                  </w:pPr>
                  <w:r>
                    <w:rPr>
                      <w:sz w:val="18"/>
                      <w:szCs w:val="18"/>
                      <w:highlight w:val="none"/>
                    </w:rPr>
                    <w:t>39.941988</w:t>
                  </w:r>
                </w:p>
              </w:tc>
              <w:tc>
                <w:tcPr>
                  <w:tcW w:w="460" w:type="pct"/>
                  <w:vAlign w:val="center"/>
                </w:tcPr>
                <w:p>
                  <w:pPr>
                    <w:widowControl/>
                    <w:spacing w:line="280" w:lineRule="exact"/>
                    <w:ind w:firstLine="0" w:firstLineChars="0"/>
                    <w:jc w:val="center"/>
                    <w:rPr>
                      <w:sz w:val="18"/>
                      <w:szCs w:val="18"/>
                      <w:highlight w:val="none"/>
                    </w:rPr>
                  </w:pPr>
                  <w:r>
                    <w:rPr>
                      <w:sz w:val="18"/>
                      <w:szCs w:val="18"/>
                      <w:highlight w:val="none"/>
                    </w:rPr>
                    <w:t>E</w:t>
                  </w:r>
                </w:p>
              </w:tc>
              <w:tc>
                <w:tcPr>
                  <w:tcW w:w="432" w:type="pct"/>
                  <w:vAlign w:val="center"/>
                </w:tcPr>
                <w:p>
                  <w:pPr>
                    <w:widowControl/>
                    <w:spacing w:line="280" w:lineRule="exact"/>
                    <w:ind w:firstLine="0" w:firstLineChars="0"/>
                    <w:jc w:val="center"/>
                    <w:rPr>
                      <w:rFonts w:hint="default" w:eastAsia="宋体"/>
                      <w:sz w:val="18"/>
                      <w:szCs w:val="18"/>
                      <w:highlight w:val="none"/>
                      <w:lang w:val="en-US" w:eastAsia="zh-CN"/>
                    </w:rPr>
                  </w:pPr>
                  <w:r>
                    <w:rPr>
                      <w:sz w:val="18"/>
                      <w:szCs w:val="18"/>
                      <w:highlight w:val="none"/>
                    </w:rPr>
                    <w:t>TSP</w:t>
                  </w:r>
                  <w:r>
                    <w:rPr>
                      <w:rFonts w:hint="eastAsia"/>
                      <w:sz w:val="18"/>
                      <w:szCs w:val="18"/>
                      <w:highlight w:val="none"/>
                      <w:lang w:eastAsia="zh-CN"/>
                    </w:rPr>
                    <w:t>、</w:t>
                  </w:r>
                  <w:r>
                    <w:rPr>
                      <w:rFonts w:hint="eastAsia"/>
                      <w:sz w:val="18"/>
                      <w:szCs w:val="18"/>
                      <w:highlight w:val="none"/>
                      <w:lang w:val="en-US" w:eastAsia="zh-CN"/>
                    </w:rPr>
                    <w:t>氯化氢、氨</w:t>
                  </w:r>
                </w:p>
              </w:tc>
              <w:tc>
                <w:tcPr>
                  <w:tcW w:w="1197" w:type="pct"/>
                  <w:vAlign w:val="center"/>
                </w:tcPr>
                <w:p>
                  <w:pPr>
                    <w:widowControl/>
                    <w:spacing w:line="280" w:lineRule="exact"/>
                    <w:ind w:firstLine="0" w:firstLineChars="0"/>
                    <w:jc w:val="center"/>
                    <w:rPr>
                      <w:sz w:val="18"/>
                      <w:szCs w:val="18"/>
                      <w:highlight w:val="none"/>
                    </w:rPr>
                  </w:pPr>
                  <w:r>
                    <w:rPr>
                      <w:sz w:val="18"/>
                      <w:szCs w:val="18"/>
                      <w:highlight w:val="none"/>
                    </w:rPr>
                    <w:t>2021年11月21日-11月27日连续检测7天</w:t>
                  </w:r>
                </w:p>
              </w:tc>
              <w:tc>
                <w:tcPr>
                  <w:tcW w:w="881" w:type="pct"/>
                  <w:vAlign w:val="center"/>
                </w:tcPr>
                <w:p>
                  <w:pPr>
                    <w:widowControl/>
                    <w:spacing w:line="280" w:lineRule="exact"/>
                    <w:ind w:firstLine="0" w:firstLineChars="0"/>
                    <w:jc w:val="center"/>
                    <w:rPr>
                      <w:sz w:val="18"/>
                      <w:szCs w:val="18"/>
                      <w:highlight w:val="none"/>
                    </w:rPr>
                  </w:pPr>
                  <w:r>
                    <w:rPr>
                      <w:sz w:val="18"/>
                      <w:szCs w:val="18"/>
                      <w:highlight w:val="none"/>
                    </w:rPr>
                    <w:t>德禹(环)字第202110008号</w:t>
                  </w:r>
                </w:p>
              </w:tc>
            </w:tr>
          </w:tbl>
          <w:p>
            <w:pPr>
              <w:ind w:firstLine="480"/>
              <w:rPr>
                <w:highlight w:val="yellow"/>
              </w:rPr>
            </w:pPr>
            <w:r>
              <w:rPr>
                <w:highlight w:val="none"/>
              </w:rPr>
              <w:t>大气环境质量现状监测统计结果见表</w:t>
            </w:r>
            <w:r>
              <w:rPr>
                <w:rFonts w:hint="eastAsia"/>
                <w:highlight w:val="none"/>
                <w:lang w:val="en-US" w:eastAsia="zh-CN"/>
              </w:rPr>
              <w:t>25</w:t>
            </w:r>
            <w:r>
              <w:rPr>
                <w:highlight w:val="none"/>
              </w:rPr>
              <w:t>。</w:t>
            </w:r>
          </w:p>
          <w:p>
            <w:pPr>
              <w:ind w:firstLine="0" w:firstLineChars="0"/>
              <w:jc w:val="center"/>
              <w:rPr>
                <w:b/>
                <w:bCs/>
              </w:rPr>
            </w:pPr>
            <w:r>
              <w:rPr>
                <w:b/>
                <w:bCs/>
              </w:rPr>
              <w:t>表</w:t>
            </w:r>
            <w:r>
              <w:rPr>
                <w:rFonts w:hint="eastAsia"/>
                <w:b/>
                <w:bCs/>
                <w:lang w:val="en-US" w:eastAsia="zh-CN"/>
              </w:rPr>
              <w:t>25</w:t>
            </w:r>
            <w:r>
              <w:rPr>
                <w:b/>
                <w:bCs/>
              </w:rPr>
              <w:t xml:space="preserve">    现状监测结果统计评价表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7"/>
              <w:gridCol w:w="998"/>
              <w:gridCol w:w="1063"/>
              <w:gridCol w:w="1184"/>
              <w:gridCol w:w="1491"/>
              <w:gridCol w:w="1179"/>
              <w:gridCol w:w="844"/>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监测点名称</w:t>
                  </w:r>
                </w:p>
              </w:tc>
              <w:tc>
                <w:tcPr>
                  <w:tcW w:w="595"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污染物</w:t>
                  </w:r>
                </w:p>
              </w:tc>
              <w:tc>
                <w:tcPr>
                  <w:tcW w:w="63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平均时间</w:t>
                  </w:r>
                </w:p>
              </w:tc>
              <w:tc>
                <w:tcPr>
                  <w:tcW w:w="70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评价标准</w:t>
                  </w:r>
                </w:p>
                <w:p>
                  <w:pPr>
                    <w:widowControl/>
                    <w:adjustRightInd w:val="0"/>
                    <w:snapToGrid w:val="0"/>
                    <w:spacing w:line="240" w:lineRule="exact"/>
                    <w:ind w:firstLine="0" w:firstLineChars="0"/>
                    <w:jc w:val="center"/>
                    <w:rPr>
                      <w:sz w:val="18"/>
                      <w:szCs w:val="18"/>
                    </w:rPr>
                  </w:pPr>
                  <w:r>
                    <w:rPr>
                      <w:sz w:val="18"/>
                      <w:szCs w:val="18"/>
                    </w:rPr>
                    <w:t>(mg/m³)</w:t>
                  </w:r>
                </w:p>
              </w:tc>
              <w:tc>
                <w:tcPr>
                  <w:tcW w:w="890"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浓度范围</w:t>
                  </w:r>
                </w:p>
                <w:p>
                  <w:pPr>
                    <w:widowControl/>
                    <w:adjustRightInd w:val="0"/>
                    <w:snapToGrid w:val="0"/>
                    <w:spacing w:line="240" w:lineRule="exact"/>
                    <w:ind w:firstLine="0" w:firstLineChars="0"/>
                    <w:jc w:val="center"/>
                    <w:rPr>
                      <w:sz w:val="18"/>
                      <w:szCs w:val="18"/>
                    </w:rPr>
                  </w:pPr>
                  <w:r>
                    <w:rPr>
                      <w:sz w:val="18"/>
                      <w:szCs w:val="18"/>
                    </w:rPr>
                    <w:t>(μg/m³)</w:t>
                  </w:r>
                </w:p>
              </w:tc>
              <w:tc>
                <w:tcPr>
                  <w:tcW w:w="703"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最大浓度占标率%</w:t>
                  </w:r>
                </w:p>
              </w:tc>
              <w:tc>
                <w:tcPr>
                  <w:tcW w:w="503"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超标率％</w:t>
                  </w:r>
                </w:p>
              </w:tc>
              <w:tc>
                <w:tcPr>
                  <w:tcW w:w="40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vMerge w:val="restar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木厂口村</w:t>
                  </w:r>
                </w:p>
              </w:tc>
              <w:tc>
                <w:tcPr>
                  <w:tcW w:w="595"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TSP</w:t>
                  </w:r>
                </w:p>
              </w:tc>
              <w:tc>
                <w:tcPr>
                  <w:tcW w:w="63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日平均</w:t>
                  </w:r>
                </w:p>
              </w:tc>
              <w:tc>
                <w:tcPr>
                  <w:tcW w:w="70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0.3</w:t>
                  </w:r>
                </w:p>
              </w:tc>
              <w:tc>
                <w:tcPr>
                  <w:tcW w:w="890"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143-268</w:t>
                  </w:r>
                </w:p>
              </w:tc>
              <w:tc>
                <w:tcPr>
                  <w:tcW w:w="703"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47.67-89.33</w:t>
                  </w:r>
                </w:p>
              </w:tc>
              <w:tc>
                <w:tcPr>
                  <w:tcW w:w="503"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0</w:t>
                  </w:r>
                </w:p>
              </w:tc>
              <w:tc>
                <w:tcPr>
                  <w:tcW w:w="40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vMerge w:val="continue"/>
                  <w:tcBorders>
                    <w:tl2br w:val="nil"/>
                    <w:tr2bl w:val="nil"/>
                  </w:tcBorders>
                  <w:vAlign w:val="center"/>
                </w:tcPr>
                <w:p>
                  <w:pPr>
                    <w:widowControl/>
                    <w:adjustRightInd w:val="0"/>
                    <w:snapToGrid w:val="0"/>
                    <w:spacing w:line="240" w:lineRule="exact"/>
                    <w:ind w:firstLine="0" w:firstLineChars="0"/>
                    <w:jc w:val="center"/>
                    <w:rPr>
                      <w:sz w:val="18"/>
                      <w:szCs w:val="18"/>
                    </w:rPr>
                  </w:pPr>
                </w:p>
              </w:tc>
              <w:tc>
                <w:tcPr>
                  <w:tcW w:w="595" w:type="pct"/>
                  <w:tcBorders>
                    <w:tl2br w:val="nil"/>
                    <w:tr2bl w:val="nil"/>
                  </w:tcBorders>
                  <w:vAlign w:val="center"/>
                </w:tcPr>
                <w:p>
                  <w:pPr>
                    <w:widowControl/>
                    <w:adjustRightInd w:val="0"/>
                    <w:snapToGrid w:val="0"/>
                    <w:spacing w:line="240" w:lineRule="exact"/>
                    <w:ind w:firstLine="0" w:firstLineChars="0"/>
                    <w:jc w:val="center"/>
                    <w:rPr>
                      <w:rFonts w:hint="default" w:eastAsia="宋体"/>
                      <w:sz w:val="18"/>
                      <w:szCs w:val="18"/>
                      <w:lang w:val="en-US" w:eastAsia="zh-CN"/>
                    </w:rPr>
                  </w:pPr>
                  <w:r>
                    <w:rPr>
                      <w:rFonts w:hint="eastAsia"/>
                      <w:sz w:val="18"/>
                      <w:szCs w:val="18"/>
                      <w:lang w:val="en-US" w:eastAsia="zh-CN"/>
                    </w:rPr>
                    <w:t>氯化氢</w:t>
                  </w:r>
                </w:p>
              </w:tc>
              <w:tc>
                <w:tcPr>
                  <w:tcW w:w="634" w:type="pct"/>
                  <w:tcBorders>
                    <w:tl2br w:val="nil"/>
                    <w:tr2bl w:val="nil"/>
                  </w:tcBorders>
                  <w:vAlign w:val="center"/>
                </w:tcPr>
                <w:p>
                  <w:pPr>
                    <w:widowControl/>
                    <w:adjustRightInd w:val="0"/>
                    <w:snapToGrid w:val="0"/>
                    <w:spacing w:line="240" w:lineRule="exact"/>
                    <w:ind w:firstLine="0" w:firstLineChars="0"/>
                    <w:jc w:val="center"/>
                    <w:rPr>
                      <w:rFonts w:hint="default" w:eastAsia="宋体"/>
                      <w:sz w:val="18"/>
                      <w:szCs w:val="18"/>
                      <w:lang w:val="en-US" w:eastAsia="zh-CN"/>
                    </w:rPr>
                  </w:pPr>
                  <w:r>
                    <w:rPr>
                      <w:rFonts w:hint="eastAsia"/>
                      <w:sz w:val="18"/>
                      <w:szCs w:val="18"/>
                      <w:lang w:val="en-US" w:eastAsia="zh-CN"/>
                    </w:rPr>
                    <w:t>小时平均</w:t>
                  </w:r>
                </w:p>
              </w:tc>
              <w:tc>
                <w:tcPr>
                  <w:tcW w:w="706" w:type="pct"/>
                  <w:tcBorders>
                    <w:tl2br w:val="nil"/>
                    <w:tr2bl w:val="nil"/>
                  </w:tcBorders>
                  <w:vAlign w:val="center"/>
                </w:tcPr>
                <w:p>
                  <w:pPr>
                    <w:widowControl/>
                    <w:adjustRightInd w:val="0"/>
                    <w:snapToGrid w:val="0"/>
                    <w:spacing w:line="240" w:lineRule="exact"/>
                    <w:ind w:firstLine="0" w:firstLineChars="0"/>
                    <w:jc w:val="center"/>
                    <w:rPr>
                      <w:rFonts w:hint="default" w:eastAsia="宋体"/>
                      <w:sz w:val="18"/>
                      <w:szCs w:val="18"/>
                      <w:lang w:val="en-US" w:eastAsia="zh-CN"/>
                    </w:rPr>
                  </w:pPr>
                  <w:r>
                    <w:rPr>
                      <w:rFonts w:hint="eastAsia"/>
                      <w:sz w:val="18"/>
                      <w:szCs w:val="18"/>
                      <w:lang w:val="en-US" w:eastAsia="zh-CN"/>
                    </w:rPr>
                    <w:t>0.05</w:t>
                  </w:r>
                </w:p>
              </w:tc>
              <w:tc>
                <w:tcPr>
                  <w:tcW w:w="890" w:type="pct"/>
                  <w:tcBorders>
                    <w:tl2br w:val="nil"/>
                    <w:tr2bl w:val="nil"/>
                  </w:tcBorders>
                  <w:vAlign w:val="center"/>
                </w:tcPr>
                <w:p>
                  <w:pPr>
                    <w:widowControl/>
                    <w:adjustRightInd w:val="0"/>
                    <w:snapToGrid w:val="0"/>
                    <w:spacing w:line="240" w:lineRule="exact"/>
                    <w:ind w:firstLine="0" w:firstLineChars="0"/>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未检出</w:t>
                  </w:r>
                </w:p>
              </w:tc>
              <w:tc>
                <w:tcPr>
                  <w:tcW w:w="703" w:type="pct"/>
                  <w:tcBorders>
                    <w:tl2br w:val="nil"/>
                    <w:tr2bl w:val="nil"/>
                  </w:tcBorders>
                  <w:vAlign w:val="center"/>
                </w:tcPr>
                <w:p>
                  <w:pPr>
                    <w:widowControl/>
                    <w:adjustRightInd w:val="0"/>
                    <w:snapToGrid w:val="0"/>
                    <w:spacing w:line="240" w:lineRule="exact"/>
                    <w:ind w:firstLine="0" w:firstLineChars="0"/>
                    <w:jc w:val="center"/>
                    <w:rPr>
                      <w:rFonts w:hint="eastAsia" w:ascii="Times New Roman" w:hAnsi="Times New Roman" w:eastAsia="宋体" w:cs="Times New Roman"/>
                      <w:kern w:val="2"/>
                      <w:sz w:val="18"/>
                      <w:szCs w:val="18"/>
                      <w:lang w:val="en-US" w:eastAsia="zh-CN" w:bidi="ar-SA"/>
                    </w:rPr>
                  </w:pPr>
                  <w:r>
                    <w:rPr>
                      <w:rFonts w:hint="eastAsia"/>
                      <w:sz w:val="18"/>
                      <w:szCs w:val="18"/>
                      <w:lang w:eastAsia="zh-CN"/>
                    </w:rPr>
                    <w:t>—</w:t>
                  </w:r>
                </w:p>
              </w:tc>
              <w:tc>
                <w:tcPr>
                  <w:tcW w:w="503" w:type="pct"/>
                  <w:tcBorders>
                    <w:tl2br w:val="nil"/>
                    <w:tr2bl w:val="nil"/>
                  </w:tcBorders>
                  <w:vAlign w:val="center"/>
                </w:tcPr>
                <w:p>
                  <w:pPr>
                    <w:widowControl/>
                    <w:adjustRightInd w:val="0"/>
                    <w:snapToGrid w:val="0"/>
                    <w:spacing w:line="240" w:lineRule="exact"/>
                    <w:ind w:firstLine="0" w:firstLineChars="0"/>
                    <w:jc w:val="center"/>
                    <w:rPr>
                      <w:rFonts w:ascii="Times New Roman" w:hAnsi="Times New Roman" w:eastAsia="宋体" w:cs="Times New Roman"/>
                      <w:kern w:val="2"/>
                      <w:sz w:val="18"/>
                      <w:szCs w:val="18"/>
                      <w:lang w:val="en-US" w:eastAsia="zh-CN" w:bidi="ar-SA"/>
                    </w:rPr>
                  </w:pPr>
                  <w:r>
                    <w:rPr>
                      <w:rFonts w:hint="eastAsia"/>
                      <w:sz w:val="18"/>
                      <w:szCs w:val="18"/>
                      <w:lang w:eastAsia="zh-CN"/>
                    </w:rPr>
                    <w:t>—</w:t>
                  </w:r>
                </w:p>
              </w:tc>
              <w:tc>
                <w:tcPr>
                  <w:tcW w:w="404" w:type="pct"/>
                  <w:tcBorders>
                    <w:tl2br w:val="nil"/>
                    <w:tr2bl w:val="nil"/>
                  </w:tcBorders>
                  <w:vAlign w:val="center"/>
                </w:tcPr>
                <w:p>
                  <w:pPr>
                    <w:widowControl/>
                    <w:adjustRightInd w:val="0"/>
                    <w:snapToGrid w:val="0"/>
                    <w:spacing w:line="240" w:lineRule="exact"/>
                    <w:ind w:firstLine="0" w:firstLineChars="0"/>
                    <w:jc w:val="center"/>
                    <w:rPr>
                      <w:rFonts w:ascii="Times New Roman" w:hAnsi="Times New Roman" w:eastAsia="宋体" w:cs="Times New Roman"/>
                      <w:kern w:val="2"/>
                      <w:sz w:val="18"/>
                      <w:szCs w:val="18"/>
                      <w:lang w:val="en-US" w:eastAsia="zh-CN" w:bidi="ar-SA"/>
                    </w:rPr>
                  </w:pPr>
                  <w:r>
                    <w:rPr>
                      <w:rFonts w:hint="eastAsia"/>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9" w:type="pct"/>
                  <w:vMerge w:val="continue"/>
                  <w:tcBorders>
                    <w:tl2br w:val="nil"/>
                    <w:tr2bl w:val="nil"/>
                  </w:tcBorders>
                  <w:vAlign w:val="center"/>
                </w:tcPr>
                <w:p>
                  <w:pPr>
                    <w:widowControl/>
                    <w:adjustRightInd w:val="0"/>
                    <w:snapToGrid w:val="0"/>
                    <w:spacing w:line="240" w:lineRule="exact"/>
                    <w:ind w:firstLine="0" w:firstLineChars="0"/>
                    <w:jc w:val="center"/>
                    <w:rPr>
                      <w:sz w:val="18"/>
                      <w:szCs w:val="18"/>
                    </w:rPr>
                  </w:pPr>
                </w:p>
              </w:tc>
              <w:tc>
                <w:tcPr>
                  <w:tcW w:w="595" w:type="pct"/>
                  <w:tcBorders>
                    <w:tl2br w:val="nil"/>
                    <w:tr2bl w:val="nil"/>
                  </w:tcBorders>
                  <w:vAlign w:val="center"/>
                </w:tcPr>
                <w:p>
                  <w:pPr>
                    <w:widowControl/>
                    <w:adjustRightInd w:val="0"/>
                    <w:snapToGrid w:val="0"/>
                    <w:spacing w:line="240" w:lineRule="exact"/>
                    <w:ind w:firstLine="0" w:firstLineChars="0"/>
                    <w:jc w:val="center"/>
                    <w:rPr>
                      <w:rFonts w:hint="eastAsia" w:eastAsia="宋体"/>
                      <w:sz w:val="18"/>
                      <w:szCs w:val="18"/>
                      <w:lang w:val="en-US" w:eastAsia="zh-CN"/>
                    </w:rPr>
                  </w:pPr>
                  <w:r>
                    <w:rPr>
                      <w:rFonts w:hint="eastAsia"/>
                      <w:sz w:val="18"/>
                      <w:szCs w:val="18"/>
                      <w:lang w:val="en-US" w:eastAsia="zh-CN"/>
                    </w:rPr>
                    <w:t>氨</w:t>
                  </w:r>
                </w:p>
              </w:tc>
              <w:tc>
                <w:tcPr>
                  <w:tcW w:w="634" w:type="pct"/>
                  <w:tcBorders>
                    <w:tl2br w:val="nil"/>
                    <w:tr2bl w:val="nil"/>
                  </w:tcBorders>
                  <w:vAlign w:val="center"/>
                </w:tcPr>
                <w:p>
                  <w:pPr>
                    <w:widowControl/>
                    <w:adjustRightInd w:val="0"/>
                    <w:snapToGrid w:val="0"/>
                    <w:spacing w:line="240" w:lineRule="exact"/>
                    <w:ind w:firstLine="0" w:firstLineChars="0"/>
                    <w:jc w:val="center"/>
                    <w:rPr>
                      <w:rFonts w:hint="default" w:eastAsia="宋体"/>
                      <w:sz w:val="18"/>
                      <w:szCs w:val="18"/>
                      <w:lang w:val="en-US" w:eastAsia="zh-CN"/>
                    </w:rPr>
                  </w:pPr>
                  <w:r>
                    <w:rPr>
                      <w:rFonts w:hint="eastAsia"/>
                      <w:sz w:val="18"/>
                      <w:szCs w:val="18"/>
                      <w:lang w:val="en-US" w:eastAsia="zh-CN"/>
                    </w:rPr>
                    <w:t>小时平均</w:t>
                  </w:r>
                </w:p>
              </w:tc>
              <w:tc>
                <w:tcPr>
                  <w:tcW w:w="706" w:type="pct"/>
                  <w:tcBorders>
                    <w:tl2br w:val="nil"/>
                    <w:tr2bl w:val="nil"/>
                  </w:tcBorders>
                  <w:vAlign w:val="center"/>
                </w:tcPr>
                <w:p>
                  <w:pPr>
                    <w:widowControl/>
                    <w:adjustRightInd w:val="0"/>
                    <w:snapToGrid w:val="0"/>
                    <w:spacing w:line="240" w:lineRule="exact"/>
                    <w:ind w:firstLine="0" w:firstLineChars="0"/>
                    <w:jc w:val="center"/>
                    <w:rPr>
                      <w:rFonts w:hint="default" w:eastAsia="宋体"/>
                      <w:sz w:val="18"/>
                      <w:szCs w:val="18"/>
                      <w:lang w:val="en-US" w:eastAsia="zh-CN"/>
                    </w:rPr>
                  </w:pPr>
                  <w:r>
                    <w:rPr>
                      <w:rFonts w:hint="eastAsia"/>
                      <w:sz w:val="18"/>
                      <w:szCs w:val="18"/>
                      <w:lang w:val="en-US" w:eastAsia="zh-CN"/>
                    </w:rPr>
                    <w:t>0.2</w:t>
                  </w:r>
                </w:p>
              </w:tc>
              <w:tc>
                <w:tcPr>
                  <w:tcW w:w="890" w:type="pct"/>
                  <w:tcBorders>
                    <w:tl2br w:val="nil"/>
                    <w:tr2bl w:val="nil"/>
                  </w:tcBorders>
                  <w:vAlign w:val="center"/>
                </w:tcPr>
                <w:p>
                  <w:pPr>
                    <w:widowControl/>
                    <w:adjustRightInd w:val="0"/>
                    <w:snapToGrid w:val="0"/>
                    <w:spacing w:line="240" w:lineRule="exact"/>
                    <w:ind w:firstLine="0" w:firstLineChars="0"/>
                    <w:jc w:val="center"/>
                    <w:rPr>
                      <w:rFonts w:hint="eastAsia" w:eastAsia="宋体"/>
                      <w:sz w:val="18"/>
                      <w:szCs w:val="18"/>
                      <w:lang w:val="en-US" w:eastAsia="zh-CN"/>
                    </w:rPr>
                  </w:pPr>
                  <w:r>
                    <w:rPr>
                      <w:rFonts w:hint="eastAsia"/>
                      <w:sz w:val="18"/>
                      <w:szCs w:val="18"/>
                      <w:lang w:val="en-US" w:eastAsia="zh-CN"/>
                    </w:rPr>
                    <w:t>0.052-0.073</w:t>
                  </w:r>
                </w:p>
              </w:tc>
              <w:tc>
                <w:tcPr>
                  <w:tcW w:w="703" w:type="pct"/>
                  <w:tcBorders>
                    <w:tl2br w:val="nil"/>
                    <w:tr2bl w:val="nil"/>
                  </w:tcBorders>
                  <w:vAlign w:val="center"/>
                </w:tcPr>
                <w:p>
                  <w:pPr>
                    <w:widowControl/>
                    <w:adjustRightInd w:val="0"/>
                    <w:snapToGrid w:val="0"/>
                    <w:spacing w:line="240" w:lineRule="exact"/>
                    <w:ind w:firstLine="0" w:firstLineChars="0"/>
                    <w:jc w:val="center"/>
                    <w:rPr>
                      <w:rFonts w:hint="default" w:eastAsia="宋体"/>
                      <w:sz w:val="18"/>
                      <w:szCs w:val="18"/>
                      <w:lang w:val="en-US" w:eastAsia="zh-CN"/>
                    </w:rPr>
                  </w:pPr>
                  <w:r>
                    <w:rPr>
                      <w:rFonts w:hint="eastAsia"/>
                      <w:sz w:val="18"/>
                      <w:szCs w:val="18"/>
                      <w:lang w:val="en-US" w:eastAsia="zh-CN"/>
                    </w:rPr>
                    <w:t>26-36.5</w:t>
                  </w:r>
                </w:p>
              </w:tc>
              <w:tc>
                <w:tcPr>
                  <w:tcW w:w="503"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0</w:t>
                  </w:r>
                </w:p>
              </w:tc>
              <w:tc>
                <w:tcPr>
                  <w:tcW w:w="40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lang w:val="en-US" w:eastAsia="zh-CN"/>
                    </w:rPr>
                    <w:t>达标</w:t>
                  </w:r>
                </w:p>
              </w:tc>
            </w:tr>
          </w:tbl>
          <w:p>
            <w:pPr>
              <w:ind w:firstLine="480"/>
              <w:jc w:val="both"/>
            </w:pPr>
            <w:r>
              <w:t>由上表可知，TSP满足《环境空气质量标准》(GB3095-2012)二级标准</w:t>
            </w:r>
            <w:r>
              <w:rPr>
                <w:rFonts w:hint="eastAsia"/>
                <w:lang w:eastAsia="zh-CN"/>
              </w:rPr>
              <w:t>，</w:t>
            </w:r>
            <w:r>
              <w:rPr>
                <w:rFonts w:hint="eastAsia"/>
                <w:lang w:val="en-US" w:eastAsia="zh-CN"/>
              </w:rPr>
              <w:t>氯化氢和氨满足《环境影响评价技术导则 大气环境》附录D空气质量浓度参考限值</w:t>
            </w:r>
            <w:r>
              <w:t>。</w:t>
            </w:r>
          </w:p>
          <w:p>
            <w:pPr>
              <w:snapToGrid w:val="0"/>
              <w:ind w:firstLine="480"/>
            </w:pPr>
            <w:r>
              <w:rPr>
                <w:rFonts w:hint="eastAsia"/>
              </w:rPr>
              <w:t>2.声环境</w:t>
            </w:r>
          </w:p>
          <w:p>
            <w:pPr>
              <w:widowControl/>
              <w:ind w:firstLine="480"/>
              <w:jc w:val="both"/>
            </w:pPr>
            <w:r>
              <w:rPr>
                <w:rFonts w:hint="eastAsia"/>
              </w:rPr>
              <w:t>2</w:t>
            </w:r>
            <w:r>
              <w:t>0</w:t>
            </w:r>
            <w:r>
              <w:rPr>
                <w:rFonts w:hint="eastAsia"/>
              </w:rPr>
              <w:t>20年12月24日，河北德禹检测技术有限公司对九江线材厂界噪声进行了实测，监测报告为“德禹(测)字第202001018-</w:t>
            </w:r>
            <w:r>
              <w:t>1</w:t>
            </w:r>
            <w:r>
              <w:rPr>
                <w:rFonts w:hint="eastAsia"/>
              </w:rPr>
              <w:t>6号”，监测点位共计1</w:t>
            </w:r>
            <w:r>
              <w:t>5</w:t>
            </w:r>
            <w:r>
              <w:rPr>
                <w:rFonts w:hint="eastAsia"/>
              </w:rPr>
              <w:t>个，监测结果表明厂界噪声能够满足《工业企业厂界环境噪声排放标准》(GB12348-2008)3类、4类标准。</w:t>
            </w:r>
          </w:p>
          <w:p>
            <w:pPr>
              <w:ind w:firstLine="0" w:firstLineChars="0"/>
              <w:jc w:val="center"/>
              <w:rPr>
                <w:b/>
                <w:bCs/>
              </w:rPr>
            </w:pPr>
            <w:r>
              <w:rPr>
                <w:b/>
                <w:bCs/>
              </w:rPr>
              <w:t>表</w:t>
            </w:r>
            <w:r>
              <w:rPr>
                <w:rFonts w:hint="eastAsia"/>
                <w:b/>
                <w:bCs/>
                <w:lang w:val="en-US" w:eastAsia="zh-CN"/>
              </w:rPr>
              <w:t>26</w:t>
            </w:r>
            <w:r>
              <w:rPr>
                <w:rFonts w:hint="eastAsia"/>
                <w:b/>
                <w:bCs/>
              </w:rPr>
              <w:t xml:space="preserve">    现状</w:t>
            </w:r>
            <w:r>
              <w:rPr>
                <w:b/>
                <w:bCs/>
              </w:rPr>
              <w:t>厂界噪声监测结果及达标评价一览表</w:t>
            </w:r>
          </w:p>
          <w:tbl>
            <w:tblPr>
              <w:tblStyle w:val="7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149"/>
              <w:gridCol w:w="1226"/>
              <w:gridCol w:w="1304"/>
              <w:gridCol w:w="933"/>
              <w:gridCol w:w="933"/>
              <w:gridCol w:w="976"/>
              <w:gridCol w:w="8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284" w:type="pct"/>
                  <w:vMerge w:val="restar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监测点位</w:t>
                  </w:r>
                </w:p>
              </w:tc>
              <w:tc>
                <w:tcPr>
                  <w:tcW w:w="1511" w:type="pct"/>
                  <w:gridSpan w:val="2"/>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监测值/dB</w:t>
                  </w:r>
                  <w:r>
                    <w:rPr>
                      <w:rFonts w:hint="eastAsia"/>
                      <w:sz w:val="18"/>
                      <w:szCs w:val="18"/>
                    </w:rPr>
                    <w:t>(</w:t>
                  </w:r>
                  <w:r>
                    <w:rPr>
                      <w:sz w:val="18"/>
                      <w:szCs w:val="18"/>
                    </w:rPr>
                    <w:t>A</w:t>
                  </w:r>
                  <w:r>
                    <w:rPr>
                      <w:rFonts w:hint="eastAsia"/>
                      <w:sz w:val="18"/>
                      <w:szCs w:val="18"/>
                    </w:rPr>
                    <w:t>)</w:t>
                  </w:r>
                </w:p>
              </w:tc>
              <w:tc>
                <w:tcPr>
                  <w:tcW w:w="1114" w:type="pct"/>
                  <w:gridSpan w:val="2"/>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标准值/dB</w:t>
                  </w:r>
                  <w:r>
                    <w:rPr>
                      <w:rFonts w:hint="eastAsia"/>
                      <w:sz w:val="18"/>
                      <w:szCs w:val="18"/>
                    </w:rPr>
                    <w:t>(</w:t>
                  </w:r>
                  <w:r>
                    <w:rPr>
                      <w:sz w:val="18"/>
                      <w:szCs w:val="18"/>
                    </w:rPr>
                    <w:t>A</w:t>
                  </w:r>
                  <w:r>
                    <w:rPr>
                      <w:rFonts w:hint="eastAsia"/>
                      <w:sz w:val="18"/>
                      <w:szCs w:val="18"/>
                    </w:rPr>
                    <w:t>)</w:t>
                  </w:r>
                </w:p>
              </w:tc>
              <w:tc>
                <w:tcPr>
                  <w:tcW w:w="1091" w:type="pct"/>
                  <w:gridSpan w:val="2"/>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284" w:type="pct"/>
                  <w:vMerge w:val="continue"/>
                  <w:tcBorders>
                    <w:tl2br w:val="nil"/>
                    <w:tr2bl w:val="nil"/>
                  </w:tcBorders>
                  <w:vAlign w:val="center"/>
                </w:tcPr>
                <w:p>
                  <w:pPr>
                    <w:widowControl/>
                    <w:adjustRightInd w:val="0"/>
                    <w:snapToGrid w:val="0"/>
                    <w:spacing w:line="240" w:lineRule="exact"/>
                    <w:ind w:firstLine="0" w:firstLineChars="0"/>
                    <w:jc w:val="center"/>
                    <w:rPr>
                      <w:sz w:val="18"/>
                      <w:szCs w:val="18"/>
                    </w:rPr>
                  </w:pP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昼间</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夜间</w:t>
                  </w:r>
                </w:p>
              </w:tc>
              <w:tc>
                <w:tcPr>
                  <w:tcW w:w="557"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昼间</w:t>
                  </w:r>
                </w:p>
              </w:tc>
              <w:tc>
                <w:tcPr>
                  <w:tcW w:w="557"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夜间</w:t>
                  </w:r>
                </w:p>
              </w:tc>
              <w:tc>
                <w:tcPr>
                  <w:tcW w:w="583"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昼间</w:t>
                  </w:r>
                </w:p>
              </w:tc>
              <w:tc>
                <w:tcPr>
                  <w:tcW w:w="50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1#东厂界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4</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54</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2</w:t>
                  </w:r>
                  <w:r>
                    <w:rPr>
                      <w:sz w:val="18"/>
                      <w:szCs w:val="18"/>
                    </w:rPr>
                    <w:t>#</w:t>
                  </w:r>
                  <w:r>
                    <w:rPr>
                      <w:rFonts w:hint="eastAsia"/>
                      <w:sz w:val="18"/>
                      <w:szCs w:val="18"/>
                    </w:rPr>
                    <w:t>东厂界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64</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54</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3</w:t>
                  </w:r>
                  <w:r>
                    <w:rPr>
                      <w:sz w:val="18"/>
                      <w:szCs w:val="18"/>
                    </w:rPr>
                    <w:t>#</w:t>
                  </w:r>
                  <w:r>
                    <w:rPr>
                      <w:rFonts w:hint="eastAsia"/>
                      <w:sz w:val="18"/>
                      <w:szCs w:val="18"/>
                    </w:rPr>
                    <w:t>东厂界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63</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3</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4#东南厂界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60</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1</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w:t>
                  </w:r>
                  <w:r>
                    <w:rPr>
                      <w:rFonts w:hint="eastAsia"/>
                      <w:sz w:val="18"/>
                      <w:szCs w:val="18"/>
                    </w:rPr>
                    <w:t>东南厂界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61</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w:t>
                  </w:r>
                  <w:r>
                    <w:rPr>
                      <w:rFonts w:hint="eastAsia"/>
                      <w:sz w:val="18"/>
                      <w:szCs w:val="18"/>
                    </w:rPr>
                    <w:t>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2</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1</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7</w:t>
                  </w:r>
                  <w:r>
                    <w:rPr>
                      <w:sz w:val="18"/>
                      <w:szCs w:val="18"/>
                    </w:rPr>
                    <w:t>#</w:t>
                  </w:r>
                  <w:r>
                    <w:rPr>
                      <w:rFonts w:hint="eastAsia"/>
                      <w:sz w:val="18"/>
                      <w:szCs w:val="18"/>
                    </w:rPr>
                    <w:t>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8</w:t>
                  </w:r>
                  <w:r>
                    <w:rPr>
                      <w:sz w:val="18"/>
                      <w:szCs w:val="18"/>
                    </w:rPr>
                    <w:t>#</w:t>
                  </w:r>
                  <w:r>
                    <w:rPr>
                      <w:rFonts w:hint="eastAsia"/>
                      <w:sz w:val="18"/>
                      <w:szCs w:val="18"/>
                    </w:rPr>
                    <w:t>西南厂界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9</w:t>
                  </w:r>
                  <w:r>
                    <w:rPr>
                      <w:sz w:val="18"/>
                      <w:szCs w:val="18"/>
                    </w:rPr>
                    <w:t>#</w:t>
                  </w:r>
                  <w:r>
                    <w:rPr>
                      <w:rFonts w:hint="eastAsia"/>
                      <w:sz w:val="18"/>
                      <w:szCs w:val="18"/>
                    </w:rPr>
                    <w:t>西</w:t>
                  </w:r>
                  <w:r>
                    <w:rPr>
                      <w:sz w:val="18"/>
                      <w:szCs w:val="18"/>
                    </w:rPr>
                    <w:t>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1</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0#</w:t>
                  </w:r>
                  <w:r>
                    <w:rPr>
                      <w:rFonts w:hint="eastAsia"/>
                      <w:sz w:val="18"/>
                      <w:szCs w:val="18"/>
                    </w:rPr>
                    <w:t>西北厂界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61</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0</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1#</w:t>
                  </w:r>
                  <w:r>
                    <w:rPr>
                      <w:rFonts w:hint="eastAsia"/>
                      <w:sz w:val="18"/>
                      <w:szCs w:val="18"/>
                    </w:rPr>
                    <w:t>西北厂界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2#</w:t>
                  </w:r>
                  <w:r>
                    <w:rPr>
                      <w:rFonts w:hint="eastAsia"/>
                      <w:sz w:val="18"/>
                      <w:szCs w:val="18"/>
                    </w:rPr>
                    <w:t>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1</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3#</w:t>
                  </w:r>
                  <w:r>
                    <w:rPr>
                      <w:rFonts w:hint="eastAsia"/>
                      <w:sz w:val="18"/>
                      <w:szCs w:val="18"/>
                    </w:rPr>
                    <w:t>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60</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4#</w:t>
                  </w:r>
                  <w:r>
                    <w:rPr>
                      <w:rFonts w:hint="eastAsia"/>
                      <w:sz w:val="18"/>
                      <w:szCs w:val="18"/>
                    </w:rPr>
                    <w:t>东北厂界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84"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5#</w:t>
                  </w:r>
                  <w:r>
                    <w:rPr>
                      <w:rFonts w:hint="eastAsia"/>
                      <w:sz w:val="18"/>
                      <w:szCs w:val="18"/>
                    </w:rPr>
                    <w:t>东厂界</w:t>
                  </w:r>
                </w:p>
              </w:tc>
              <w:tc>
                <w:tcPr>
                  <w:tcW w:w="732"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60</w:t>
                  </w:r>
                </w:p>
              </w:tc>
              <w:tc>
                <w:tcPr>
                  <w:tcW w:w="77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1</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557"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5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508"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bl>
          <w:p>
            <w:pPr>
              <w:ind w:firstLine="0" w:firstLineChars="0"/>
              <w:jc w:val="center"/>
              <w:rPr>
                <w:lang w:val="zh-CN"/>
              </w:rPr>
            </w:pPr>
            <w:r>
              <w:rPr>
                <w:lang w:val="zh-CN"/>
              </w:rPr>
              <w:object>
                <v:shape id="_x0000_i1028" o:spt="75" type="#_x0000_t75" style="height:249pt;width:390pt;" o:ole="t" filled="f" o:preferrelative="t" stroked="f" coordsize="21600,21600">
                  <v:path/>
                  <v:fill on="f" focussize="0,0"/>
                  <v:stroke on="f" joinstyle="miter"/>
                  <v:imagedata r:id="rId22" o:title=""/>
                  <o:lock v:ext="edit" aspectratio="f"/>
                  <w10:wrap type="none"/>
                  <w10:anchorlock/>
                </v:shape>
                <o:OLEObject Type="Embed" ProgID="Visio.Drawing.11" ShapeID="_x0000_i1028" DrawAspect="Content" ObjectID="_1468075728" r:id="rId21">
                  <o:LockedField>false</o:LockedField>
                </o:OLEObject>
              </w:object>
            </w:r>
          </w:p>
          <w:p>
            <w:pPr>
              <w:pStyle w:val="56"/>
              <w:spacing w:before="0" w:after="0" w:line="360" w:lineRule="auto"/>
              <w:ind w:firstLine="0" w:firstLineChars="0"/>
              <w:rPr>
                <w:rFonts w:ascii="Times New Roman" w:eastAsia="宋体"/>
                <w:b/>
                <w:bCs/>
                <w:szCs w:val="24"/>
              </w:rPr>
            </w:pPr>
            <w:r>
              <w:rPr>
                <w:rFonts w:hint="eastAsia" w:ascii="Times New Roman" w:eastAsia="宋体"/>
                <w:b/>
                <w:bCs/>
                <w:szCs w:val="24"/>
              </w:rPr>
              <w:t>图9  厂界噪声监测点位</w:t>
            </w:r>
          </w:p>
          <w:p>
            <w:pPr>
              <w:ind w:firstLine="480"/>
              <w:jc w:val="both"/>
            </w:pPr>
            <w:r>
              <w:rPr>
                <w:lang w:val="zh-CN"/>
              </w:rPr>
              <w:t>评价区域内声环境质量</w:t>
            </w:r>
            <w:r>
              <w:t>现状满足《声环境质量标准》</w:t>
            </w:r>
            <w:r>
              <w:rPr>
                <w:rFonts w:hint="eastAsia"/>
              </w:rPr>
              <w:t>(</w:t>
            </w:r>
            <w:r>
              <w:t>GB3096-2008</w:t>
            </w:r>
            <w:r>
              <w:rPr>
                <w:rFonts w:hint="eastAsia"/>
              </w:rPr>
              <w:t>)</w:t>
            </w:r>
            <w:r>
              <w:t>中3类标准</w:t>
            </w:r>
            <w:r>
              <w:rPr>
                <w:rFonts w:hint="eastAsia"/>
              </w:rPr>
              <w:t>(</w:t>
            </w:r>
            <w:r>
              <w:t>65dB</w:t>
            </w:r>
            <w:r>
              <w:rPr>
                <w:rFonts w:hint="eastAsia"/>
              </w:rPr>
              <w:t>(</w:t>
            </w:r>
            <w:r>
              <w:t>A</w:t>
            </w:r>
            <w:r>
              <w:rPr>
                <w:rFonts w:hint="eastAsia"/>
              </w:rPr>
              <w:t>)</w:t>
            </w:r>
            <w:r>
              <w:t>/55dB</w:t>
            </w:r>
            <w:r>
              <w:rPr>
                <w:rFonts w:hint="eastAsia"/>
              </w:rPr>
              <w:t>(</w:t>
            </w:r>
            <w:r>
              <w:t>A</w:t>
            </w:r>
            <w:r>
              <w:rPr>
                <w:rFonts w:hint="eastAsia"/>
              </w:rPr>
              <w:t>))</w:t>
            </w:r>
            <w:r>
              <w:t>的要求。</w:t>
            </w:r>
          </w:p>
          <w:p>
            <w:pPr>
              <w:ind w:firstLine="480"/>
            </w:pPr>
            <w:r>
              <w:rPr>
                <w:rFonts w:hint="eastAsia"/>
              </w:rPr>
              <w:t>3.生态环境</w:t>
            </w:r>
          </w:p>
          <w:p>
            <w:pPr>
              <w:ind w:firstLine="480"/>
            </w:pPr>
            <w:r>
              <w:rPr>
                <w:rFonts w:hint="eastAsia"/>
              </w:rPr>
              <w:t>拟建项目位于</w:t>
            </w:r>
            <w:r>
              <w:t>河北迁安经济开发区内</w:t>
            </w:r>
            <w:r>
              <w:rPr>
                <w:rFonts w:hint="eastAsia"/>
              </w:rPr>
              <w:t>，不需进行生态现状调查。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pPr>
              <w:widowControl/>
              <w:adjustRightInd w:val="0"/>
              <w:snapToGrid w:val="0"/>
              <w:spacing w:line="240" w:lineRule="auto"/>
              <w:ind w:firstLine="0" w:firstLineChars="0"/>
              <w:jc w:val="center"/>
              <w:rPr>
                <w:rFonts w:ascii="宋体" w:hAnsi="宋体" w:cs="宋体"/>
              </w:rPr>
            </w:pPr>
            <w:r>
              <w:rPr>
                <w:rFonts w:hint="eastAsia" w:ascii="宋体" w:hAnsi="宋体" w:cs="宋体"/>
              </w:rPr>
              <w:t>环境</w:t>
            </w:r>
          </w:p>
          <w:p>
            <w:pPr>
              <w:widowControl/>
              <w:adjustRightInd w:val="0"/>
              <w:snapToGrid w:val="0"/>
              <w:spacing w:line="240" w:lineRule="auto"/>
              <w:ind w:firstLine="0" w:firstLineChars="0"/>
              <w:jc w:val="center"/>
              <w:rPr>
                <w:rFonts w:ascii="宋体" w:hAnsi="宋体" w:cs="宋体"/>
              </w:rPr>
            </w:pPr>
            <w:r>
              <w:rPr>
                <w:rFonts w:hint="eastAsia" w:ascii="宋体" w:hAnsi="宋体" w:cs="宋体"/>
              </w:rPr>
              <w:t>保护</w:t>
            </w:r>
          </w:p>
          <w:p>
            <w:pPr>
              <w:widowControl/>
              <w:adjustRightInd w:val="0"/>
              <w:snapToGrid w:val="0"/>
              <w:spacing w:line="240" w:lineRule="auto"/>
              <w:ind w:firstLine="0" w:firstLineChars="0"/>
              <w:jc w:val="center"/>
              <w:rPr>
                <w:rFonts w:ascii="宋体" w:hAnsi="宋体" w:cs="宋体"/>
              </w:rPr>
            </w:pPr>
            <w:r>
              <w:rPr>
                <w:rFonts w:hint="eastAsia" w:ascii="宋体" w:hAnsi="宋体" w:cs="宋体"/>
              </w:rPr>
              <w:t>目标</w:t>
            </w:r>
          </w:p>
        </w:tc>
        <w:tc>
          <w:tcPr>
            <w:tcW w:w="8603" w:type="dxa"/>
          </w:tcPr>
          <w:p>
            <w:pPr>
              <w:pStyle w:val="153"/>
              <w:spacing w:line="360" w:lineRule="auto"/>
              <w:ind w:firstLine="480"/>
              <w:jc w:val="both"/>
              <w:rPr>
                <w:rFonts w:ascii="Times New Roman" w:hAnsi="Times New Roman" w:cs="Times New Roman"/>
                <w:color w:val="auto"/>
                <w:kern w:val="2"/>
              </w:rPr>
            </w:pPr>
            <w:r>
              <w:rPr>
                <w:rFonts w:ascii="Times New Roman" w:hAnsi="Times New Roman" w:cs="Times New Roman"/>
                <w:color w:val="auto"/>
                <w:kern w:val="2"/>
              </w:rPr>
              <w:t>项目位于河北迁安经济开发区，现有公司院内，</w:t>
            </w:r>
            <w:r>
              <w:rPr>
                <w:rFonts w:hint="eastAsia" w:cs="Times New Roman" w:eastAsiaTheme="minorEastAsia"/>
                <w:color w:val="auto"/>
              </w:rPr>
              <w:t>迁安市九江线材有限责任公司</w:t>
            </w:r>
            <w:r>
              <w:rPr>
                <w:rFonts w:hint="eastAsia"/>
              </w:rPr>
              <w:t>厂界</w:t>
            </w:r>
            <w:r>
              <w:rPr>
                <w:rFonts w:ascii="Times New Roman" w:hAnsi="Times New Roman" w:cs="Times New Roman"/>
                <w:color w:val="auto"/>
                <w:kern w:val="2"/>
              </w:rPr>
              <w:t>周边500m范围内存在居住区敏感点，无自然保护区、风景名胜区、文化区区域，</w:t>
            </w:r>
            <w:r>
              <w:rPr>
                <w:rFonts w:hint="eastAsia" w:cs="Times New Roman" w:eastAsiaTheme="minorEastAsia"/>
                <w:color w:val="auto"/>
              </w:rPr>
              <w:t>迁安市九江线材有限责任公司厂界周边</w:t>
            </w:r>
            <w:r>
              <w:rPr>
                <w:rFonts w:ascii="Times New Roman" w:hAnsi="Times New Roman" w:cs="Times New Roman"/>
                <w:color w:val="auto"/>
                <w:kern w:val="2"/>
              </w:rPr>
              <w:t>500m范围内无地下水集中式饮用水水源和热水、矿泉水、温泉等特殊地下水资源，50m范围内</w:t>
            </w:r>
            <w:r>
              <w:rPr>
                <w:rFonts w:hint="eastAsia" w:ascii="Times New Roman" w:hAnsi="Times New Roman" w:cs="Times New Roman"/>
                <w:color w:val="auto"/>
                <w:kern w:val="2"/>
              </w:rPr>
              <w:t>不</w:t>
            </w:r>
            <w:r>
              <w:rPr>
                <w:rFonts w:ascii="Times New Roman" w:hAnsi="Times New Roman" w:cs="Times New Roman"/>
                <w:color w:val="auto"/>
                <w:kern w:val="2"/>
              </w:rPr>
              <w:t>存在声环境保护目标</w:t>
            </w:r>
            <w:r>
              <w:rPr>
                <w:rFonts w:hint="eastAsia" w:ascii="Times New Roman" w:hAnsi="Times New Roman" w:cs="Times New Roman"/>
                <w:color w:val="auto"/>
                <w:kern w:val="2"/>
              </w:rPr>
              <w:t>。</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b/>
                <w:bCs/>
              </w:rPr>
            </w:pPr>
            <w:r>
              <w:rPr>
                <w:b/>
                <w:bCs/>
              </w:rPr>
              <w:t>表</w:t>
            </w:r>
            <w:r>
              <w:rPr>
                <w:rFonts w:hint="eastAsia"/>
                <w:b/>
                <w:bCs/>
                <w:lang w:val="en-US" w:eastAsia="zh-CN"/>
              </w:rPr>
              <w:t>27</w:t>
            </w:r>
            <w:r>
              <w:rPr>
                <w:rFonts w:hint="eastAsia"/>
                <w:b/>
                <w:bCs/>
              </w:rPr>
              <w:t xml:space="preserve">    </w:t>
            </w:r>
            <w:r>
              <w:rPr>
                <w:b/>
                <w:bCs/>
              </w:rPr>
              <w:t>环境空气保护目标一览表</w:t>
            </w:r>
          </w:p>
          <w:tbl>
            <w:tblPr>
              <w:tblStyle w:val="79"/>
              <w:tblW w:w="499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887"/>
              <w:gridCol w:w="898"/>
              <w:gridCol w:w="1005"/>
              <w:gridCol w:w="908"/>
              <w:gridCol w:w="666"/>
              <w:gridCol w:w="952"/>
              <w:gridCol w:w="748"/>
              <w:gridCol w:w="866"/>
              <w:gridCol w:w="483"/>
              <w:gridCol w:w="517"/>
              <w:gridCol w:w="4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530" w:type="pct"/>
                  <w:vMerge w:val="restart"/>
                  <w:tcBorders>
                    <w:tl2br w:val="nil"/>
                    <w:tr2bl w:val="nil"/>
                  </w:tcBorders>
                  <w:shd w:val="clear" w:color="auto" w:fill="auto"/>
                  <w:vAlign w:val="center"/>
                </w:tcPr>
                <w:p>
                  <w:pPr>
                    <w:pStyle w:val="1723"/>
                    <w:spacing w:line="360" w:lineRule="exact"/>
                    <w:ind w:firstLine="0" w:firstLineChars="0"/>
                    <w:rPr>
                      <w:sz w:val="18"/>
                      <w:szCs w:val="18"/>
                    </w:rPr>
                  </w:pPr>
                  <w:r>
                    <w:rPr>
                      <w:sz w:val="18"/>
                      <w:szCs w:val="18"/>
                    </w:rPr>
                    <w:t>名称</w:t>
                  </w:r>
                </w:p>
              </w:tc>
              <w:tc>
                <w:tcPr>
                  <w:tcW w:w="1136" w:type="pct"/>
                  <w:gridSpan w:val="2"/>
                  <w:tcBorders>
                    <w:tl2br w:val="nil"/>
                    <w:tr2bl w:val="nil"/>
                  </w:tcBorders>
                  <w:vAlign w:val="center"/>
                </w:tcPr>
                <w:p>
                  <w:pPr>
                    <w:pStyle w:val="1723"/>
                    <w:spacing w:line="360" w:lineRule="exact"/>
                    <w:ind w:firstLine="0" w:firstLineChars="0"/>
                    <w:rPr>
                      <w:sz w:val="18"/>
                      <w:szCs w:val="18"/>
                    </w:rPr>
                  </w:pPr>
                  <w:r>
                    <w:rPr>
                      <w:sz w:val="18"/>
                      <w:szCs w:val="18"/>
                    </w:rPr>
                    <w:t>坐标</w:t>
                  </w:r>
                </w:p>
              </w:tc>
              <w:tc>
                <w:tcPr>
                  <w:tcW w:w="542" w:type="pct"/>
                  <w:vMerge w:val="restart"/>
                  <w:tcBorders>
                    <w:tl2br w:val="nil"/>
                    <w:tr2bl w:val="nil"/>
                  </w:tcBorders>
                  <w:shd w:val="clear" w:color="auto" w:fill="auto"/>
                  <w:vAlign w:val="center"/>
                </w:tcPr>
                <w:p>
                  <w:pPr>
                    <w:pStyle w:val="1723"/>
                    <w:spacing w:line="360" w:lineRule="exact"/>
                    <w:ind w:firstLine="0" w:firstLineChars="0"/>
                    <w:rPr>
                      <w:sz w:val="18"/>
                      <w:szCs w:val="18"/>
                    </w:rPr>
                  </w:pPr>
                  <w:r>
                    <w:rPr>
                      <w:sz w:val="18"/>
                      <w:szCs w:val="18"/>
                    </w:rPr>
                    <w:t>保护对象</w:t>
                  </w:r>
                </w:p>
              </w:tc>
              <w:tc>
                <w:tcPr>
                  <w:tcW w:w="398" w:type="pct"/>
                  <w:vMerge w:val="restart"/>
                  <w:tcBorders>
                    <w:tl2br w:val="nil"/>
                    <w:tr2bl w:val="nil"/>
                  </w:tcBorders>
                  <w:vAlign w:val="center"/>
                </w:tcPr>
                <w:p>
                  <w:pPr>
                    <w:pStyle w:val="1723"/>
                    <w:spacing w:line="360" w:lineRule="exact"/>
                    <w:ind w:firstLine="0" w:firstLineChars="0"/>
                    <w:rPr>
                      <w:sz w:val="18"/>
                      <w:szCs w:val="18"/>
                    </w:rPr>
                  </w:pPr>
                  <w:r>
                    <w:rPr>
                      <w:sz w:val="18"/>
                      <w:szCs w:val="18"/>
                    </w:rPr>
                    <w:t>保护内容</w:t>
                  </w:r>
                </w:p>
              </w:tc>
              <w:tc>
                <w:tcPr>
                  <w:tcW w:w="568" w:type="pct"/>
                  <w:vMerge w:val="restart"/>
                  <w:tcBorders>
                    <w:tl2br w:val="nil"/>
                    <w:tr2bl w:val="nil"/>
                  </w:tcBorders>
                  <w:vAlign w:val="center"/>
                </w:tcPr>
                <w:p>
                  <w:pPr>
                    <w:pStyle w:val="1723"/>
                    <w:spacing w:line="360" w:lineRule="exact"/>
                    <w:ind w:firstLine="0" w:firstLineChars="0"/>
                    <w:rPr>
                      <w:sz w:val="18"/>
                      <w:szCs w:val="18"/>
                    </w:rPr>
                  </w:pPr>
                  <w:r>
                    <w:rPr>
                      <w:sz w:val="18"/>
                      <w:szCs w:val="18"/>
                    </w:rPr>
                    <w:t>环境功能区</w:t>
                  </w:r>
                </w:p>
              </w:tc>
              <w:tc>
                <w:tcPr>
                  <w:tcW w:w="447" w:type="pct"/>
                  <w:vMerge w:val="restart"/>
                  <w:tcBorders>
                    <w:tl2br w:val="nil"/>
                    <w:tr2bl w:val="nil"/>
                  </w:tcBorders>
                  <w:shd w:val="clear" w:color="auto" w:fill="auto"/>
                  <w:vAlign w:val="center"/>
                </w:tcPr>
                <w:p>
                  <w:pPr>
                    <w:pStyle w:val="1723"/>
                    <w:spacing w:line="360" w:lineRule="exact"/>
                    <w:ind w:firstLine="0" w:firstLineChars="0"/>
                    <w:rPr>
                      <w:sz w:val="18"/>
                      <w:szCs w:val="18"/>
                    </w:rPr>
                  </w:pPr>
                  <w:r>
                    <w:rPr>
                      <w:sz w:val="18"/>
                      <w:szCs w:val="18"/>
                    </w:rPr>
                    <w:t>相对</w:t>
                  </w:r>
                  <w:r>
                    <w:rPr>
                      <w:rFonts w:hint="eastAsia"/>
                      <w:sz w:val="18"/>
                      <w:szCs w:val="18"/>
                    </w:rPr>
                    <w:t>厂界</w:t>
                  </w:r>
                  <w:r>
                    <w:rPr>
                      <w:sz w:val="18"/>
                      <w:szCs w:val="18"/>
                    </w:rPr>
                    <w:t>方位</w:t>
                  </w:r>
                </w:p>
              </w:tc>
              <w:tc>
                <w:tcPr>
                  <w:tcW w:w="517" w:type="pct"/>
                  <w:vMerge w:val="restart"/>
                  <w:tcBorders>
                    <w:tl2br w:val="nil"/>
                    <w:tr2bl w:val="nil"/>
                  </w:tcBorders>
                  <w:shd w:val="clear" w:color="auto" w:fill="auto"/>
                  <w:vAlign w:val="center"/>
                </w:tcPr>
                <w:p>
                  <w:pPr>
                    <w:pStyle w:val="1723"/>
                    <w:spacing w:line="360" w:lineRule="exact"/>
                    <w:ind w:firstLine="0" w:firstLineChars="0"/>
                    <w:rPr>
                      <w:sz w:val="18"/>
                      <w:szCs w:val="18"/>
                    </w:rPr>
                  </w:pPr>
                  <w:r>
                    <w:rPr>
                      <w:sz w:val="18"/>
                      <w:szCs w:val="18"/>
                    </w:rPr>
                    <w:t>相对厂界距离</w:t>
                  </w:r>
                  <w:r>
                    <w:rPr>
                      <w:rFonts w:hint="eastAsia"/>
                      <w:sz w:val="18"/>
                      <w:szCs w:val="18"/>
                    </w:rPr>
                    <w:t>(</w:t>
                  </w:r>
                  <w:r>
                    <w:rPr>
                      <w:sz w:val="18"/>
                      <w:szCs w:val="18"/>
                    </w:rPr>
                    <w:t>m</w:t>
                  </w:r>
                  <w:r>
                    <w:rPr>
                      <w:rFonts w:hint="eastAsia"/>
                      <w:sz w:val="18"/>
                      <w:szCs w:val="18"/>
                    </w:rPr>
                    <w:t>)</w:t>
                  </w:r>
                </w:p>
              </w:tc>
              <w:tc>
                <w:tcPr>
                  <w:tcW w:w="289" w:type="pct"/>
                  <w:vMerge w:val="restart"/>
                  <w:tcBorders>
                    <w:tl2br w:val="nil"/>
                    <w:tr2bl w:val="nil"/>
                  </w:tcBorders>
                  <w:shd w:val="clear" w:color="auto" w:fill="auto"/>
                  <w:vAlign w:val="center"/>
                </w:tcPr>
                <w:p>
                  <w:pPr>
                    <w:pStyle w:val="1723"/>
                    <w:spacing w:line="360" w:lineRule="exact"/>
                    <w:ind w:firstLine="0" w:firstLineChars="0"/>
                    <w:rPr>
                      <w:sz w:val="18"/>
                      <w:szCs w:val="18"/>
                    </w:rPr>
                  </w:pPr>
                  <w:r>
                    <w:rPr>
                      <w:sz w:val="18"/>
                      <w:szCs w:val="18"/>
                    </w:rPr>
                    <w:t>相对</w:t>
                  </w:r>
                  <w:r>
                    <w:rPr>
                      <w:rFonts w:hint="eastAsia"/>
                      <w:sz w:val="18"/>
                      <w:szCs w:val="18"/>
                    </w:rPr>
                    <w:t>本项目</w:t>
                  </w:r>
                  <w:r>
                    <w:rPr>
                      <w:sz w:val="18"/>
                      <w:szCs w:val="18"/>
                    </w:rPr>
                    <w:t>方位</w:t>
                  </w:r>
                </w:p>
              </w:tc>
              <w:tc>
                <w:tcPr>
                  <w:tcW w:w="309" w:type="pct"/>
                  <w:vMerge w:val="restart"/>
                  <w:tcBorders>
                    <w:tl2br w:val="nil"/>
                    <w:tr2bl w:val="nil"/>
                  </w:tcBorders>
                  <w:shd w:val="clear" w:color="auto" w:fill="auto"/>
                  <w:vAlign w:val="center"/>
                </w:tcPr>
                <w:p>
                  <w:pPr>
                    <w:pStyle w:val="1723"/>
                    <w:spacing w:line="360" w:lineRule="exact"/>
                    <w:ind w:firstLine="0" w:firstLineChars="0"/>
                    <w:rPr>
                      <w:sz w:val="18"/>
                      <w:szCs w:val="18"/>
                    </w:rPr>
                  </w:pPr>
                  <w:r>
                    <w:rPr>
                      <w:sz w:val="18"/>
                      <w:szCs w:val="18"/>
                    </w:rPr>
                    <w:t>本项目边界</w:t>
                  </w:r>
                  <w:r>
                    <w:rPr>
                      <w:rFonts w:hint="eastAsia"/>
                      <w:sz w:val="18"/>
                      <w:szCs w:val="18"/>
                    </w:rPr>
                    <w:t>(</w:t>
                  </w:r>
                  <w:r>
                    <w:rPr>
                      <w:sz w:val="18"/>
                      <w:szCs w:val="18"/>
                    </w:rPr>
                    <w:t>m</w:t>
                  </w:r>
                  <w:r>
                    <w:rPr>
                      <w:rFonts w:hint="eastAsia"/>
                      <w:sz w:val="18"/>
                      <w:szCs w:val="18"/>
                    </w:rPr>
                    <w:t>)</w:t>
                  </w:r>
                </w:p>
              </w:tc>
              <w:tc>
                <w:tcPr>
                  <w:tcW w:w="259" w:type="pct"/>
                  <w:vMerge w:val="restart"/>
                  <w:tcBorders>
                    <w:tl2br w:val="nil"/>
                    <w:tr2bl w:val="nil"/>
                  </w:tcBorders>
                  <w:shd w:val="clear" w:color="auto" w:fill="auto"/>
                  <w:vAlign w:val="center"/>
                </w:tcPr>
                <w:p>
                  <w:pPr>
                    <w:pStyle w:val="1723"/>
                    <w:spacing w:line="360" w:lineRule="exact"/>
                    <w:ind w:firstLine="0" w:firstLineChars="0"/>
                    <w:rPr>
                      <w:sz w:val="18"/>
                      <w:szCs w:val="18"/>
                    </w:rPr>
                  </w:pPr>
                  <w:r>
                    <w:rPr>
                      <w:sz w:val="18"/>
                      <w:szCs w:val="18"/>
                    </w:rPr>
                    <w:t>人口数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530" w:type="pct"/>
                  <w:vMerge w:val="continue"/>
                  <w:tcBorders>
                    <w:tl2br w:val="nil"/>
                    <w:tr2bl w:val="nil"/>
                  </w:tcBorders>
                  <w:shd w:val="clear" w:color="auto" w:fill="auto"/>
                  <w:vAlign w:val="center"/>
                </w:tcPr>
                <w:p>
                  <w:pPr>
                    <w:pStyle w:val="1723"/>
                    <w:spacing w:line="360" w:lineRule="exact"/>
                    <w:ind w:firstLine="0" w:firstLineChars="0"/>
                    <w:rPr>
                      <w:sz w:val="18"/>
                      <w:szCs w:val="18"/>
                    </w:rPr>
                  </w:pPr>
                </w:p>
              </w:tc>
              <w:tc>
                <w:tcPr>
                  <w:tcW w:w="536" w:type="pct"/>
                  <w:tcBorders>
                    <w:tl2br w:val="nil"/>
                    <w:tr2bl w:val="nil"/>
                  </w:tcBorders>
                  <w:vAlign w:val="center"/>
                </w:tcPr>
                <w:p>
                  <w:pPr>
                    <w:pStyle w:val="1723"/>
                    <w:spacing w:line="360" w:lineRule="exact"/>
                    <w:ind w:firstLine="0" w:firstLineChars="0"/>
                    <w:rPr>
                      <w:sz w:val="18"/>
                      <w:szCs w:val="18"/>
                    </w:rPr>
                  </w:pPr>
                  <w:r>
                    <w:rPr>
                      <w:sz w:val="18"/>
                      <w:szCs w:val="18"/>
                    </w:rPr>
                    <w:t>经度</w:t>
                  </w:r>
                </w:p>
              </w:tc>
              <w:tc>
                <w:tcPr>
                  <w:tcW w:w="600" w:type="pct"/>
                  <w:tcBorders>
                    <w:tl2br w:val="nil"/>
                    <w:tr2bl w:val="nil"/>
                  </w:tcBorders>
                  <w:vAlign w:val="center"/>
                </w:tcPr>
                <w:p>
                  <w:pPr>
                    <w:pStyle w:val="1723"/>
                    <w:spacing w:line="360" w:lineRule="exact"/>
                    <w:ind w:firstLine="0" w:firstLineChars="0"/>
                    <w:rPr>
                      <w:sz w:val="18"/>
                      <w:szCs w:val="18"/>
                    </w:rPr>
                  </w:pPr>
                  <w:r>
                    <w:rPr>
                      <w:sz w:val="18"/>
                      <w:szCs w:val="18"/>
                    </w:rPr>
                    <w:t>纬度</w:t>
                  </w:r>
                </w:p>
              </w:tc>
              <w:tc>
                <w:tcPr>
                  <w:tcW w:w="542" w:type="pct"/>
                  <w:vMerge w:val="continue"/>
                  <w:tcBorders>
                    <w:tl2br w:val="nil"/>
                    <w:tr2bl w:val="nil"/>
                  </w:tcBorders>
                  <w:shd w:val="clear" w:color="auto" w:fill="auto"/>
                  <w:vAlign w:val="center"/>
                </w:tcPr>
                <w:p>
                  <w:pPr>
                    <w:pStyle w:val="1723"/>
                    <w:spacing w:line="360" w:lineRule="exact"/>
                    <w:ind w:firstLine="0" w:firstLineChars="0"/>
                    <w:rPr>
                      <w:sz w:val="18"/>
                      <w:szCs w:val="18"/>
                    </w:rPr>
                  </w:pPr>
                </w:p>
              </w:tc>
              <w:tc>
                <w:tcPr>
                  <w:tcW w:w="398" w:type="pct"/>
                  <w:vMerge w:val="continue"/>
                  <w:tcBorders>
                    <w:tl2br w:val="nil"/>
                    <w:tr2bl w:val="nil"/>
                  </w:tcBorders>
                  <w:vAlign w:val="center"/>
                </w:tcPr>
                <w:p>
                  <w:pPr>
                    <w:pStyle w:val="1723"/>
                    <w:spacing w:line="360" w:lineRule="exact"/>
                    <w:ind w:firstLine="0" w:firstLineChars="0"/>
                    <w:rPr>
                      <w:sz w:val="18"/>
                      <w:szCs w:val="18"/>
                    </w:rPr>
                  </w:pPr>
                </w:p>
              </w:tc>
              <w:tc>
                <w:tcPr>
                  <w:tcW w:w="568" w:type="pct"/>
                  <w:vMerge w:val="continue"/>
                  <w:tcBorders>
                    <w:tl2br w:val="nil"/>
                    <w:tr2bl w:val="nil"/>
                  </w:tcBorders>
                  <w:vAlign w:val="center"/>
                </w:tcPr>
                <w:p>
                  <w:pPr>
                    <w:pStyle w:val="1723"/>
                    <w:spacing w:line="360" w:lineRule="exact"/>
                    <w:ind w:firstLine="0" w:firstLineChars="0"/>
                    <w:rPr>
                      <w:sz w:val="18"/>
                      <w:szCs w:val="18"/>
                    </w:rPr>
                  </w:pPr>
                </w:p>
              </w:tc>
              <w:tc>
                <w:tcPr>
                  <w:tcW w:w="447" w:type="pct"/>
                  <w:vMerge w:val="continue"/>
                  <w:tcBorders>
                    <w:tl2br w:val="nil"/>
                    <w:tr2bl w:val="nil"/>
                  </w:tcBorders>
                  <w:shd w:val="clear" w:color="auto" w:fill="auto"/>
                  <w:vAlign w:val="center"/>
                </w:tcPr>
                <w:p>
                  <w:pPr>
                    <w:pStyle w:val="1723"/>
                    <w:spacing w:line="360" w:lineRule="exact"/>
                    <w:ind w:firstLine="0" w:firstLineChars="0"/>
                    <w:rPr>
                      <w:sz w:val="18"/>
                      <w:szCs w:val="18"/>
                    </w:rPr>
                  </w:pPr>
                </w:p>
              </w:tc>
              <w:tc>
                <w:tcPr>
                  <w:tcW w:w="517" w:type="pct"/>
                  <w:vMerge w:val="continue"/>
                  <w:tcBorders>
                    <w:tl2br w:val="nil"/>
                    <w:tr2bl w:val="nil"/>
                  </w:tcBorders>
                  <w:shd w:val="clear" w:color="auto" w:fill="auto"/>
                  <w:vAlign w:val="center"/>
                </w:tcPr>
                <w:p>
                  <w:pPr>
                    <w:pStyle w:val="1723"/>
                    <w:spacing w:line="360" w:lineRule="exact"/>
                    <w:ind w:firstLine="0" w:firstLineChars="0"/>
                    <w:rPr>
                      <w:sz w:val="18"/>
                      <w:szCs w:val="18"/>
                    </w:rPr>
                  </w:pPr>
                </w:p>
              </w:tc>
              <w:tc>
                <w:tcPr>
                  <w:tcW w:w="289" w:type="pct"/>
                  <w:vMerge w:val="continue"/>
                  <w:tcBorders>
                    <w:tl2br w:val="nil"/>
                    <w:tr2bl w:val="nil"/>
                  </w:tcBorders>
                  <w:shd w:val="clear" w:color="auto" w:fill="auto"/>
                  <w:vAlign w:val="center"/>
                </w:tcPr>
                <w:p>
                  <w:pPr>
                    <w:pStyle w:val="1723"/>
                    <w:spacing w:line="360" w:lineRule="exact"/>
                    <w:ind w:firstLine="0" w:firstLineChars="0"/>
                    <w:rPr>
                      <w:sz w:val="18"/>
                      <w:szCs w:val="18"/>
                    </w:rPr>
                  </w:pPr>
                </w:p>
              </w:tc>
              <w:tc>
                <w:tcPr>
                  <w:tcW w:w="309" w:type="pct"/>
                  <w:vMerge w:val="continue"/>
                  <w:tcBorders>
                    <w:tl2br w:val="nil"/>
                    <w:tr2bl w:val="nil"/>
                  </w:tcBorders>
                  <w:shd w:val="clear" w:color="auto" w:fill="auto"/>
                  <w:vAlign w:val="center"/>
                </w:tcPr>
                <w:p>
                  <w:pPr>
                    <w:pStyle w:val="1723"/>
                    <w:spacing w:line="360" w:lineRule="exact"/>
                    <w:ind w:firstLine="0" w:firstLineChars="0"/>
                    <w:rPr>
                      <w:sz w:val="18"/>
                      <w:szCs w:val="18"/>
                    </w:rPr>
                  </w:pPr>
                </w:p>
              </w:tc>
              <w:tc>
                <w:tcPr>
                  <w:tcW w:w="259" w:type="pct"/>
                  <w:vMerge w:val="continue"/>
                  <w:tcBorders>
                    <w:tl2br w:val="nil"/>
                    <w:tr2bl w:val="nil"/>
                  </w:tcBorders>
                  <w:shd w:val="clear" w:color="auto" w:fill="auto"/>
                  <w:vAlign w:val="center"/>
                </w:tcPr>
                <w:p>
                  <w:pPr>
                    <w:pStyle w:val="1723"/>
                    <w:spacing w:line="360" w:lineRule="exact"/>
                    <w:ind w:firstLine="0" w:firstLineChars="0"/>
                    <w:rPr>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30" w:type="pct"/>
                  <w:tcBorders>
                    <w:tl2br w:val="nil"/>
                    <w:tr2bl w:val="nil"/>
                  </w:tcBorders>
                  <w:shd w:val="clear" w:color="auto" w:fill="auto"/>
                  <w:vAlign w:val="center"/>
                </w:tcPr>
                <w:p>
                  <w:pPr>
                    <w:pStyle w:val="1723"/>
                    <w:spacing w:line="360" w:lineRule="exact"/>
                    <w:ind w:firstLine="0" w:firstLineChars="0"/>
                    <w:rPr>
                      <w:spacing w:val="-10"/>
                      <w:sz w:val="18"/>
                      <w:szCs w:val="18"/>
                      <w:lang w:val="zh-CN"/>
                    </w:rPr>
                  </w:pPr>
                  <w:r>
                    <w:rPr>
                      <w:spacing w:val="-10"/>
                      <w:sz w:val="18"/>
                      <w:szCs w:val="18"/>
                      <w:lang w:val="zh-CN"/>
                    </w:rPr>
                    <w:t>松汀村</w:t>
                  </w:r>
                </w:p>
              </w:tc>
              <w:tc>
                <w:tcPr>
                  <w:tcW w:w="536" w:type="pct"/>
                  <w:tcBorders>
                    <w:tl2br w:val="nil"/>
                    <w:tr2bl w:val="nil"/>
                  </w:tcBorders>
                  <w:vAlign w:val="center"/>
                </w:tcPr>
                <w:p>
                  <w:pPr>
                    <w:widowControl/>
                    <w:spacing w:line="360" w:lineRule="exact"/>
                    <w:ind w:firstLine="0" w:firstLineChars="0"/>
                    <w:jc w:val="center"/>
                    <w:rPr>
                      <w:kern w:val="0"/>
                      <w:sz w:val="18"/>
                      <w:szCs w:val="18"/>
                    </w:rPr>
                  </w:pPr>
                  <w:r>
                    <w:rPr>
                      <w:rFonts w:hint="eastAsia"/>
                      <w:kern w:val="0"/>
                      <w:sz w:val="18"/>
                      <w:szCs w:val="18"/>
                    </w:rPr>
                    <w:t>118.559944</w:t>
                  </w:r>
                </w:p>
              </w:tc>
              <w:tc>
                <w:tcPr>
                  <w:tcW w:w="600" w:type="pct"/>
                  <w:tcBorders>
                    <w:tl2br w:val="nil"/>
                    <w:tr2bl w:val="nil"/>
                  </w:tcBorders>
                  <w:vAlign w:val="center"/>
                </w:tcPr>
                <w:p>
                  <w:pPr>
                    <w:widowControl/>
                    <w:spacing w:line="360" w:lineRule="exact"/>
                    <w:ind w:firstLine="0" w:firstLineChars="0"/>
                    <w:jc w:val="center"/>
                    <w:rPr>
                      <w:kern w:val="0"/>
                      <w:sz w:val="18"/>
                      <w:szCs w:val="18"/>
                    </w:rPr>
                  </w:pPr>
                  <w:r>
                    <w:rPr>
                      <w:rFonts w:hint="eastAsia"/>
                      <w:kern w:val="0"/>
                      <w:sz w:val="18"/>
                      <w:szCs w:val="18"/>
                    </w:rPr>
                    <w:t>39.957436</w:t>
                  </w:r>
                </w:p>
              </w:tc>
              <w:tc>
                <w:tcPr>
                  <w:tcW w:w="542" w:type="pct"/>
                  <w:tcBorders>
                    <w:tl2br w:val="nil"/>
                    <w:tr2bl w:val="nil"/>
                  </w:tcBorders>
                  <w:shd w:val="clear" w:color="auto" w:fill="auto"/>
                  <w:vAlign w:val="center"/>
                </w:tcPr>
                <w:p>
                  <w:pPr>
                    <w:pStyle w:val="1723"/>
                    <w:spacing w:line="360" w:lineRule="exact"/>
                    <w:ind w:firstLine="0" w:firstLineChars="0"/>
                    <w:rPr>
                      <w:sz w:val="18"/>
                      <w:szCs w:val="18"/>
                    </w:rPr>
                  </w:pPr>
                  <w:r>
                    <w:rPr>
                      <w:sz w:val="18"/>
                      <w:szCs w:val="18"/>
                    </w:rPr>
                    <w:t>居民点</w:t>
                  </w:r>
                </w:p>
              </w:tc>
              <w:tc>
                <w:tcPr>
                  <w:tcW w:w="398" w:type="pct"/>
                  <w:tcBorders>
                    <w:tl2br w:val="nil"/>
                    <w:tr2bl w:val="nil"/>
                  </w:tcBorders>
                  <w:vAlign w:val="center"/>
                </w:tcPr>
                <w:p>
                  <w:pPr>
                    <w:widowControl/>
                    <w:spacing w:line="360" w:lineRule="exact"/>
                    <w:ind w:firstLine="0" w:firstLineChars="0"/>
                    <w:jc w:val="center"/>
                    <w:rPr>
                      <w:kern w:val="0"/>
                      <w:sz w:val="18"/>
                      <w:szCs w:val="18"/>
                    </w:rPr>
                  </w:pPr>
                  <w:r>
                    <w:rPr>
                      <w:kern w:val="0"/>
                      <w:sz w:val="18"/>
                      <w:szCs w:val="18"/>
                    </w:rPr>
                    <w:t>居民</w:t>
                  </w:r>
                </w:p>
              </w:tc>
              <w:tc>
                <w:tcPr>
                  <w:tcW w:w="568" w:type="pct"/>
                  <w:tcBorders>
                    <w:tl2br w:val="nil"/>
                    <w:tr2bl w:val="nil"/>
                  </w:tcBorders>
                  <w:vAlign w:val="center"/>
                </w:tcPr>
                <w:p>
                  <w:pPr>
                    <w:pStyle w:val="1723"/>
                    <w:spacing w:line="360" w:lineRule="exact"/>
                    <w:ind w:firstLine="0" w:firstLineChars="0"/>
                    <w:rPr>
                      <w:sz w:val="18"/>
                      <w:szCs w:val="18"/>
                    </w:rPr>
                  </w:pPr>
                  <w:r>
                    <w:rPr>
                      <w:sz w:val="18"/>
                      <w:szCs w:val="18"/>
                    </w:rPr>
                    <w:t>环境质量二类区</w:t>
                  </w:r>
                </w:p>
              </w:tc>
              <w:tc>
                <w:tcPr>
                  <w:tcW w:w="447" w:type="pct"/>
                  <w:tcBorders>
                    <w:tl2br w:val="nil"/>
                    <w:tr2bl w:val="nil"/>
                  </w:tcBorders>
                  <w:shd w:val="clear" w:color="auto" w:fill="auto"/>
                  <w:vAlign w:val="center"/>
                </w:tcPr>
                <w:p>
                  <w:pPr>
                    <w:widowControl/>
                    <w:spacing w:line="360" w:lineRule="exact"/>
                    <w:ind w:firstLine="0" w:firstLineChars="0"/>
                    <w:jc w:val="center"/>
                    <w:rPr>
                      <w:kern w:val="0"/>
                      <w:sz w:val="18"/>
                      <w:szCs w:val="18"/>
                    </w:rPr>
                  </w:pPr>
                  <w:r>
                    <w:rPr>
                      <w:kern w:val="0"/>
                      <w:sz w:val="18"/>
                      <w:szCs w:val="18"/>
                    </w:rPr>
                    <w:t>E</w:t>
                  </w:r>
                </w:p>
              </w:tc>
              <w:tc>
                <w:tcPr>
                  <w:tcW w:w="517" w:type="pct"/>
                  <w:tcBorders>
                    <w:tl2br w:val="nil"/>
                    <w:tr2bl w:val="nil"/>
                  </w:tcBorders>
                  <w:shd w:val="clear" w:color="auto" w:fill="auto"/>
                  <w:vAlign w:val="center"/>
                </w:tcPr>
                <w:p>
                  <w:pPr>
                    <w:widowControl/>
                    <w:spacing w:line="360" w:lineRule="exact"/>
                    <w:ind w:firstLine="0" w:firstLineChars="0"/>
                    <w:jc w:val="center"/>
                    <w:rPr>
                      <w:kern w:val="0"/>
                      <w:sz w:val="18"/>
                      <w:szCs w:val="18"/>
                    </w:rPr>
                  </w:pPr>
                  <w:r>
                    <w:rPr>
                      <w:rFonts w:hint="eastAsia"/>
                      <w:kern w:val="0"/>
                      <w:sz w:val="18"/>
                      <w:szCs w:val="18"/>
                    </w:rPr>
                    <w:t>150</w:t>
                  </w:r>
                </w:p>
              </w:tc>
              <w:tc>
                <w:tcPr>
                  <w:tcW w:w="289" w:type="pct"/>
                  <w:tcBorders>
                    <w:tl2br w:val="nil"/>
                    <w:tr2bl w:val="nil"/>
                  </w:tcBorders>
                  <w:shd w:val="clear" w:color="auto" w:fill="auto"/>
                  <w:vAlign w:val="center"/>
                </w:tcPr>
                <w:p>
                  <w:pPr>
                    <w:widowControl/>
                    <w:spacing w:line="360" w:lineRule="exact"/>
                    <w:ind w:firstLine="0" w:firstLineChars="0"/>
                    <w:jc w:val="center"/>
                    <w:rPr>
                      <w:color w:val="000000" w:themeColor="text1"/>
                      <w:kern w:val="0"/>
                      <w:sz w:val="18"/>
                      <w:szCs w:val="18"/>
                    </w:rPr>
                  </w:pPr>
                  <w:r>
                    <w:rPr>
                      <w:rFonts w:hint="eastAsia"/>
                      <w:color w:val="000000" w:themeColor="text1"/>
                      <w:kern w:val="0"/>
                      <w:sz w:val="18"/>
                      <w:szCs w:val="18"/>
                    </w:rPr>
                    <w:t>N</w:t>
                  </w:r>
                </w:p>
              </w:tc>
              <w:tc>
                <w:tcPr>
                  <w:tcW w:w="309" w:type="pct"/>
                  <w:tcBorders>
                    <w:tl2br w:val="nil"/>
                    <w:tr2bl w:val="nil"/>
                  </w:tcBorders>
                  <w:shd w:val="clear" w:color="auto" w:fill="auto"/>
                  <w:vAlign w:val="center"/>
                </w:tcPr>
                <w:p>
                  <w:pPr>
                    <w:widowControl/>
                    <w:spacing w:line="360" w:lineRule="exact"/>
                    <w:ind w:firstLine="0" w:firstLineChars="0"/>
                    <w:jc w:val="center"/>
                    <w:rPr>
                      <w:color w:val="000000" w:themeColor="text1"/>
                      <w:kern w:val="0"/>
                      <w:sz w:val="18"/>
                      <w:szCs w:val="18"/>
                    </w:rPr>
                  </w:pPr>
                  <w:r>
                    <w:rPr>
                      <w:rFonts w:hint="eastAsia"/>
                      <w:color w:val="000000" w:themeColor="text1"/>
                      <w:kern w:val="0"/>
                      <w:sz w:val="18"/>
                      <w:szCs w:val="18"/>
                    </w:rPr>
                    <w:t>840</w:t>
                  </w:r>
                </w:p>
              </w:tc>
              <w:tc>
                <w:tcPr>
                  <w:tcW w:w="259" w:type="pct"/>
                  <w:tcBorders>
                    <w:tl2br w:val="nil"/>
                    <w:tr2bl w:val="nil"/>
                  </w:tcBorders>
                  <w:shd w:val="clear" w:color="auto" w:fill="auto"/>
                  <w:vAlign w:val="center"/>
                </w:tcPr>
                <w:p>
                  <w:pPr>
                    <w:widowControl/>
                    <w:spacing w:line="360" w:lineRule="exact"/>
                    <w:ind w:firstLine="0" w:firstLineChars="0"/>
                    <w:jc w:val="center"/>
                    <w:rPr>
                      <w:kern w:val="0"/>
                      <w:sz w:val="18"/>
                      <w:szCs w:val="18"/>
                    </w:rPr>
                  </w:pPr>
                  <w:r>
                    <w:rPr>
                      <w:rFonts w:hint="eastAsia"/>
                      <w:color w:val="000000" w:themeColor="text1"/>
                      <w:kern w:val="0"/>
                      <w:sz w:val="18"/>
                      <w:szCs w:val="18"/>
                    </w:rPr>
                    <w:t>1620</w:t>
                  </w:r>
                </w:p>
              </w:tc>
            </w:tr>
          </w:tbl>
          <w:p>
            <w:pPr>
              <w:pStyle w:val="153"/>
              <w:spacing w:line="360" w:lineRule="auto"/>
              <w:ind w:firstLine="480"/>
              <w:jc w:val="both"/>
              <w:rPr>
                <w:rFonts w:ascii="Times New Roman" w:hAnsi="Times New Roman" w:cs="Times New Roman"/>
                <w:color w:val="auto"/>
                <w:kern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456" w:type="dxa"/>
            <w:tcMar>
              <w:left w:w="28" w:type="dxa"/>
              <w:right w:w="28" w:type="dxa"/>
            </w:tcMar>
            <w:vAlign w:val="center"/>
          </w:tcPr>
          <w:p>
            <w:pPr>
              <w:widowControl/>
              <w:adjustRightInd w:val="0"/>
              <w:snapToGrid w:val="0"/>
              <w:spacing w:line="240" w:lineRule="auto"/>
              <w:ind w:firstLine="0" w:firstLineChars="0"/>
              <w:jc w:val="center"/>
              <w:rPr>
                <w:rFonts w:ascii="宋体" w:hAnsi="宋体" w:cs="宋体"/>
              </w:rPr>
            </w:pPr>
            <w:r>
              <w:rPr>
                <w:rFonts w:hint="eastAsia" w:ascii="宋体" w:hAnsi="宋体" w:cs="宋体"/>
              </w:rPr>
              <w:t>污染</w:t>
            </w:r>
          </w:p>
          <w:p>
            <w:pPr>
              <w:widowControl/>
              <w:adjustRightInd w:val="0"/>
              <w:snapToGrid w:val="0"/>
              <w:spacing w:line="240" w:lineRule="auto"/>
              <w:ind w:firstLine="0" w:firstLineChars="0"/>
              <w:jc w:val="center"/>
              <w:rPr>
                <w:rFonts w:ascii="宋体" w:hAnsi="宋体" w:cs="宋体"/>
              </w:rPr>
            </w:pPr>
            <w:r>
              <w:rPr>
                <w:rFonts w:hint="eastAsia" w:ascii="宋体" w:hAnsi="宋体" w:cs="宋体"/>
              </w:rPr>
              <w:t>物排</w:t>
            </w:r>
          </w:p>
          <w:p>
            <w:pPr>
              <w:widowControl/>
              <w:adjustRightInd w:val="0"/>
              <w:snapToGrid w:val="0"/>
              <w:spacing w:line="240" w:lineRule="auto"/>
              <w:ind w:firstLine="0" w:firstLineChars="0"/>
              <w:jc w:val="center"/>
              <w:rPr>
                <w:rFonts w:ascii="宋体" w:hAnsi="宋体" w:cs="宋体"/>
              </w:rPr>
            </w:pPr>
            <w:r>
              <w:rPr>
                <w:rFonts w:hint="eastAsia" w:ascii="宋体" w:hAnsi="宋体" w:cs="宋体"/>
              </w:rPr>
              <w:t>放控</w:t>
            </w:r>
          </w:p>
          <w:p>
            <w:pPr>
              <w:widowControl/>
              <w:adjustRightInd w:val="0"/>
              <w:snapToGrid w:val="0"/>
              <w:spacing w:line="240" w:lineRule="auto"/>
              <w:ind w:firstLine="0" w:firstLineChars="0"/>
              <w:jc w:val="center"/>
              <w:rPr>
                <w:rFonts w:ascii="宋体" w:hAnsi="宋体" w:cs="宋体"/>
              </w:rPr>
            </w:pPr>
            <w:r>
              <w:rPr>
                <w:rFonts w:hint="eastAsia" w:ascii="宋体" w:hAnsi="宋体" w:cs="宋体"/>
              </w:rPr>
              <w:t>制标</w:t>
            </w:r>
          </w:p>
          <w:p>
            <w:pPr>
              <w:widowControl/>
              <w:adjustRightInd w:val="0"/>
              <w:snapToGrid w:val="0"/>
              <w:spacing w:line="240" w:lineRule="auto"/>
              <w:ind w:firstLine="0" w:firstLineChars="0"/>
              <w:jc w:val="center"/>
              <w:rPr>
                <w:rFonts w:ascii="宋体" w:hAnsi="宋体" w:cs="宋体"/>
              </w:rPr>
            </w:pPr>
            <w:r>
              <w:rPr>
                <w:rFonts w:hint="eastAsia" w:ascii="宋体" w:hAnsi="宋体" w:cs="宋体"/>
              </w:rPr>
              <w:t>准</w:t>
            </w:r>
          </w:p>
        </w:tc>
        <w:tc>
          <w:tcPr>
            <w:tcW w:w="8603" w:type="dxa"/>
            <w:vAlign w:val="center"/>
          </w:tcPr>
          <w:p>
            <w:pPr>
              <w:pStyle w:val="37"/>
              <w:widowControl w:val="0"/>
              <w:snapToGrid w:val="0"/>
              <w:spacing w:before="120" w:beforeLines="50"/>
              <w:ind w:firstLine="482"/>
              <w:rPr>
                <w:rFonts w:ascii="Times New Roman" w:hAnsi="Times New Roman"/>
                <w:b/>
                <w:bCs w:val="0"/>
                <w:color w:val="auto"/>
                <w:szCs w:val="24"/>
              </w:rPr>
            </w:pPr>
            <w:r>
              <w:rPr>
                <w:rFonts w:hint="eastAsia" w:ascii="Times New Roman" w:hAnsi="Times New Roman"/>
                <w:b/>
                <w:bCs w:val="0"/>
                <w:color w:val="auto"/>
                <w:szCs w:val="24"/>
              </w:rPr>
              <w:t>1.施工期污染物排放标准</w:t>
            </w:r>
          </w:p>
          <w:p>
            <w:pPr>
              <w:pStyle w:val="37"/>
              <w:widowControl w:val="0"/>
              <w:snapToGrid w:val="0"/>
              <w:ind w:firstLine="480"/>
              <w:rPr>
                <w:rFonts w:ascii="Times New Roman" w:hAnsi="Times New Roman"/>
                <w:color w:val="auto"/>
                <w:szCs w:val="24"/>
              </w:rPr>
            </w:pPr>
            <w:r>
              <w:rPr>
                <w:rFonts w:hint="eastAsia" w:ascii="Times New Roman" w:hAnsi="Times New Roman"/>
                <w:color w:val="auto"/>
                <w:szCs w:val="24"/>
              </w:rPr>
              <w:t>(1)施工期扬尘(颗粒物)执行《施工场地扬尘排放标准》(DB13/2934-2019)表1中扬尘排放浓度限值，见表</w:t>
            </w:r>
            <w:r>
              <w:rPr>
                <w:rFonts w:hint="eastAsia" w:ascii="Times New Roman" w:hAnsi="Times New Roman"/>
                <w:color w:val="auto"/>
                <w:szCs w:val="24"/>
                <w:lang w:val="en-US" w:eastAsia="zh-CN"/>
              </w:rPr>
              <w:t>28</w:t>
            </w:r>
            <w:r>
              <w:rPr>
                <w:rFonts w:hint="eastAsia" w:ascii="Times New Roman" w:hAnsi="Times New Roman"/>
                <w:color w:val="auto"/>
                <w:szCs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b/>
                <w:bCs/>
              </w:rPr>
            </w:pPr>
            <w:r>
              <w:rPr>
                <w:b/>
                <w:bCs/>
              </w:rPr>
              <w:t>表</w:t>
            </w:r>
            <w:r>
              <w:rPr>
                <w:rFonts w:hint="eastAsia"/>
                <w:b/>
                <w:bCs/>
                <w:lang w:val="en-US" w:eastAsia="zh-CN"/>
              </w:rPr>
              <w:t>28</w:t>
            </w:r>
            <w:r>
              <w:rPr>
                <w:b/>
                <w:bCs/>
              </w:rPr>
              <w:t xml:space="preserve"> </w:t>
            </w:r>
            <w:r>
              <w:rPr>
                <w:rFonts w:hint="eastAsia"/>
                <w:b/>
                <w:bCs/>
              </w:rPr>
              <w:t xml:space="preserve">   </w:t>
            </w:r>
            <w:r>
              <w:rPr>
                <w:b/>
                <w:bCs/>
              </w:rPr>
              <w:t>大气污染物排放限值和控制要求</w:t>
            </w:r>
          </w:p>
          <w:tbl>
            <w:tblPr>
              <w:tblStyle w:val="7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2452"/>
              <w:gridCol w:w="1420"/>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1490" w:type="pct"/>
                  <w:tcBorders>
                    <w:tl2br w:val="nil"/>
                    <w:tr2bl w:val="nil"/>
                  </w:tcBorders>
                  <w:vAlign w:val="center"/>
                </w:tcPr>
                <w:p>
                  <w:pPr>
                    <w:snapToGrid w:val="0"/>
                    <w:spacing w:line="240" w:lineRule="auto"/>
                    <w:ind w:firstLine="0" w:firstLineChars="0"/>
                    <w:jc w:val="center"/>
                    <w:rPr>
                      <w:b/>
                      <w:bCs/>
                      <w:spacing w:val="-10"/>
                      <w:sz w:val="18"/>
                      <w:szCs w:val="18"/>
                    </w:rPr>
                  </w:pPr>
                  <w:r>
                    <w:rPr>
                      <w:b/>
                      <w:bCs/>
                      <w:spacing w:val="-10"/>
                      <w:sz w:val="18"/>
                      <w:szCs w:val="18"/>
                    </w:rPr>
                    <w:t>标准号</w:t>
                  </w:r>
                </w:p>
              </w:tc>
              <w:tc>
                <w:tcPr>
                  <w:tcW w:w="1464" w:type="pct"/>
                  <w:tcBorders>
                    <w:tl2br w:val="nil"/>
                    <w:tr2bl w:val="nil"/>
                  </w:tcBorders>
                  <w:vAlign w:val="center"/>
                </w:tcPr>
                <w:p>
                  <w:pPr>
                    <w:snapToGrid w:val="0"/>
                    <w:spacing w:line="240" w:lineRule="auto"/>
                    <w:ind w:firstLine="0" w:firstLineChars="0"/>
                    <w:jc w:val="center"/>
                    <w:rPr>
                      <w:b/>
                      <w:bCs/>
                      <w:spacing w:val="-10"/>
                      <w:sz w:val="18"/>
                      <w:szCs w:val="18"/>
                    </w:rPr>
                  </w:pPr>
                  <w:r>
                    <w:rPr>
                      <w:b/>
                      <w:bCs/>
                      <w:spacing w:val="-10"/>
                      <w:sz w:val="18"/>
                      <w:szCs w:val="18"/>
                    </w:rPr>
                    <w:t>标准名称</w:t>
                  </w:r>
                </w:p>
              </w:tc>
              <w:tc>
                <w:tcPr>
                  <w:tcW w:w="848" w:type="pct"/>
                  <w:tcBorders>
                    <w:tl2br w:val="nil"/>
                    <w:tr2bl w:val="nil"/>
                  </w:tcBorders>
                  <w:vAlign w:val="center"/>
                </w:tcPr>
                <w:p>
                  <w:pPr>
                    <w:snapToGrid w:val="0"/>
                    <w:spacing w:line="240" w:lineRule="auto"/>
                    <w:ind w:firstLine="0" w:firstLineChars="0"/>
                    <w:jc w:val="center"/>
                    <w:rPr>
                      <w:b/>
                      <w:bCs/>
                      <w:spacing w:val="-10"/>
                      <w:sz w:val="18"/>
                      <w:szCs w:val="18"/>
                    </w:rPr>
                  </w:pPr>
                  <w:r>
                    <w:rPr>
                      <w:b/>
                      <w:bCs/>
                      <w:spacing w:val="-10"/>
                      <w:sz w:val="18"/>
                      <w:szCs w:val="18"/>
                    </w:rPr>
                    <w:t>污染物</w:t>
                  </w:r>
                </w:p>
              </w:tc>
              <w:tc>
                <w:tcPr>
                  <w:tcW w:w="1195" w:type="pct"/>
                  <w:tcBorders>
                    <w:tl2br w:val="nil"/>
                    <w:tr2bl w:val="nil"/>
                  </w:tcBorders>
                  <w:vAlign w:val="center"/>
                </w:tcPr>
                <w:p>
                  <w:pPr>
                    <w:snapToGrid w:val="0"/>
                    <w:spacing w:line="240" w:lineRule="auto"/>
                    <w:ind w:firstLine="0" w:firstLineChars="0"/>
                    <w:jc w:val="center"/>
                    <w:rPr>
                      <w:b/>
                      <w:bCs/>
                      <w:spacing w:val="-10"/>
                      <w:sz w:val="18"/>
                      <w:szCs w:val="18"/>
                    </w:rPr>
                  </w:pPr>
                  <w:r>
                    <w:rPr>
                      <w:b/>
                      <w:bCs/>
                      <w:spacing w:val="-10"/>
                      <w:sz w:val="18"/>
                      <w:szCs w:val="18"/>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6" w:hRule="atLeast"/>
              </w:trPr>
              <w:tc>
                <w:tcPr>
                  <w:tcW w:w="1490" w:type="pct"/>
                  <w:tcBorders>
                    <w:tl2br w:val="nil"/>
                    <w:tr2bl w:val="nil"/>
                  </w:tcBorders>
                  <w:vAlign w:val="center"/>
                </w:tcPr>
                <w:p>
                  <w:pPr>
                    <w:snapToGrid w:val="0"/>
                    <w:spacing w:line="240" w:lineRule="auto"/>
                    <w:ind w:firstLine="0" w:firstLineChars="0"/>
                    <w:jc w:val="center"/>
                    <w:rPr>
                      <w:spacing w:val="-10"/>
                      <w:sz w:val="18"/>
                      <w:szCs w:val="18"/>
                    </w:rPr>
                  </w:pPr>
                  <w:r>
                    <w:rPr>
                      <w:spacing w:val="-10"/>
                      <w:sz w:val="18"/>
                      <w:szCs w:val="18"/>
                    </w:rPr>
                    <w:t>DB13/2934-2019</w:t>
                  </w:r>
                </w:p>
              </w:tc>
              <w:tc>
                <w:tcPr>
                  <w:tcW w:w="1464" w:type="pct"/>
                  <w:tcBorders>
                    <w:tl2br w:val="nil"/>
                    <w:tr2bl w:val="nil"/>
                  </w:tcBorders>
                  <w:vAlign w:val="center"/>
                </w:tcPr>
                <w:p>
                  <w:pPr>
                    <w:snapToGrid w:val="0"/>
                    <w:spacing w:line="240" w:lineRule="auto"/>
                    <w:ind w:firstLine="0" w:firstLineChars="0"/>
                    <w:jc w:val="center"/>
                    <w:rPr>
                      <w:spacing w:val="-10"/>
                      <w:sz w:val="18"/>
                      <w:szCs w:val="18"/>
                    </w:rPr>
                  </w:pPr>
                  <w:r>
                    <w:rPr>
                      <w:spacing w:val="-10"/>
                      <w:sz w:val="18"/>
                      <w:szCs w:val="18"/>
                    </w:rPr>
                    <w:t>施工场地扬尘排放标准</w:t>
                  </w:r>
                </w:p>
              </w:tc>
              <w:tc>
                <w:tcPr>
                  <w:tcW w:w="848" w:type="pct"/>
                  <w:tcBorders>
                    <w:tl2br w:val="nil"/>
                    <w:tr2bl w:val="nil"/>
                  </w:tcBorders>
                  <w:vAlign w:val="center"/>
                </w:tcPr>
                <w:p>
                  <w:pPr>
                    <w:snapToGrid w:val="0"/>
                    <w:spacing w:line="240" w:lineRule="auto"/>
                    <w:ind w:firstLine="0" w:firstLineChars="0"/>
                    <w:jc w:val="center"/>
                    <w:rPr>
                      <w:spacing w:val="-10"/>
                      <w:sz w:val="18"/>
                      <w:szCs w:val="18"/>
                    </w:rPr>
                  </w:pPr>
                  <w:r>
                    <w:rPr>
                      <w:spacing w:val="-10"/>
                      <w:sz w:val="18"/>
                      <w:szCs w:val="18"/>
                    </w:rPr>
                    <w:t>PM</w:t>
                  </w:r>
                  <w:r>
                    <w:rPr>
                      <w:spacing w:val="-10"/>
                      <w:sz w:val="18"/>
                      <w:szCs w:val="18"/>
                      <w:vertAlign w:val="subscript"/>
                    </w:rPr>
                    <w:t>10</w:t>
                  </w:r>
                </w:p>
              </w:tc>
              <w:tc>
                <w:tcPr>
                  <w:tcW w:w="1195" w:type="pct"/>
                  <w:tcBorders>
                    <w:tl2br w:val="nil"/>
                    <w:tr2bl w:val="nil"/>
                  </w:tcBorders>
                  <w:vAlign w:val="center"/>
                </w:tcPr>
                <w:p>
                  <w:pPr>
                    <w:snapToGrid w:val="0"/>
                    <w:spacing w:line="240" w:lineRule="auto"/>
                    <w:ind w:firstLine="0" w:firstLineChars="0"/>
                    <w:jc w:val="center"/>
                    <w:rPr>
                      <w:spacing w:val="-10"/>
                      <w:sz w:val="18"/>
                      <w:szCs w:val="18"/>
                    </w:rPr>
                  </w:pPr>
                  <w:r>
                    <w:rPr>
                      <w:spacing w:val="-10"/>
                      <w:sz w:val="18"/>
                      <w:szCs w:val="18"/>
                    </w:rPr>
                    <w:t>80μg/</w:t>
                  </w:r>
                  <w:r>
                    <w:rPr>
                      <w:rFonts w:hint="eastAsia"/>
                      <w:spacing w:val="-10"/>
                      <w:sz w:val="18"/>
                      <w:szCs w:val="18"/>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5000" w:type="pct"/>
                  <w:gridSpan w:val="4"/>
                  <w:tcBorders>
                    <w:tl2br w:val="nil"/>
                    <w:tr2bl w:val="nil"/>
                  </w:tcBorders>
                  <w:vAlign w:val="center"/>
                </w:tcPr>
                <w:p>
                  <w:pPr>
                    <w:pStyle w:val="37"/>
                    <w:widowControl w:val="0"/>
                    <w:snapToGrid w:val="0"/>
                    <w:spacing w:line="240" w:lineRule="auto"/>
                    <w:ind w:firstLine="0" w:firstLineChars="0"/>
                    <w:rPr>
                      <w:rFonts w:ascii="Times New Roman"/>
                      <w:color w:val="auto"/>
                      <w:spacing w:val="-10"/>
                      <w:sz w:val="18"/>
                      <w:szCs w:val="18"/>
                    </w:rPr>
                  </w:pPr>
                  <w:r>
                    <w:rPr>
                      <w:rFonts w:ascii="Times New Roman" w:hAnsi="Times New Roman"/>
                      <w:color w:val="auto"/>
                      <w:sz w:val="18"/>
                      <w:szCs w:val="18"/>
                    </w:rPr>
                    <w:t>指监测点PM</w:t>
                  </w:r>
                  <w:r>
                    <w:rPr>
                      <w:rFonts w:ascii="Times New Roman" w:hAnsi="Times New Roman"/>
                      <w:color w:val="auto"/>
                      <w:sz w:val="18"/>
                      <w:szCs w:val="18"/>
                      <w:vertAlign w:val="subscript"/>
                    </w:rPr>
                    <w:t>10</w:t>
                  </w:r>
                  <w:r>
                    <w:rPr>
                      <w:rFonts w:ascii="Times New Roman" w:hAnsi="Times New Roman"/>
                      <w:color w:val="auto"/>
                      <w:sz w:val="18"/>
                      <w:szCs w:val="18"/>
                    </w:rPr>
                    <w:t>小时平均浓度实测值与同时段所属县</w:t>
                  </w:r>
                  <w:r>
                    <w:rPr>
                      <w:rFonts w:hint="eastAsia" w:ascii="Times New Roman" w:hAnsi="Times New Roman"/>
                      <w:color w:val="auto"/>
                      <w:sz w:val="18"/>
                      <w:szCs w:val="18"/>
                    </w:rPr>
                    <w:t>(</w:t>
                  </w:r>
                  <w:r>
                    <w:rPr>
                      <w:rFonts w:ascii="Times New Roman" w:hAnsi="Times New Roman"/>
                      <w:color w:val="auto"/>
                      <w:sz w:val="18"/>
                      <w:szCs w:val="18"/>
                    </w:rPr>
                    <w:t>市、区</w:t>
                  </w:r>
                  <w:r>
                    <w:rPr>
                      <w:rFonts w:hint="eastAsia" w:ascii="Times New Roman" w:hAnsi="Times New Roman"/>
                      <w:color w:val="auto"/>
                      <w:sz w:val="18"/>
                      <w:szCs w:val="18"/>
                    </w:rPr>
                    <w:t>)</w:t>
                  </w:r>
                  <w:r>
                    <w:rPr>
                      <w:rFonts w:ascii="Times New Roman" w:hAnsi="Times New Roman"/>
                      <w:color w:val="auto"/>
                      <w:sz w:val="18"/>
                      <w:szCs w:val="18"/>
                    </w:rPr>
                    <w:t>PM</w:t>
                  </w:r>
                  <w:r>
                    <w:rPr>
                      <w:rFonts w:ascii="Times New Roman" w:hAnsi="Times New Roman"/>
                      <w:color w:val="auto"/>
                      <w:sz w:val="18"/>
                      <w:szCs w:val="18"/>
                      <w:vertAlign w:val="subscript"/>
                    </w:rPr>
                    <w:t>10</w:t>
                  </w:r>
                  <w:r>
                    <w:rPr>
                      <w:rFonts w:ascii="Times New Roman" w:hAnsi="Times New Roman"/>
                      <w:color w:val="auto"/>
                      <w:sz w:val="18"/>
                      <w:szCs w:val="18"/>
                    </w:rPr>
                    <w:t>小时平均浓度的差值。当县</w:t>
                  </w:r>
                  <w:r>
                    <w:rPr>
                      <w:rFonts w:hint="eastAsia" w:ascii="Times New Roman" w:hAnsi="Times New Roman"/>
                      <w:color w:val="auto"/>
                      <w:sz w:val="18"/>
                      <w:szCs w:val="18"/>
                    </w:rPr>
                    <w:t>(</w:t>
                  </w:r>
                  <w:r>
                    <w:rPr>
                      <w:rFonts w:ascii="Times New Roman" w:hAnsi="Times New Roman"/>
                      <w:color w:val="auto"/>
                      <w:sz w:val="18"/>
                      <w:szCs w:val="18"/>
                    </w:rPr>
                    <w:t>市、区</w:t>
                  </w:r>
                  <w:r>
                    <w:rPr>
                      <w:rFonts w:hint="eastAsia" w:ascii="Times New Roman" w:hAnsi="Times New Roman"/>
                      <w:color w:val="auto"/>
                      <w:sz w:val="18"/>
                      <w:szCs w:val="18"/>
                    </w:rPr>
                    <w:t>)</w:t>
                  </w:r>
                  <w:r>
                    <w:rPr>
                      <w:rFonts w:ascii="Times New Roman" w:hAnsi="Times New Roman"/>
                      <w:color w:val="auto"/>
                      <w:sz w:val="18"/>
                      <w:szCs w:val="18"/>
                    </w:rPr>
                    <w:t>PM</w:t>
                  </w:r>
                  <w:r>
                    <w:rPr>
                      <w:rFonts w:ascii="Times New Roman" w:hAnsi="Times New Roman"/>
                      <w:color w:val="auto"/>
                      <w:sz w:val="18"/>
                      <w:szCs w:val="18"/>
                      <w:vertAlign w:val="subscript"/>
                    </w:rPr>
                    <w:t>10</w:t>
                  </w:r>
                  <w:r>
                    <w:rPr>
                      <w:rFonts w:ascii="Times New Roman" w:hAnsi="Times New Roman"/>
                      <w:color w:val="auto"/>
                      <w:sz w:val="18"/>
                      <w:szCs w:val="18"/>
                    </w:rPr>
                    <w:t>小时平均浓度值大于150μg/</w:t>
                  </w:r>
                  <w:r>
                    <w:rPr>
                      <w:rFonts w:hint="eastAsia" w:ascii="Times New Roman" w:hAnsi="Times New Roman"/>
                      <w:color w:val="auto"/>
                      <w:sz w:val="18"/>
                      <w:szCs w:val="18"/>
                    </w:rPr>
                    <w:t>m³</w:t>
                  </w:r>
                  <w:r>
                    <w:rPr>
                      <w:rFonts w:ascii="Times New Roman" w:hAnsi="Times New Roman"/>
                      <w:color w:val="auto"/>
                      <w:sz w:val="18"/>
                      <w:szCs w:val="18"/>
                    </w:rPr>
                    <w:t>时，以150μg/</w:t>
                  </w:r>
                  <w:r>
                    <w:rPr>
                      <w:rFonts w:hint="eastAsia" w:ascii="Times New Roman" w:hAnsi="Times New Roman"/>
                      <w:color w:val="auto"/>
                      <w:sz w:val="18"/>
                      <w:szCs w:val="18"/>
                    </w:rPr>
                    <w:t>m³</w:t>
                  </w:r>
                  <w:r>
                    <w:rPr>
                      <w:rFonts w:ascii="Times New Roman" w:hAnsi="Times New Roman"/>
                      <w:color w:val="auto"/>
                      <w:sz w:val="18"/>
                      <w:szCs w:val="18"/>
                    </w:rPr>
                    <w:t>计。</w:t>
                  </w:r>
                </w:p>
              </w:tc>
            </w:tr>
          </w:tbl>
          <w:p>
            <w:pPr>
              <w:pStyle w:val="37"/>
              <w:widowControl w:val="0"/>
              <w:snapToGrid w:val="0"/>
              <w:spacing w:before="120" w:beforeLines="50"/>
              <w:ind w:firstLine="480"/>
              <w:rPr>
                <w:rFonts w:ascii="Times New Roman" w:hAnsi="Times New Roman"/>
                <w:color w:val="auto"/>
                <w:szCs w:val="24"/>
              </w:rPr>
            </w:pPr>
            <w:r>
              <w:rPr>
                <w:rFonts w:hint="eastAsia" w:ascii="Times New Roman" w:hAnsi="Times New Roman"/>
                <w:color w:val="auto"/>
                <w:szCs w:val="24"/>
              </w:rPr>
              <w:t>(2)</w:t>
            </w:r>
            <w:r>
              <w:rPr>
                <w:rFonts w:ascii="Times New Roman" w:hAnsi="Times New Roman"/>
                <w:color w:val="auto"/>
                <w:szCs w:val="24"/>
              </w:rPr>
              <w:t>施工期噪声执行《建筑施工场界环境噪声排放标准》</w:t>
            </w:r>
            <w:r>
              <w:rPr>
                <w:rFonts w:hint="eastAsia" w:ascii="Times New Roman" w:hAnsi="Times New Roman"/>
                <w:color w:val="auto"/>
                <w:szCs w:val="24"/>
              </w:rPr>
              <w:t>(</w:t>
            </w:r>
            <w:r>
              <w:rPr>
                <w:rFonts w:ascii="Times New Roman" w:hAnsi="Times New Roman"/>
                <w:color w:val="auto"/>
                <w:szCs w:val="24"/>
              </w:rPr>
              <w:t>GB12523-2011</w:t>
            </w:r>
            <w:r>
              <w:rPr>
                <w:rFonts w:hint="eastAsia" w:ascii="Times New Roman" w:hAnsi="Times New Roman"/>
                <w:color w:val="auto"/>
                <w:szCs w:val="24"/>
              </w:rPr>
              <w:t>)</w:t>
            </w:r>
            <w:r>
              <w:rPr>
                <w:rFonts w:ascii="Times New Roman" w:hAnsi="Times New Roman"/>
                <w:color w:val="auto"/>
                <w:szCs w:val="24"/>
              </w:rPr>
              <w:t>相关标准：昼间：70dB(A)，夜间：55dB(A)。</w:t>
            </w:r>
          </w:p>
          <w:p>
            <w:pPr>
              <w:pStyle w:val="37"/>
              <w:widowControl w:val="0"/>
              <w:snapToGrid w:val="0"/>
              <w:spacing w:before="120" w:beforeLines="50"/>
              <w:ind w:firstLine="482"/>
              <w:rPr>
                <w:rFonts w:ascii="Times New Roman" w:hAnsi="Times New Roman"/>
                <w:b/>
                <w:bCs w:val="0"/>
                <w:color w:val="auto"/>
                <w:szCs w:val="24"/>
              </w:rPr>
            </w:pPr>
            <w:r>
              <w:rPr>
                <w:rFonts w:hint="eastAsia" w:ascii="Times New Roman" w:hAnsi="Times New Roman"/>
                <w:b/>
                <w:bCs w:val="0"/>
                <w:color w:val="auto"/>
                <w:szCs w:val="24"/>
              </w:rPr>
              <w:t>2.营运期污染物排放标准</w:t>
            </w:r>
          </w:p>
          <w:p>
            <w:pPr>
              <w:pStyle w:val="37"/>
              <w:widowControl w:val="0"/>
              <w:snapToGrid w:val="0"/>
              <w:ind w:firstLine="480"/>
              <w:jc w:val="both"/>
              <w:rPr>
                <w:rFonts w:ascii="Times New Roman" w:hAnsi="Times New Roman"/>
                <w:color w:val="auto"/>
                <w:szCs w:val="24"/>
              </w:rPr>
            </w:pPr>
            <w:r>
              <w:rPr>
                <w:rFonts w:ascii="Times New Roman" w:hAnsi="Times New Roman"/>
                <w:color w:val="auto"/>
                <w:szCs w:val="24"/>
              </w:rPr>
              <w:t>(1)废气：</w:t>
            </w:r>
            <w:r>
              <w:rPr>
                <w:rFonts w:ascii="Times New Roman" w:hAnsi="Times New Roman"/>
              </w:rPr>
              <w:t>煤气锅炉烟气执行《火电厂大气污染物排放标准》</w:t>
            </w:r>
            <w:r>
              <w:rPr>
                <w:rFonts w:hint="eastAsia" w:ascii="Times New Roman" w:hAnsi="Times New Roman"/>
              </w:rPr>
              <w:t>(</w:t>
            </w:r>
            <w:r>
              <w:rPr>
                <w:rFonts w:ascii="Times New Roman" w:hAnsi="Times New Roman"/>
              </w:rPr>
              <w:t>GB13223-2011</w:t>
            </w:r>
            <w:r>
              <w:rPr>
                <w:rFonts w:hint="eastAsia" w:ascii="Times New Roman" w:hAnsi="Times New Roman"/>
              </w:rPr>
              <w:t>)</w:t>
            </w:r>
            <w:r>
              <w:rPr>
                <w:rFonts w:ascii="Times New Roman" w:hAnsi="Times New Roman"/>
              </w:rPr>
              <w:t>表2大气污染物特别排放限值标准，同时参照执行《唐山市钢铁、焦化超低排放和燃煤电厂深度减排实施方案》唐气领办2018</w:t>
            </w:r>
            <w:r>
              <w:rPr>
                <w:rFonts w:hint="eastAsia" w:ascii="Times New Roman" w:hAnsi="Times New Roman"/>
              </w:rPr>
              <w:t>(</w:t>
            </w:r>
            <w:r>
              <w:rPr>
                <w:rFonts w:ascii="Times New Roman" w:hAnsi="Times New Roman"/>
              </w:rPr>
              <w:t>38</w:t>
            </w:r>
            <w:r>
              <w:rPr>
                <w:rFonts w:hint="eastAsia" w:ascii="Times New Roman" w:hAnsi="Times New Roman"/>
              </w:rPr>
              <w:t>)</w:t>
            </w:r>
            <w:r>
              <w:rPr>
                <w:rFonts w:ascii="Times New Roman" w:hAnsi="Times New Roman"/>
              </w:rPr>
              <w:t>号：钢铁企业自备电厂超低排放要求；氨无组织排放执行《恶臭污染物排放标准》</w:t>
            </w:r>
            <w:r>
              <w:rPr>
                <w:rFonts w:hint="eastAsia" w:ascii="Times New Roman" w:hAnsi="Times New Roman"/>
              </w:rPr>
              <w:t>(</w:t>
            </w:r>
            <w:r>
              <w:rPr>
                <w:rFonts w:ascii="Times New Roman" w:hAnsi="Times New Roman"/>
              </w:rPr>
              <w:t>GB14554-93</w:t>
            </w:r>
            <w:r>
              <w:rPr>
                <w:rFonts w:hint="eastAsia" w:ascii="Times New Roman" w:hAnsi="Times New Roman"/>
              </w:rPr>
              <w:t>)</w:t>
            </w:r>
            <w:r>
              <w:rPr>
                <w:rFonts w:ascii="Times New Roman" w:hAnsi="Times New Roman"/>
              </w:rPr>
              <w:t>污染物排放限值标准，有组织排放参照执行《火电厂氮氧化物防治技术政策》</w:t>
            </w:r>
            <w:r>
              <w:rPr>
                <w:rFonts w:hint="eastAsia" w:ascii="Times New Roman" w:hAnsi="Times New Roman"/>
              </w:rPr>
              <w:t>(</w:t>
            </w:r>
            <w:r>
              <w:rPr>
                <w:rFonts w:ascii="Times New Roman" w:hAnsi="Times New Roman"/>
              </w:rPr>
              <w:t>环发[2010]10号</w:t>
            </w:r>
            <w:r>
              <w:rPr>
                <w:rFonts w:hint="eastAsia" w:ascii="Times New Roman" w:hAnsi="Times New Roman"/>
              </w:rPr>
              <w:t>)</w:t>
            </w:r>
            <w:r>
              <w:rPr>
                <w:rFonts w:hint="eastAsia" w:ascii="Times New Roman" w:hAnsi="Times New Roman"/>
                <w:lang w:eastAsia="zh-CN"/>
              </w:rPr>
              <w:t>；</w:t>
            </w:r>
            <w:r>
              <w:rPr>
                <w:rFonts w:hint="eastAsia" w:ascii="Times New Roman" w:hAnsi="Times New Roman"/>
                <w:lang w:val="en-US" w:eastAsia="zh-CN"/>
              </w:rPr>
              <w:t>氯化氢</w:t>
            </w:r>
            <w:r>
              <w:rPr>
                <w:rFonts w:ascii="Times New Roman" w:hAnsi="Times New Roman"/>
              </w:rPr>
              <w:t>无</w:t>
            </w:r>
            <w:r>
              <w:rPr>
                <w:rFonts w:hint="eastAsia" w:ascii="Times New Roman" w:hAnsi="Times New Roman"/>
                <w:lang w:val="en-US" w:eastAsia="zh-CN"/>
              </w:rPr>
              <w:t>组织</w:t>
            </w:r>
            <w:r>
              <w:rPr>
                <w:rFonts w:ascii="Times New Roman" w:hAnsi="Times New Roman"/>
              </w:rPr>
              <w:t>排放</w:t>
            </w:r>
            <w:r>
              <w:rPr>
                <w:rFonts w:hint="eastAsia" w:ascii="Times New Roman" w:hAnsi="Times New Roman"/>
                <w:lang w:val="en-US" w:eastAsia="zh-CN"/>
              </w:rPr>
              <w:t>参照</w:t>
            </w:r>
            <w:r>
              <w:rPr>
                <w:rFonts w:ascii="Times New Roman" w:hAnsi="Times New Roman"/>
              </w:rPr>
              <w:t>执行</w:t>
            </w:r>
            <w:r>
              <w:rPr>
                <w:rFonts w:hint="eastAsia" w:ascii="Times New Roman" w:hAnsi="Times New Roman"/>
                <w:lang w:eastAsia="zh-CN"/>
              </w:rPr>
              <w:t>《</w:t>
            </w:r>
            <w:r>
              <w:rPr>
                <w:rFonts w:hint="eastAsia" w:ascii="Times New Roman" w:hAnsi="Times New Roman"/>
                <w:lang w:val="en-US" w:eastAsia="zh-CN"/>
              </w:rPr>
              <w:t>钢铁工业大气污染物超低排放标准</w:t>
            </w:r>
            <w:r>
              <w:rPr>
                <w:rFonts w:hint="eastAsia" w:ascii="Times New Roman" w:hAnsi="Times New Roman"/>
                <w:lang w:eastAsia="zh-CN"/>
              </w:rPr>
              <w:t>》（</w:t>
            </w:r>
            <w:r>
              <w:rPr>
                <w:rFonts w:hint="eastAsia" w:ascii="Times New Roman" w:hAnsi="Times New Roman"/>
                <w:lang w:val="en-US" w:eastAsia="zh-CN"/>
              </w:rPr>
              <w:t>DB13/2169-2018</w:t>
            </w:r>
            <w:r>
              <w:rPr>
                <w:rFonts w:hint="eastAsia" w:ascii="Times New Roman" w:hAnsi="Times New Roman"/>
                <w:lang w:eastAsia="zh-CN"/>
              </w:rPr>
              <w:t>）</w:t>
            </w:r>
            <w:r>
              <w:rPr>
                <w:rFonts w:hint="eastAsia" w:ascii="Times New Roman" w:hAnsi="Times New Roman"/>
                <w:lang w:val="en-US" w:eastAsia="zh-CN"/>
              </w:rPr>
              <w:t>表5氯化氢排放浓度限值</w:t>
            </w:r>
            <w:r>
              <w:rPr>
                <w:rFonts w:ascii="Times New Roman" w:hAnsi="Times New Roman"/>
              </w:rPr>
              <w:t>。</w:t>
            </w:r>
            <w:r>
              <w:rPr>
                <w:rFonts w:ascii="Times New Roman" w:hAnsi="Times New Roman"/>
                <w:color w:val="auto"/>
                <w:szCs w:val="24"/>
              </w:rPr>
              <w:t>具体见表</w:t>
            </w:r>
            <w:r>
              <w:rPr>
                <w:rFonts w:hint="eastAsia" w:ascii="Times New Roman" w:hAnsi="Times New Roman"/>
                <w:color w:val="auto"/>
                <w:szCs w:val="24"/>
              </w:rPr>
              <w:t>2</w:t>
            </w:r>
            <w:r>
              <w:rPr>
                <w:rFonts w:hint="eastAsia" w:ascii="Times New Roman" w:hAnsi="Times New Roman"/>
                <w:color w:val="auto"/>
                <w:szCs w:val="24"/>
                <w:lang w:val="en-US" w:eastAsia="zh-CN"/>
              </w:rPr>
              <w:t>9</w:t>
            </w:r>
            <w:r>
              <w:rPr>
                <w:rFonts w:ascii="Times New Roman" w:hAnsi="Times New Roman"/>
                <w:color w:val="auto"/>
                <w:szCs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b/>
                <w:bCs/>
              </w:rPr>
            </w:pPr>
            <w:r>
              <w:rPr>
                <w:b/>
                <w:bCs/>
              </w:rPr>
              <w:t>表</w:t>
            </w:r>
            <w:r>
              <w:rPr>
                <w:rFonts w:hint="eastAsia"/>
                <w:b/>
                <w:bCs/>
              </w:rPr>
              <w:t>2</w:t>
            </w:r>
            <w:r>
              <w:rPr>
                <w:rFonts w:hint="eastAsia"/>
                <w:b/>
                <w:bCs/>
                <w:lang w:val="en-US" w:eastAsia="zh-CN"/>
              </w:rPr>
              <w:t>9</w:t>
            </w:r>
            <w:r>
              <w:rPr>
                <w:rFonts w:hint="eastAsia"/>
                <w:b/>
                <w:bCs/>
              </w:rPr>
              <w:t xml:space="preserve">    </w:t>
            </w:r>
            <w:r>
              <w:rPr>
                <w:b/>
                <w:bCs/>
              </w:rPr>
              <w:t>项目大气污染物排放标准一览表</w:t>
            </w:r>
          </w:p>
          <w:tbl>
            <w:tblPr>
              <w:tblStyle w:val="7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61"/>
              <w:gridCol w:w="1414"/>
              <w:gridCol w:w="1288"/>
              <w:gridCol w:w="873"/>
              <w:gridCol w:w="3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12" w:type="pct"/>
                  <w:vAlign w:val="center"/>
                </w:tcPr>
                <w:p>
                  <w:pPr>
                    <w:snapToGrid w:val="0"/>
                    <w:spacing w:line="240" w:lineRule="auto"/>
                    <w:ind w:firstLine="0" w:firstLineChars="0"/>
                    <w:jc w:val="center"/>
                    <w:rPr>
                      <w:spacing w:val="-10"/>
                      <w:sz w:val="18"/>
                      <w:szCs w:val="18"/>
                    </w:rPr>
                  </w:pPr>
                  <w:r>
                    <w:rPr>
                      <w:rFonts w:hint="eastAsia"/>
                      <w:spacing w:val="-10"/>
                      <w:sz w:val="18"/>
                      <w:szCs w:val="18"/>
                    </w:rPr>
                    <w:t>排放方式</w:t>
                  </w:r>
                </w:p>
              </w:tc>
              <w:tc>
                <w:tcPr>
                  <w:tcW w:w="844" w:type="pct"/>
                  <w:vAlign w:val="center"/>
                </w:tcPr>
                <w:p>
                  <w:pPr>
                    <w:snapToGrid w:val="0"/>
                    <w:spacing w:line="240" w:lineRule="auto"/>
                    <w:ind w:firstLine="0" w:firstLineChars="0"/>
                    <w:jc w:val="center"/>
                    <w:rPr>
                      <w:spacing w:val="-10"/>
                      <w:sz w:val="18"/>
                      <w:szCs w:val="18"/>
                    </w:rPr>
                  </w:pPr>
                  <w:r>
                    <w:rPr>
                      <w:rFonts w:hint="eastAsia"/>
                      <w:spacing w:val="-10"/>
                      <w:sz w:val="18"/>
                      <w:szCs w:val="18"/>
                    </w:rPr>
                    <w:t>污染因子</w:t>
                  </w:r>
                </w:p>
              </w:tc>
              <w:tc>
                <w:tcPr>
                  <w:tcW w:w="769" w:type="pct"/>
                  <w:vAlign w:val="center"/>
                </w:tcPr>
                <w:p>
                  <w:pPr>
                    <w:snapToGrid w:val="0"/>
                    <w:spacing w:line="240" w:lineRule="auto"/>
                    <w:ind w:firstLine="0" w:firstLineChars="0"/>
                    <w:jc w:val="center"/>
                    <w:rPr>
                      <w:spacing w:val="-10"/>
                      <w:sz w:val="18"/>
                      <w:szCs w:val="18"/>
                    </w:rPr>
                  </w:pPr>
                  <w:r>
                    <w:rPr>
                      <w:spacing w:val="-10"/>
                      <w:sz w:val="18"/>
                      <w:szCs w:val="18"/>
                    </w:rPr>
                    <w:t>标准值</w:t>
                  </w:r>
                </w:p>
              </w:tc>
              <w:tc>
                <w:tcPr>
                  <w:tcW w:w="521" w:type="pct"/>
                  <w:vAlign w:val="center"/>
                </w:tcPr>
                <w:p>
                  <w:pPr>
                    <w:snapToGrid w:val="0"/>
                    <w:spacing w:line="240" w:lineRule="auto"/>
                    <w:ind w:firstLine="0" w:firstLineChars="0"/>
                    <w:jc w:val="center"/>
                    <w:rPr>
                      <w:spacing w:val="-10"/>
                      <w:sz w:val="18"/>
                      <w:szCs w:val="18"/>
                    </w:rPr>
                  </w:pPr>
                  <w:r>
                    <w:rPr>
                      <w:spacing w:val="-10"/>
                      <w:sz w:val="18"/>
                      <w:szCs w:val="18"/>
                    </w:rPr>
                    <w:t>单位</w:t>
                  </w:r>
                </w:p>
              </w:tc>
              <w:tc>
                <w:tcPr>
                  <w:tcW w:w="2052" w:type="pct"/>
                  <w:vAlign w:val="center"/>
                </w:tcPr>
                <w:p>
                  <w:pPr>
                    <w:snapToGrid w:val="0"/>
                    <w:spacing w:line="240" w:lineRule="auto"/>
                    <w:ind w:firstLine="0" w:firstLineChars="0"/>
                    <w:jc w:val="center"/>
                    <w:rPr>
                      <w:spacing w:val="-10"/>
                      <w:sz w:val="18"/>
                      <w:szCs w:val="18"/>
                    </w:rPr>
                  </w:pPr>
                  <w:r>
                    <w:rPr>
                      <w:spacing w:val="-10"/>
                      <w:sz w:val="18"/>
                      <w:szCs w:val="18"/>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12" w:type="pct"/>
                  <w:vMerge w:val="restart"/>
                  <w:vAlign w:val="center"/>
                </w:tcPr>
                <w:p>
                  <w:pPr>
                    <w:snapToGrid w:val="0"/>
                    <w:spacing w:line="240" w:lineRule="auto"/>
                    <w:ind w:firstLine="0" w:firstLineChars="0"/>
                    <w:jc w:val="center"/>
                    <w:rPr>
                      <w:spacing w:val="-10"/>
                      <w:sz w:val="18"/>
                      <w:szCs w:val="18"/>
                    </w:rPr>
                  </w:pPr>
                  <w:r>
                    <w:rPr>
                      <w:rFonts w:hint="eastAsia"/>
                      <w:spacing w:val="-10"/>
                      <w:sz w:val="18"/>
                      <w:szCs w:val="18"/>
                    </w:rPr>
                    <w:t>有组织排放</w:t>
                  </w:r>
                </w:p>
              </w:tc>
              <w:tc>
                <w:tcPr>
                  <w:tcW w:w="844" w:type="pct"/>
                  <w:vAlign w:val="center"/>
                </w:tcPr>
                <w:p>
                  <w:pPr>
                    <w:snapToGrid w:val="0"/>
                    <w:spacing w:line="240" w:lineRule="auto"/>
                    <w:ind w:firstLine="0" w:firstLineChars="0"/>
                    <w:jc w:val="center"/>
                    <w:rPr>
                      <w:spacing w:val="-10"/>
                      <w:sz w:val="18"/>
                      <w:szCs w:val="18"/>
                    </w:rPr>
                  </w:pPr>
                  <w:r>
                    <w:rPr>
                      <w:rFonts w:hint="eastAsia"/>
                      <w:spacing w:val="-10"/>
                      <w:sz w:val="18"/>
                      <w:szCs w:val="18"/>
                    </w:rPr>
                    <w:t>烟尘</w:t>
                  </w:r>
                </w:p>
              </w:tc>
              <w:tc>
                <w:tcPr>
                  <w:tcW w:w="769" w:type="pct"/>
                  <w:vAlign w:val="center"/>
                </w:tcPr>
                <w:p>
                  <w:pPr>
                    <w:snapToGrid w:val="0"/>
                    <w:spacing w:line="240" w:lineRule="auto"/>
                    <w:ind w:firstLine="0" w:firstLineChars="0"/>
                    <w:jc w:val="center"/>
                    <w:rPr>
                      <w:spacing w:val="-10"/>
                      <w:sz w:val="18"/>
                      <w:szCs w:val="18"/>
                    </w:rPr>
                  </w:pPr>
                  <w:r>
                    <w:rPr>
                      <w:rFonts w:hint="eastAsia"/>
                      <w:spacing w:val="-10"/>
                      <w:sz w:val="18"/>
                      <w:szCs w:val="18"/>
                    </w:rPr>
                    <w:t>5</w:t>
                  </w:r>
                </w:p>
              </w:tc>
              <w:tc>
                <w:tcPr>
                  <w:tcW w:w="521" w:type="pct"/>
                  <w:vMerge w:val="restart"/>
                  <w:vAlign w:val="center"/>
                </w:tcPr>
                <w:p>
                  <w:pPr>
                    <w:snapToGrid w:val="0"/>
                    <w:spacing w:line="240" w:lineRule="auto"/>
                    <w:ind w:firstLine="0" w:firstLineChars="0"/>
                    <w:jc w:val="center"/>
                    <w:rPr>
                      <w:spacing w:val="-10"/>
                      <w:sz w:val="18"/>
                      <w:szCs w:val="18"/>
                    </w:rPr>
                  </w:pPr>
                  <w:r>
                    <w:rPr>
                      <w:rFonts w:hint="eastAsia"/>
                      <w:spacing w:val="-10"/>
                      <w:sz w:val="18"/>
                      <w:szCs w:val="18"/>
                    </w:rPr>
                    <w:t>mg/m</w:t>
                  </w:r>
                  <w:r>
                    <w:rPr>
                      <w:rFonts w:hint="eastAsia"/>
                      <w:spacing w:val="-10"/>
                      <w:sz w:val="18"/>
                      <w:szCs w:val="18"/>
                      <w:vertAlign w:val="superscript"/>
                    </w:rPr>
                    <w:t>3</w:t>
                  </w:r>
                </w:p>
              </w:tc>
              <w:tc>
                <w:tcPr>
                  <w:tcW w:w="2052" w:type="pct"/>
                  <w:vMerge w:val="restart"/>
                  <w:vAlign w:val="center"/>
                </w:tcPr>
                <w:p>
                  <w:pPr>
                    <w:snapToGrid w:val="0"/>
                    <w:spacing w:line="240" w:lineRule="auto"/>
                    <w:ind w:firstLine="0" w:firstLineChars="0"/>
                    <w:jc w:val="center"/>
                    <w:rPr>
                      <w:spacing w:val="-10"/>
                      <w:sz w:val="18"/>
                      <w:szCs w:val="18"/>
                    </w:rPr>
                  </w:pPr>
                  <w:r>
                    <w:rPr>
                      <w:rFonts w:hint="eastAsia"/>
                      <w:spacing w:val="-10"/>
                      <w:sz w:val="18"/>
                      <w:szCs w:val="18"/>
                    </w:rPr>
                    <w:t>《火电厂大气污染物排放标准》(GB13223-2011)表2大气污染物特别排放限值，同时满足唐山市钢铁、焦化超低排放和燃煤电厂深度减排实施方案》唐气领办2018(38)号钢铁企业自备电厂超低排放要求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12" w:type="pct"/>
                  <w:vMerge w:val="continue"/>
                  <w:vAlign w:val="center"/>
                </w:tcPr>
                <w:p>
                  <w:pPr>
                    <w:snapToGrid w:val="0"/>
                    <w:spacing w:line="240" w:lineRule="auto"/>
                    <w:ind w:firstLine="0" w:firstLineChars="0"/>
                    <w:jc w:val="center"/>
                    <w:rPr>
                      <w:spacing w:val="-10"/>
                      <w:sz w:val="18"/>
                      <w:szCs w:val="18"/>
                    </w:rPr>
                  </w:pPr>
                </w:p>
              </w:tc>
              <w:tc>
                <w:tcPr>
                  <w:tcW w:w="844" w:type="pct"/>
                  <w:vAlign w:val="center"/>
                </w:tcPr>
                <w:p>
                  <w:pPr>
                    <w:snapToGrid w:val="0"/>
                    <w:spacing w:line="240" w:lineRule="auto"/>
                    <w:ind w:firstLine="0" w:firstLineChars="0"/>
                    <w:jc w:val="center"/>
                    <w:rPr>
                      <w:spacing w:val="-10"/>
                      <w:sz w:val="18"/>
                      <w:szCs w:val="18"/>
                    </w:rPr>
                  </w:pPr>
                  <w:r>
                    <w:rPr>
                      <w:rFonts w:hint="eastAsia"/>
                      <w:spacing w:val="-10"/>
                      <w:sz w:val="18"/>
                      <w:szCs w:val="18"/>
                    </w:rPr>
                    <w:t>二氧化硫</w:t>
                  </w:r>
                </w:p>
              </w:tc>
              <w:tc>
                <w:tcPr>
                  <w:tcW w:w="769" w:type="pct"/>
                  <w:vAlign w:val="center"/>
                </w:tcPr>
                <w:p>
                  <w:pPr>
                    <w:snapToGrid w:val="0"/>
                    <w:spacing w:line="240" w:lineRule="auto"/>
                    <w:ind w:firstLine="0" w:firstLineChars="0"/>
                    <w:jc w:val="center"/>
                    <w:rPr>
                      <w:spacing w:val="-10"/>
                      <w:sz w:val="18"/>
                      <w:szCs w:val="18"/>
                    </w:rPr>
                  </w:pPr>
                  <w:r>
                    <w:rPr>
                      <w:rFonts w:hint="eastAsia"/>
                      <w:spacing w:val="-10"/>
                      <w:sz w:val="18"/>
                      <w:szCs w:val="18"/>
                    </w:rPr>
                    <w:t>35</w:t>
                  </w:r>
                </w:p>
              </w:tc>
              <w:tc>
                <w:tcPr>
                  <w:tcW w:w="521" w:type="pct"/>
                  <w:vMerge w:val="continue"/>
                  <w:vAlign w:val="center"/>
                </w:tcPr>
                <w:p>
                  <w:pPr>
                    <w:snapToGrid w:val="0"/>
                    <w:spacing w:line="240" w:lineRule="auto"/>
                    <w:ind w:firstLine="0" w:firstLineChars="0"/>
                    <w:jc w:val="center"/>
                    <w:rPr>
                      <w:spacing w:val="-10"/>
                      <w:sz w:val="18"/>
                      <w:szCs w:val="18"/>
                    </w:rPr>
                  </w:pPr>
                </w:p>
              </w:tc>
              <w:tc>
                <w:tcPr>
                  <w:tcW w:w="2052" w:type="pct"/>
                  <w:vMerge w:val="continue"/>
                  <w:vAlign w:val="center"/>
                </w:tcPr>
                <w:p>
                  <w:pPr>
                    <w:snapToGrid w:val="0"/>
                    <w:spacing w:line="240" w:lineRule="auto"/>
                    <w:ind w:firstLine="0" w:firstLineChars="0"/>
                    <w:jc w:val="center"/>
                    <w:rPr>
                      <w:spacing w:val="-1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12" w:type="pct"/>
                  <w:vMerge w:val="continue"/>
                  <w:vAlign w:val="center"/>
                </w:tcPr>
                <w:p>
                  <w:pPr>
                    <w:snapToGrid w:val="0"/>
                    <w:spacing w:line="240" w:lineRule="auto"/>
                    <w:ind w:firstLine="0" w:firstLineChars="0"/>
                    <w:jc w:val="center"/>
                    <w:rPr>
                      <w:spacing w:val="-10"/>
                      <w:sz w:val="18"/>
                      <w:szCs w:val="18"/>
                    </w:rPr>
                  </w:pPr>
                </w:p>
              </w:tc>
              <w:tc>
                <w:tcPr>
                  <w:tcW w:w="844" w:type="pct"/>
                  <w:vAlign w:val="center"/>
                </w:tcPr>
                <w:p>
                  <w:pPr>
                    <w:snapToGrid w:val="0"/>
                    <w:spacing w:line="240" w:lineRule="auto"/>
                    <w:ind w:firstLine="0" w:firstLineChars="0"/>
                    <w:jc w:val="center"/>
                    <w:rPr>
                      <w:spacing w:val="-10"/>
                      <w:sz w:val="18"/>
                      <w:szCs w:val="18"/>
                    </w:rPr>
                  </w:pPr>
                  <w:r>
                    <w:rPr>
                      <w:rFonts w:hint="eastAsia"/>
                      <w:spacing w:val="-10"/>
                      <w:sz w:val="18"/>
                      <w:szCs w:val="18"/>
                    </w:rPr>
                    <w:t>氮氧化物</w:t>
                  </w:r>
                </w:p>
              </w:tc>
              <w:tc>
                <w:tcPr>
                  <w:tcW w:w="769" w:type="pct"/>
                  <w:vAlign w:val="center"/>
                </w:tcPr>
                <w:p>
                  <w:pPr>
                    <w:snapToGrid w:val="0"/>
                    <w:spacing w:line="240" w:lineRule="auto"/>
                    <w:ind w:firstLine="0" w:firstLineChars="0"/>
                    <w:jc w:val="center"/>
                    <w:rPr>
                      <w:spacing w:val="-10"/>
                      <w:sz w:val="18"/>
                      <w:szCs w:val="18"/>
                    </w:rPr>
                  </w:pPr>
                  <w:r>
                    <w:rPr>
                      <w:rFonts w:hint="eastAsia"/>
                      <w:spacing w:val="-10"/>
                      <w:sz w:val="18"/>
                      <w:szCs w:val="18"/>
                    </w:rPr>
                    <w:t>50</w:t>
                  </w:r>
                </w:p>
              </w:tc>
              <w:tc>
                <w:tcPr>
                  <w:tcW w:w="521" w:type="pct"/>
                  <w:vMerge w:val="continue"/>
                  <w:vAlign w:val="center"/>
                </w:tcPr>
                <w:p>
                  <w:pPr>
                    <w:snapToGrid w:val="0"/>
                    <w:spacing w:line="240" w:lineRule="auto"/>
                    <w:ind w:firstLine="0" w:firstLineChars="0"/>
                    <w:jc w:val="center"/>
                    <w:rPr>
                      <w:spacing w:val="-10"/>
                      <w:sz w:val="18"/>
                      <w:szCs w:val="18"/>
                    </w:rPr>
                  </w:pPr>
                </w:p>
              </w:tc>
              <w:tc>
                <w:tcPr>
                  <w:tcW w:w="2052" w:type="pct"/>
                  <w:vMerge w:val="continue"/>
                  <w:vAlign w:val="center"/>
                </w:tcPr>
                <w:p>
                  <w:pPr>
                    <w:snapToGrid w:val="0"/>
                    <w:spacing w:line="240" w:lineRule="auto"/>
                    <w:ind w:firstLine="0" w:firstLineChars="0"/>
                    <w:jc w:val="center"/>
                    <w:rPr>
                      <w:spacing w:val="-1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12" w:type="pct"/>
                  <w:vMerge w:val="continue"/>
                  <w:vAlign w:val="center"/>
                </w:tcPr>
                <w:p>
                  <w:pPr>
                    <w:snapToGrid w:val="0"/>
                    <w:spacing w:line="240" w:lineRule="auto"/>
                    <w:ind w:firstLine="0" w:firstLineChars="0"/>
                    <w:jc w:val="center"/>
                    <w:rPr>
                      <w:spacing w:val="-10"/>
                      <w:sz w:val="18"/>
                      <w:szCs w:val="18"/>
                    </w:rPr>
                  </w:pPr>
                </w:p>
              </w:tc>
              <w:tc>
                <w:tcPr>
                  <w:tcW w:w="844" w:type="pct"/>
                  <w:vMerge w:val="restart"/>
                  <w:vAlign w:val="center"/>
                </w:tcPr>
                <w:p>
                  <w:pPr>
                    <w:snapToGrid w:val="0"/>
                    <w:spacing w:line="240" w:lineRule="auto"/>
                    <w:ind w:firstLine="0" w:firstLineChars="0"/>
                    <w:jc w:val="center"/>
                    <w:rPr>
                      <w:spacing w:val="-10"/>
                      <w:sz w:val="18"/>
                      <w:szCs w:val="18"/>
                    </w:rPr>
                  </w:pPr>
                  <w:r>
                    <w:rPr>
                      <w:rFonts w:hint="eastAsia"/>
                      <w:spacing w:val="-10"/>
                      <w:sz w:val="18"/>
                      <w:szCs w:val="18"/>
                    </w:rPr>
                    <w:t>氨</w:t>
                  </w:r>
                </w:p>
              </w:tc>
              <w:tc>
                <w:tcPr>
                  <w:tcW w:w="769" w:type="pct"/>
                  <w:vAlign w:val="center"/>
                </w:tcPr>
                <w:p>
                  <w:pPr>
                    <w:snapToGrid w:val="0"/>
                    <w:spacing w:line="240" w:lineRule="auto"/>
                    <w:ind w:firstLine="0" w:firstLineChars="0"/>
                    <w:jc w:val="center"/>
                    <w:rPr>
                      <w:spacing w:val="-10"/>
                      <w:sz w:val="18"/>
                      <w:szCs w:val="18"/>
                    </w:rPr>
                  </w:pPr>
                  <w:r>
                    <w:rPr>
                      <w:rFonts w:hint="eastAsia"/>
                      <w:spacing w:val="-10"/>
                      <w:sz w:val="18"/>
                      <w:szCs w:val="18"/>
                    </w:rPr>
                    <w:t>2.5</w:t>
                  </w:r>
                </w:p>
              </w:tc>
              <w:tc>
                <w:tcPr>
                  <w:tcW w:w="521" w:type="pct"/>
                  <w:vAlign w:val="center"/>
                </w:tcPr>
                <w:p>
                  <w:pPr>
                    <w:snapToGrid w:val="0"/>
                    <w:spacing w:line="240" w:lineRule="auto"/>
                    <w:ind w:firstLine="0" w:firstLineChars="0"/>
                    <w:jc w:val="center"/>
                    <w:rPr>
                      <w:spacing w:val="-10"/>
                      <w:sz w:val="18"/>
                      <w:szCs w:val="18"/>
                    </w:rPr>
                  </w:pPr>
                  <w:r>
                    <w:rPr>
                      <w:rFonts w:hint="eastAsia"/>
                      <w:spacing w:val="-10"/>
                      <w:sz w:val="18"/>
                      <w:szCs w:val="18"/>
                    </w:rPr>
                    <w:t>mg/m</w:t>
                  </w:r>
                  <w:r>
                    <w:rPr>
                      <w:rFonts w:hint="eastAsia"/>
                      <w:spacing w:val="-10"/>
                      <w:sz w:val="18"/>
                      <w:szCs w:val="18"/>
                      <w:vertAlign w:val="superscript"/>
                    </w:rPr>
                    <w:t>3</w:t>
                  </w:r>
                </w:p>
              </w:tc>
              <w:tc>
                <w:tcPr>
                  <w:tcW w:w="2052" w:type="pct"/>
                  <w:vAlign w:val="center"/>
                </w:tcPr>
                <w:p>
                  <w:pPr>
                    <w:snapToGrid w:val="0"/>
                    <w:spacing w:line="240" w:lineRule="auto"/>
                    <w:ind w:firstLine="0" w:firstLineChars="0"/>
                    <w:jc w:val="center"/>
                    <w:rPr>
                      <w:spacing w:val="-10"/>
                      <w:sz w:val="18"/>
                      <w:szCs w:val="18"/>
                    </w:rPr>
                  </w:pPr>
                  <w:r>
                    <w:rPr>
                      <w:rFonts w:hint="eastAsia"/>
                      <w:spacing w:val="-10"/>
                      <w:sz w:val="18"/>
                      <w:szCs w:val="18"/>
                    </w:rPr>
                    <w:t>《火电厂氮氧化物防治技术政策》(环发[2010]10号)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12" w:type="pct"/>
                  <w:vMerge w:val="restart"/>
                  <w:vAlign w:val="center"/>
                </w:tcPr>
                <w:p>
                  <w:pPr>
                    <w:snapToGrid w:val="0"/>
                    <w:spacing w:line="240" w:lineRule="auto"/>
                    <w:ind w:firstLine="0" w:firstLineChars="0"/>
                    <w:jc w:val="center"/>
                    <w:rPr>
                      <w:spacing w:val="-10"/>
                      <w:sz w:val="18"/>
                      <w:szCs w:val="18"/>
                    </w:rPr>
                  </w:pPr>
                  <w:r>
                    <w:rPr>
                      <w:rFonts w:hint="eastAsia"/>
                      <w:spacing w:val="-10"/>
                      <w:sz w:val="18"/>
                      <w:szCs w:val="18"/>
                    </w:rPr>
                    <w:t>无组织排放</w:t>
                  </w:r>
                </w:p>
              </w:tc>
              <w:tc>
                <w:tcPr>
                  <w:tcW w:w="844" w:type="pct"/>
                  <w:vMerge w:val="continue"/>
                  <w:vAlign w:val="center"/>
                </w:tcPr>
                <w:p>
                  <w:pPr>
                    <w:snapToGrid w:val="0"/>
                    <w:spacing w:line="240" w:lineRule="auto"/>
                    <w:ind w:firstLine="0" w:firstLineChars="0"/>
                    <w:jc w:val="center"/>
                    <w:rPr>
                      <w:spacing w:val="-10"/>
                      <w:sz w:val="18"/>
                      <w:szCs w:val="18"/>
                    </w:rPr>
                  </w:pPr>
                </w:p>
              </w:tc>
              <w:tc>
                <w:tcPr>
                  <w:tcW w:w="769" w:type="pct"/>
                  <w:vAlign w:val="center"/>
                </w:tcPr>
                <w:p>
                  <w:pPr>
                    <w:snapToGrid w:val="0"/>
                    <w:spacing w:line="240" w:lineRule="auto"/>
                    <w:ind w:firstLine="0" w:firstLineChars="0"/>
                    <w:jc w:val="center"/>
                    <w:rPr>
                      <w:spacing w:val="-10"/>
                      <w:sz w:val="18"/>
                      <w:szCs w:val="18"/>
                    </w:rPr>
                  </w:pPr>
                  <w:r>
                    <w:rPr>
                      <w:rFonts w:hint="eastAsia"/>
                      <w:spacing w:val="-10"/>
                      <w:sz w:val="18"/>
                      <w:szCs w:val="18"/>
                    </w:rPr>
                    <w:t>1.5</w:t>
                  </w:r>
                </w:p>
              </w:tc>
              <w:tc>
                <w:tcPr>
                  <w:tcW w:w="521" w:type="pct"/>
                  <w:vAlign w:val="center"/>
                </w:tcPr>
                <w:p>
                  <w:pPr>
                    <w:snapToGrid w:val="0"/>
                    <w:spacing w:line="240" w:lineRule="auto"/>
                    <w:ind w:firstLine="0" w:firstLineChars="0"/>
                    <w:jc w:val="center"/>
                    <w:rPr>
                      <w:spacing w:val="-10"/>
                      <w:sz w:val="18"/>
                      <w:szCs w:val="18"/>
                    </w:rPr>
                  </w:pPr>
                  <w:r>
                    <w:rPr>
                      <w:rFonts w:hint="eastAsia"/>
                      <w:spacing w:val="-10"/>
                      <w:sz w:val="18"/>
                      <w:szCs w:val="18"/>
                    </w:rPr>
                    <w:t>mg/m</w:t>
                  </w:r>
                  <w:r>
                    <w:rPr>
                      <w:rFonts w:hint="eastAsia"/>
                      <w:spacing w:val="-10"/>
                      <w:sz w:val="18"/>
                      <w:szCs w:val="18"/>
                      <w:vertAlign w:val="superscript"/>
                    </w:rPr>
                    <w:t>3</w:t>
                  </w:r>
                </w:p>
              </w:tc>
              <w:tc>
                <w:tcPr>
                  <w:tcW w:w="2052" w:type="pct"/>
                  <w:vAlign w:val="center"/>
                </w:tcPr>
                <w:p>
                  <w:pPr>
                    <w:snapToGrid w:val="0"/>
                    <w:spacing w:line="240" w:lineRule="auto"/>
                    <w:ind w:firstLine="0" w:firstLineChars="0"/>
                    <w:jc w:val="center"/>
                    <w:rPr>
                      <w:spacing w:val="-10"/>
                      <w:sz w:val="18"/>
                      <w:szCs w:val="18"/>
                    </w:rPr>
                  </w:pPr>
                  <w:r>
                    <w:rPr>
                      <w:rFonts w:hint="eastAsia"/>
                      <w:spacing w:val="-10"/>
                      <w:sz w:val="18"/>
                      <w:szCs w:val="18"/>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12" w:type="pct"/>
                  <w:vMerge w:val="continue"/>
                  <w:vAlign w:val="center"/>
                </w:tcPr>
                <w:p>
                  <w:pPr>
                    <w:snapToGrid w:val="0"/>
                    <w:spacing w:line="240" w:lineRule="auto"/>
                    <w:ind w:firstLine="0" w:firstLineChars="0"/>
                    <w:jc w:val="center"/>
                    <w:rPr>
                      <w:rFonts w:hint="eastAsia"/>
                      <w:spacing w:val="-10"/>
                      <w:sz w:val="18"/>
                      <w:szCs w:val="18"/>
                    </w:rPr>
                  </w:pPr>
                </w:p>
              </w:tc>
              <w:tc>
                <w:tcPr>
                  <w:tcW w:w="844" w:type="pct"/>
                  <w:vAlign w:val="center"/>
                </w:tcPr>
                <w:p>
                  <w:pPr>
                    <w:snapToGrid w:val="0"/>
                    <w:spacing w:line="240" w:lineRule="auto"/>
                    <w:ind w:firstLine="0" w:firstLineChars="0"/>
                    <w:jc w:val="center"/>
                    <w:rPr>
                      <w:rFonts w:hint="eastAsia" w:eastAsia="宋体"/>
                      <w:spacing w:val="-10"/>
                      <w:sz w:val="18"/>
                      <w:szCs w:val="18"/>
                      <w:lang w:val="en-US" w:eastAsia="zh-CN"/>
                    </w:rPr>
                  </w:pPr>
                  <w:r>
                    <w:rPr>
                      <w:rFonts w:hint="eastAsia"/>
                      <w:spacing w:val="-10"/>
                      <w:sz w:val="18"/>
                      <w:szCs w:val="18"/>
                      <w:lang w:val="en-US" w:eastAsia="zh-CN"/>
                    </w:rPr>
                    <w:t>氯化氢</w:t>
                  </w:r>
                </w:p>
              </w:tc>
              <w:tc>
                <w:tcPr>
                  <w:tcW w:w="769" w:type="pct"/>
                  <w:vAlign w:val="center"/>
                </w:tcPr>
                <w:p>
                  <w:pPr>
                    <w:snapToGrid w:val="0"/>
                    <w:spacing w:line="240" w:lineRule="auto"/>
                    <w:ind w:firstLine="0" w:firstLineChars="0"/>
                    <w:jc w:val="center"/>
                    <w:rPr>
                      <w:rFonts w:hint="default" w:eastAsia="宋体"/>
                      <w:spacing w:val="-10"/>
                      <w:sz w:val="18"/>
                      <w:szCs w:val="18"/>
                      <w:lang w:val="en-US" w:eastAsia="zh-CN"/>
                    </w:rPr>
                  </w:pPr>
                  <w:r>
                    <w:rPr>
                      <w:rFonts w:hint="eastAsia"/>
                      <w:spacing w:val="-10"/>
                      <w:sz w:val="18"/>
                      <w:szCs w:val="18"/>
                      <w:lang w:val="en-US" w:eastAsia="zh-CN"/>
                    </w:rPr>
                    <w:t>0.2</w:t>
                  </w:r>
                </w:p>
              </w:tc>
              <w:tc>
                <w:tcPr>
                  <w:tcW w:w="521" w:type="pct"/>
                  <w:vAlign w:val="center"/>
                </w:tcPr>
                <w:p>
                  <w:pPr>
                    <w:snapToGrid w:val="0"/>
                    <w:spacing w:line="240" w:lineRule="auto"/>
                    <w:ind w:firstLine="0" w:firstLineChars="0"/>
                    <w:jc w:val="center"/>
                    <w:rPr>
                      <w:rFonts w:hint="eastAsia"/>
                      <w:spacing w:val="-10"/>
                      <w:sz w:val="18"/>
                      <w:szCs w:val="18"/>
                    </w:rPr>
                  </w:pPr>
                  <w:r>
                    <w:rPr>
                      <w:rFonts w:hint="eastAsia"/>
                      <w:spacing w:val="-10"/>
                      <w:sz w:val="18"/>
                      <w:szCs w:val="18"/>
                    </w:rPr>
                    <w:t>mg/m</w:t>
                  </w:r>
                  <w:r>
                    <w:rPr>
                      <w:rFonts w:hint="eastAsia"/>
                      <w:spacing w:val="-10"/>
                      <w:sz w:val="18"/>
                      <w:szCs w:val="18"/>
                      <w:vertAlign w:val="superscript"/>
                    </w:rPr>
                    <w:t>3</w:t>
                  </w:r>
                </w:p>
              </w:tc>
              <w:tc>
                <w:tcPr>
                  <w:tcW w:w="2052" w:type="pct"/>
                  <w:vAlign w:val="center"/>
                </w:tcPr>
                <w:p>
                  <w:pPr>
                    <w:snapToGrid w:val="0"/>
                    <w:spacing w:line="240" w:lineRule="auto"/>
                    <w:ind w:firstLine="0" w:firstLineChars="0"/>
                    <w:jc w:val="center"/>
                    <w:rPr>
                      <w:rFonts w:hint="eastAsia"/>
                      <w:spacing w:val="-10"/>
                      <w:sz w:val="18"/>
                      <w:szCs w:val="18"/>
                    </w:rPr>
                  </w:pPr>
                  <w:r>
                    <w:rPr>
                      <w:rFonts w:hint="eastAsia"/>
                      <w:spacing w:val="-10"/>
                      <w:sz w:val="18"/>
                      <w:szCs w:val="18"/>
                      <w:lang w:eastAsia="zh-CN"/>
                    </w:rPr>
                    <w:t>《</w:t>
                  </w:r>
                  <w:r>
                    <w:rPr>
                      <w:rFonts w:hint="eastAsia"/>
                      <w:spacing w:val="-10"/>
                      <w:sz w:val="18"/>
                      <w:szCs w:val="18"/>
                      <w:lang w:val="en-US" w:eastAsia="zh-CN"/>
                    </w:rPr>
                    <w:t>钢铁工业大气污染物超低排放标准</w:t>
                  </w:r>
                  <w:r>
                    <w:rPr>
                      <w:rFonts w:hint="eastAsia"/>
                      <w:spacing w:val="-10"/>
                      <w:sz w:val="18"/>
                      <w:szCs w:val="18"/>
                      <w:lang w:eastAsia="zh-CN"/>
                    </w:rPr>
                    <w:t>》（</w:t>
                  </w:r>
                  <w:r>
                    <w:rPr>
                      <w:rFonts w:hint="eastAsia"/>
                      <w:spacing w:val="-10"/>
                      <w:sz w:val="18"/>
                      <w:szCs w:val="18"/>
                      <w:lang w:val="en-US" w:eastAsia="zh-CN"/>
                    </w:rPr>
                    <w:t>DB13/2169-2018</w:t>
                  </w:r>
                  <w:r>
                    <w:rPr>
                      <w:rFonts w:hint="eastAsia"/>
                      <w:spacing w:val="-10"/>
                      <w:sz w:val="18"/>
                      <w:szCs w:val="18"/>
                      <w:lang w:eastAsia="zh-CN"/>
                    </w:rPr>
                    <w:t>）</w:t>
                  </w:r>
                </w:p>
              </w:tc>
            </w:tr>
          </w:tbl>
          <w:p>
            <w:pPr>
              <w:spacing w:line="480" w:lineRule="exact"/>
              <w:ind w:firstLine="480"/>
            </w:pPr>
            <w:r>
              <w:rPr>
                <w:rFonts w:hint="eastAsia"/>
                <w:color w:val="000000"/>
              </w:rPr>
              <w:t>(2)噪声</w:t>
            </w:r>
          </w:p>
          <w:p>
            <w:pPr>
              <w:spacing w:line="480" w:lineRule="exact"/>
              <w:ind w:firstLine="480"/>
            </w:pPr>
            <w:r>
              <w:t>营运期噪声排放执行《工业企业厂界环境噪声排放标准》(GB12348-2008)3</w:t>
            </w:r>
            <w:r>
              <w:rPr>
                <w:rFonts w:hint="eastAsia"/>
              </w:rPr>
              <w:t>、4</w:t>
            </w:r>
            <w:r>
              <w:t>类标准。即：</w:t>
            </w:r>
            <w:r>
              <w:rPr>
                <w:rFonts w:hint="eastAsia"/>
              </w:rPr>
              <w:t>3类：</w:t>
            </w:r>
            <w:r>
              <w:t>昼间65dB(A)</w:t>
            </w:r>
            <w:r>
              <w:rPr>
                <w:rFonts w:hint="eastAsia"/>
              </w:rPr>
              <w:t>，</w:t>
            </w:r>
            <w:r>
              <w:t>夜间55dB</w:t>
            </w:r>
            <w:r>
              <w:rPr>
                <w:rFonts w:hint="eastAsia"/>
              </w:rPr>
              <w:t>(</w:t>
            </w:r>
            <w:r>
              <w:t>A</w:t>
            </w:r>
            <w:r>
              <w:rPr>
                <w:rFonts w:hint="eastAsia"/>
              </w:rPr>
              <w:t>)；4类：</w:t>
            </w:r>
            <w:r>
              <w:t>昼间</w:t>
            </w:r>
            <w:r>
              <w:rPr>
                <w:rFonts w:hint="eastAsia"/>
              </w:rPr>
              <w:t>70</w:t>
            </w:r>
            <w:r>
              <w:t>dB(A)；夜间55dB</w:t>
            </w:r>
            <w:r>
              <w:rPr>
                <w:rFonts w:hint="eastAsia"/>
              </w:rPr>
              <w:t>(</w:t>
            </w:r>
            <w:r>
              <w:t>A</w:t>
            </w:r>
            <w:r>
              <w:rPr>
                <w:rFonts w:hint="eastAsia"/>
              </w:rPr>
              <w:t>)。</w:t>
            </w:r>
          </w:p>
          <w:p>
            <w:pPr>
              <w:pStyle w:val="2"/>
              <w:spacing w:line="480" w:lineRule="exact"/>
              <w:ind w:firstLine="480"/>
              <w:rPr>
                <w:sz w:val="24"/>
              </w:rPr>
            </w:pPr>
            <w:r>
              <w:rPr>
                <w:rFonts w:hint="eastAsia"/>
                <w:color w:val="000000"/>
                <w:sz w:val="24"/>
              </w:rPr>
              <w:t>(4)</w:t>
            </w:r>
            <w:r>
              <w:rPr>
                <w:sz w:val="24"/>
              </w:rPr>
              <w:t>固废</w:t>
            </w:r>
          </w:p>
          <w:p>
            <w:pPr>
              <w:spacing w:line="480" w:lineRule="exact"/>
              <w:ind w:firstLine="480"/>
              <w:rPr>
                <w:rFonts w:eastAsiaTheme="minorEastAsia"/>
                <w:color w:val="0000FF"/>
                <w:szCs w:val="24"/>
              </w:rPr>
            </w:pPr>
            <w:r>
              <w:t>危险废物执行《危险废物贮存污染控制标准》</w:t>
            </w:r>
            <w:r>
              <w:rPr>
                <w:rFonts w:hint="eastAsia"/>
              </w:rPr>
              <w:t>(</w:t>
            </w:r>
            <w:r>
              <w:t>GB18597-2001</w:t>
            </w:r>
            <w:r>
              <w:rPr>
                <w:rFonts w:hint="eastAsia"/>
              </w:rPr>
              <w:t>)</w:t>
            </w:r>
            <w:r>
              <w:t>及其修改单中的相关规定。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6" w:type="dxa"/>
            <w:vAlign w:val="center"/>
          </w:tcPr>
          <w:p>
            <w:pPr>
              <w:adjustRightInd w:val="0"/>
              <w:snapToGrid w:val="0"/>
              <w:spacing w:line="240" w:lineRule="auto"/>
              <w:ind w:firstLine="0" w:firstLineChars="0"/>
              <w:jc w:val="center"/>
              <w:rPr>
                <w:rFonts w:eastAsiaTheme="minorEastAsia"/>
                <w:kern w:val="0"/>
                <w:szCs w:val="21"/>
              </w:rPr>
            </w:pPr>
            <w:r>
              <w:rPr>
                <w:rFonts w:eastAsiaTheme="minorEastAsia"/>
                <w:kern w:val="0"/>
                <w:szCs w:val="21"/>
              </w:rPr>
              <w:t>总量</w:t>
            </w:r>
          </w:p>
          <w:p>
            <w:pPr>
              <w:adjustRightInd w:val="0"/>
              <w:snapToGrid w:val="0"/>
              <w:spacing w:line="240" w:lineRule="auto"/>
              <w:ind w:firstLine="0" w:firstLineChars="0"/>
              <w:jc w:val="center"/>
              <w:rPr>
                <w:rFonts w:eastAsiaTheme="minorEastAsia"/>
                <w:kern w:val="0"/>
                <w:szCs w:val="21"/>
              </w:rPr>
            </w:pPr>
            <w:r>
              <w:rPr>
                <w:rFonts w:eastAsiaTheme="minorEastAsia"/>
                <w:kern w:val="0"/>
                <w:szCs w:val="21"/>
              </w:rPr>
              <w:t>控制</w:t>
            </w:r>
          </w:p>
          <w:p>
            <w:pPr>
              <w:adjustRightInd w:val="0"/>
              <w:snapToGrid w:val="0"/>
              <w:spacing w:line="240" w:lineRule="auto"/>
              <w:ind w:firstLine="0" w:firstLineChars="0"/>
              <w:jc w:val="center"/>
              <w:rPr>
                <w:rFonts w:eastAsiaTheme="minorEastAsia"/>
                <w:kern w:val="0"/>
                <w:sz w:val="32"/>
              </w:rPr>
            </w:pPr>
            <w:r>
              <w:rPr>
                <w:rFonts w:eastAsiaTheme="minorEastAsia"/>
                <w:kern w:val="0"/>
                <w:szCs w:val="21"/>
              </w:rPr>
              <w:t>指标</w:t>
            </w:r>
          </w:p>
        </w:tc>
        <w:tc>
          <w:tcPr>
            <w:tcW w:w="8603" w:type="dxa"/>
            <w:vAlign w:val="center"/>
          </w:tcPr>
          <w:p>
            <w:pPr>
              <w:spacing w:line="480" w:lineRule="exact"/>
              <w:ind w:firstLine="480"/>
            </w:pPr>
            <w:r>
              <w:t>根据《全国主要污染物排放总量控制计划》、《“十三五”主要污染物总量控制规划编制技术指南》、《建设项目主要污染物排放总量指标审核及管理暂行办法》的通知(环发[2014]197号)、《关于进一步改革和优化建设项目主要污染物排放总量核定工作的通知》</w:t>
            </w:r>
            <w:r>
              <w:rPr>
                <w:rFonts w:hint="eastAsia"/>
              </w:rPr>
              <w:t>(</w:t>
            </w:r>
            <w:r>
              <w:t>冀环总[2014]283号</w:t>
            </w:r>
            <w:r>
              <w:rPr>
                <w:rFonts w:hint="eastAsia"/>
              </w:rPr>
              <w:t>)</w:t>
            </w:r>
            <w:r>
              <w:t>等文件的相关要求进行核算，总量控制因子为：COD、NH</w:t>
            </w:r>
            <w:r>
              <w:rPr>
                <w:vertAlign w:val="subscript"/>
              </w:rPr>
              <w:t>3</w:t>
            </w:r>
            <w:r>
              <w:t>-N、SO</w:t>
            </w:r>
            <w:r>
              <w:rPr>
                <w:vertAlign w:val="subscript"/>
              </w:rPr>
              <w:t>2</w:t>
            </w:r>
            <w:r>
              <w:t>、NOx。</w:t>
            </w:r>
          </w:p>
          <w:p>
            <w:pPr>
              <w:pStyle w:val="1716"/>
              <w:spacing w:line="480" w:lineRule="exact"/>
              <w:ind w:firstLine="480"/>
              <w:rPr>
                <w:rFonts w:ascii="Times New Roman" w:hAnsi="Times New Roman"/>
              </w:rPr>
            </w:pPr>
            <w:r>
              <w:rPr>
                <w:rFonts w:ascii="Times New Roman" w:hAnsi="Times New Roman"/>
              </w:rPr>
              <w:t>根据项目特点，项目涉及到的总量控制因子包括SO</w:t>
            </w:r>
            <w:r>
              <w:rPr>
                <w:rFonts w:ascii="Times New Roman" w:hAnsi="Times New Roman"/>
                <w:vertAlign w:val="subscript"/>
              </w:rPr>
              <w:t>2</w:t>
            </w:r>
            <w:r>
              <w:rPr>
                <w:rFonts w:ascii="Times New Roman" w:hAnsi="Times New Roman"/>
              </w:rPr>
              <w:t>和NO</w:t>
            </w:r>
            <w:r>
              <w:rPr>
                <w:rFonts w:ascii="Times New Roman" w:hAnsi="Times New Roman"/>
                <w:vertAlign w:val="subscript"/>
              </w:rPr>
              <w:t>X</w:t>
            </w:r>
            <w:r>
              <w:rPr>
                <w:rFonts w:ascii="Times New Roman" w:hAnsi="Times New Roman"/>
              </w:rPr>
              <w:t>，项目无废水外排。</w:t>
            </w:r>
          </w:p>
          <w:p>
            <w:pPr>
              <w:ind w:firstLine="480"/>
              <w:rPr>
                <w:rFonts w:hint="eastAsia"/>
                <w:kern w:val="0"/>
              </w:rPr>
            </w:pPr>
            <w:r>
              <w:rPr>
                <w:rFonts w:hint="eastAsia"/>
                <w:kern w:val="0"/>
                <w:lang w:val="en-US" w:eastAsia="zh-CN"/>
              </w:rPr>
              <w:t>(1)</w:t>
            </w:r>
            <w:r>
              <w:rPr>
                <w:rFonts w:ascii="Times New Roman" w:hAnsi="Times New Roman"/>
              </w:rPr>
              <w:t>排放标准核算量</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val="en-US" w:eastAsia="zh-CN"/>
              </w:rPr>
              <w:t>根据《关于进一步改革和优化建设项目主要污染物排放总量核定工作的通知》(冀环总[2014]283号)中附件2</w:t>
            </w:r>
            <w:r>
              <w:rPr>
                <w:rFonts w:hint="default" w:ascii="Times New Roman" w:hAnsi="Times New Roman" w:eastAsia="宋体" w:cs="Times New Roman"/>
                <w:kern w:val="0"/>
                <w:sz w:val="24"/>
                <w:szCs w:val="24"/>
              </w:rPr>
              <w:t>火电行业建设项目主要污染物排放总量指标核定技术方法</w:t>
            </w:r>
            <w:r>
              <w:rPr>
                <w:rFonts w:hint="default" w:ascii="Times New Roman" w:hAnsi="Times New Roman" w:eastAsia="宋体" w:cs="Times New Roman"/>
                <w:kern w:val="0"/>
                <w:sz w:val="24"/>
                <w:szCs w:val="24"/>
                <w:lang w:eastAsia="zh-CN"/>
              </w:rPr>
              <w:t>，火电机组二氧化硫和氮氧化物总量指标采用绩效方法核定，平均发电小时数原则上按5500小时取值。计算公式为：</w:t>
            </w:r>
          </w:p>
          <w:p>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M</w:t>
            </w:r>
            <w:r>
              <w:rPr>
                <w:rFonts w:hint="default" w:ascii="Times New Roman" w:hAnsi="Times New Roman" w:eastAsia="宋体" w:cs="Times New Roman"/>
                <w:kern w:val="0"/>
                <w:sz w:val="24"/>
                <w:szCs w:val="24"/>
                <w:vertAlign w:val="subscript"/>
                <w:lang w:eastAsia="zh-CN"/>
              </w:rPr>
              <w:t>i</w:t>
            </w:r>
            <w:r>
              <w:rPr>
                <w:rFonts w:hint="default" w:ascii="Times New Roman" w:hAnsi="Times New Roman" w:eastAsia="宋体" w:cs="Times New Roman"/>
                <w:kern w:val="0"/>
                <w:sz w:val="24"/>
                <w:szCs w:val="24"/>
                <w:lang w:eastAsia="zh-CN"/>
              </w:rPr>
              <w:t>=(CAP</w:t>
            </w:r>
            <w:r>
              <w:rPr>
                <w:rFonts w:hint="default" w:ascii="Times New Roman" w:hAnsi="Times New Roman" w:eastAsia="宋体" w:cs="Times New Roman"/>
                <w:kern w:val="0"/>
                <w:sz w:val="24"/>
                <w:szCs w:val="24"/>
                <w:vertAlign w:val="subscript"/>
                <w:lang w:eastAsia="zh-CN"/>
              </w:rPr>
              <w:t>i</w:t>
            </w:r>
            <w:r>
              <w:rPr>
                <w:rFonts w:hint="default" w:ascii="Times New Roman" w:hAnsi="Times New Roman" w:eastAsia="宋体" w:cs="Times New Roman"/>
                <w:kern w:val="0"/>
                <w:sz w:val="24"/>
                <w:szCs w:val="24"/>
                <w:lang w:eastAsia="zh-CN"/>
              </w:rPr>
              <w:t>×5500+D</w:t>
            </w:r>
            <w:r>
              <w:rPr>
                <w:rFonts w:hint="default" w:ascii="Times New Roman" w:hAnsi="Times New Roman" w:eastAsia="宋体" w:cs="Times New Roman"/>
                <w:kern w:val="0"/>
                <w:sz w:val="24"/>
                <w:szCs w:val="24"/>
                <w:vertAlign w:val="subscript"/>
                <w:lang w:eastAsia="zh-CN"/>
              </w:rPr>
              <w:t>i</w:t>
            </w:r>
            <w:r>
              <w:rPr>
                <w:rFonts w:hint="default" w:ascii="Times New Roman" w:hAnsi="Times New Roman" w:eastAsia="宋体" w:cs="Times New Roman"/>
                <w:kern w:val="0"/>
                <w:sz w:val="24"/>
                <w:szCs w:val="24"/>
                <w:lang w:eastAsia="zh-CN"/>
              </w:rPr>
              <w:t>/1000)×GPS</w:t>
            </w:r>
            <w:r>
              <w:rPr>
                <w:rFonts w:hint="default" w:ascii="Times New Roman" w:hAnsi="Times New Roman" w:eastAsia="宋体" w:cs="Times New Roman"/>
                <w:kern w:val="0"/>
                <w:sz w:val="24"/>
                <w:szCs w:val="24"/>
                <w:vertAlign w:val="subscript"/>
                <w:lang w:eastAsia="zh-CN"/>
              </w:rPr>
              <w:t>i</w:t>
            </w:r>
            <w:r>
              <w:rPr>
                <w:rFonts w:hint="default" w:ascii="Times New Roman" w:hAnsi="Times New Roman" w:eastAsia="宋体" w:cs="Times New Roman"/>
                <w:kern w:val="0"/>
                <w:sz w:val="24"/>
                <w:szCs w:val="24"/>
                <w:lang w:eastAsia="zh-CN"/>
              </w:rPr>
              <w:t>×10</w:t>
            </w:r>
            <w:r>
              <w:rPr>
                <w:rFonts w:hint="default" w:ascii="Times New Roman" w:hAnsi="Times New Roman" w:eastAsia="宋体" w:cs="Times New Roman"/>
                <w:kern w:val="0"/>
                <w:sz w:val="24"/>
                <w:szCs w:val="24"/>
                <w:vertAlign w:val="superscript"/>
                <w:lang w:eastAsia="zh-CN"/>
              </w:rPr>
              <w:t>-3</w:t>
            </w:r>
            <w:r>
              <w:rPr>
                <w:rFonts w:hint="default" w:ascii="Times New Roman" w:hAnsi="Times New Roman" w:eastAsia="宋体" w:cs="Times New Roman"/>
                <w:kern w:val="0"/>
                <w:sz w:val="24"/>
                <w:szCs w:val="24"/>
                <w:lang w:eastAsia="zh-CN"/>
              </w:rPr>
              <w:t xml:space="preserve">           （1）</w:t>
            </w:r>
          </w:p>
          <w:p>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式中：M</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为第i台机组的主要大气污染物总量指标，吨/年；</w:t>
            </w:r>
          </w:p>
          <w:p>
            <w:pPr>
              <w:pStyle w:val="111"/>
              <w:keepNext w:val="0"/>
              <w:keepLines w:val="0"/>
              <w:pageBreakBefore w:val="0"/>
              <w:widowControl w:val="0"/>
              <w:kinsoku/>
              <w:wordWrap/>
              <w:overflowPunct/>
              <w:topLinePunct w:val="0"/>
              <w:bidi w:val="0"/>
              <w:snapToGrid/>
              <w:spacing w:line="360" w:lineRule="auto"/>
              <w:ind w:firstLine="555"/>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CAP</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为第i台机组的装机容量，兆瓦；</w:t>
            </w:r>
          </w:p>
          <w:p>
            <w:pPr>
              <w:pStyle w:val="111"/>
              <w:keepNext w:val="0"/>
              <w:keepLines w:val="0"/>
              <w:pageBreakBefore w:val="0"/>
              <w:widowControl w:val="0"/>
              <w:kinsoku/>
              <w:wordWrap/>
              <w:overflowPunct/>
              <w:topLinePunct w:val="0"/>
              <w:bidi w:val="0"/>
              <w:snapToGrid/>
              <w:spacing w:line="360" w:lineRule="auto"/>
              <w:ind w:firstLine="555"/>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GPS</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为第i台机组的排放绩效值，克/千瓦时。</w:t>
            </w:r>
          </w:p>
          <w:p>
            <w:pPr>
              <w:pStyle w:val="111"/>
              <w:keepNext w:val="0"/>
              <w:keepLines w:val="0"/>
              <w:pageBreakBefore w:val="0"/>
              <w:widowControl w:val="0"/>
              <w:kinsoku/>
              <w:wordWrap/>
              <w:overflowPunct/>
              <w:topLinePunct w:val="0"/>
              <w:bidi w:val="0"/>
              <w:snapToGrid/>
              <w:spacing w:line="360" w:lineRule="auto"/>
              <w:ind w:firstLine="555"/>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热电联产机组的供热部分折算成发电量，用等效发电量表示。计算公式为：</w:t>
            </w:r>
          </w:p>
          <w:p>
            <w:pPr>
              <w:pStyle w:val="111"/>
              <w:keepNext w:val="0"/>
              <w:keepLines w:val="0"/>
              <w:pageBreakBefore w:val="0"/>
              <w:widowControl w:val="0"/>
              <w:kinsoku/>
              <w:wordWrap/>
              <w:overflowPunct/>
              <w:topLinePunct w:val="0"/>
              <w:bidi w:val="0"/>
              <w:snapToGrid/>
              <w:spacing w:line="360" w:lineRule="auto"/>
              <w:ind w:firstLine="555"/>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object>
                <v:shape id="_x0000_i1029" o:spt="75" type="#_x0000_t75" style="height:21.75pt;width:125.45pt;" o:ole="t" filled="f" o:preferrelative="t" stroked="f" coordsize="21600,21600">
                  <v:path/>
                  <v:fill on="f" focussize="0,0"/>
                  <v:stroke on="f"/>
                  <v:imagedata r:id="rId24" o:title=""/>
                  <o:lock v:ext="edit" aspectratio="t"/>
                  <w10:wrap type="none"/>
                  <w10:anchorlock/>
                </v:shape>
                <o:OLEObject Type="Embed" ProgID="Equation.3" ShapeID="_x0000_i1029" DrawAspect="Content" ObjectID="_1468075729" r:id="rId23">
                  <o:LockedField>false</o:LockedField>
                </o:OLEObject>
              </w:object>
            </w:r>
            <w:r>
              <w:rPr>
                <w:rFonts w:hint="default" w:ascii="Times New Roman" w:hAnsi="Times New Roman" w:eastAsia="宋体" w:cs="Times New Roman"/>
                <w:sz w:val="24"/>
                <w:szCs w:val="24"/>
              </w:rPr>
              <w:t xml:space="preserve">                          （2）</w:t>
            </w:r>
          </w:p>
          <w:p>
            <w:pPr>
              <w:pStyle w:val="111"/>
              <w:keepNext w:val="0"/>
              <w:keepLines w:val="0"/>
              <w:pageBreakBefore w:val="0"/>
              <w:widowControl w:val="0"/>
              <w:kinsoku/>
              <w:wordWrap/>
              <w:overflowPunct/>
              <w:topLinePunct w:val="0"/>
              <w:bidi w:val="0"/>
              <w:snapToGrid/>
              <w:spacing w:line="360" w:lineRule="auto"/>
              <w:ind w:firstLine="555"/>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式中：D</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为第i台机组供热量折算的等效发电量，千瓦时；</w:t>
            </w:r>
          </w:p>
          <w:p>
            <w:pPr>
              <w:pStyle w:val="111"/>
              <w:keepNext w:val="0"/>
              <w:keepLines w:val="0"/>
              <w:pageBreakBefore w:val="0"/>
              <w:widowControl w:val="0"/>
              <w:kinsoku/>
              <w:wordWrap/>
              <w:overflowPunct/>
              <w:topLinePunct w:val="0"/>
              <w:bidi w:val="0"/>
              <w:snapToGrid/>
              <w:spacing w:line="360" w:lineRule="auto"/>
              <w:ind w:firstLine="555"/>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H</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为第i台机组的供热量，兆焦。</w:t>
            </w:r>
          </w:p>
          <w:p>
            <w:pPr>
              <w:pStyle w:val="111"/>
              <w:keepNext w:val="0"/>
              <w:keepLines w:val="0"/>
              <w:pageBreakBefore w:val="0"/>
              <w:widowControl w:val="0"/>
              <w:kinsoku/>
              <w:wordWrap/>
              <w:overflowPunct/>
              <w:topLinePunct w:val="0"/>
              <w:bidi w:val="0"/>
              <w:snapToGrid/>
              <w:spacing w:line="360" w:lineRule="auto"/>
              <w:ind w:firstLine="555"/>
              <w:jc w:val="both"/>
              <w:textAlignment w:val="auto"/>
              <w:rPr>
                <w:rFonts w:hint="default" w:ascii="Times New Roman" w:eastAsia="宋体" w:cs="Times New Roman"/>
                <w:sz w:val="24"/>
                <w:szCs w:val="24"/>
                <w:lang w:val="en-US" w:eastAsia="zh-CN"/>
              </w:rPr>
            </w:pPr>
            <w:r>
              <w:rPr>
                <w:rFonts w:hint="eastAsia" w:ascii="Times New Roman" w:cs="Times New Roman"/>
                <w:sz w:val="24"/>
                <w:szCs w:val="24"/>
                <w:lang w:val="en-US" w:eastAsia="zh-CN"/>
              </w:rPr>
              <w:t>根据《钢铁企业副产煤气发电技术规范》(YB/T 4881-2020)第6.4条，汽轮机最大出力应考虑钢铁企业煤气波动，最大功率可按其额定功率的110%配置。本项目汽轮机额定功率为145MW，发电机功率按110%配置为160MW。发电机的工艺原理为：发电</w:t>
            </w:r>
            <w:r>
              <w:rPr>
                <w:rFonts w:hint="eastAsia"/>
                <w:bCs/>
              </w:rPr>
              <w:t>锅炉</w:t>
            </w:r>
            <w:r>
              <w:rPr>
                <w:rFonts w:hint="eastAsia"/>
                <w:bCs/>
                <w:lang w:val="en-US" w:eastAsia="zh-CN"/>
              </w:rPr>
              <w:t>燃烧煤气产生</w:t>
            </w:r>
            <w:r>
              <w:rPr>
                <w:rFonts w:hint="eastAsia"/>
                <w:bCs/>
              </w:rPr>
              <w:t>饱和蒸汽，饱和蒸汽经过热器进一步吸收热量变为过热蒸汽，由主蒸汽管道进入汽轮机房</w:t>
            </w:r>
            <w:r>
              <w:rPr>
                <w:rFonts w:hint="eastAsia"/>
                <w:bCs/>
                <w:lang w:val="en-US" w:eastAsia="zh-CN"/>
              </w:rPr>
              <w:t>对汽轮机做功，</w:t>
            </w:r>
            <w:r>
              <w:rPr>
                <w:rFonts w:hint="eastAsia"/>
                <w:bCs/>
              </w:rPr>
              <w:t>汽轮机带动发电机将机械能变为电能</w:t>
            </w:r>
            <w:r>
              <w:rPr>
                <w:rFonts w:hint="eastAsia" w:ascii="Times New Roman" w:cs="Times New Roman"/>
                <w:sz w:val="24"/>
                <w:szCs w:val="24"/>
                <w:lang w:val="en-US" w:eastAsia="zh-CN"/>
              </w:rPr>
              <w:t>。发电机组按照110%配置并不增加煤气的消耗量即不增加污染物的排放量，故</w:t>
            </w:r>
            <w:r>
              <w:rPr>
                <w:rFonts w:hint="default" w:ascii="Times New Roman" w:hAnsi="Times New Roman" w:eastAsia="宋体" w:cs="Times New Roman"/>
                <w:kern w:val="0"/>
                <w:sz w:val="24"/>
                <w:szCs w:val="24"/>
                <w:lang w:val="en-US" w:eastAsia="zh-CN"/>
              </w:rPr>
              <w:t>排放总量核定</w:t>
            </w:r>
            <w:r>
              <w:rPr>
                <w:rFonts w:hint="eastAsia" w:ascii="Times New Roman" w:cs="Times New Roman"/>
                <w:kern w:val="0"/>
                <w:sz w:val="24"/>
                <w:szCs w:val="24"/>
                <w:lang w:val="en-US" w:eastAsia="zh-CN"/>
              </w:rPr>
              <w:t>中的</w:t>
            </w:r>
            <w:r>
              <w:rPr>
                <w:rFonts w:hint="default" w:ascii="Times New Roman" w:hAnsi="Times New Roman" w:eastAsia="宋体" w:cs="Times New Roman"/>
                <w:sz w:val="24"/>
                <w:szCs w:val="24"/>
              </w:rPr>
              <w:t>装机容量</w:t>
            </w:r>
            <w:r>
              <w:rPr>
                <w:rFonts w:hint="eastAsia" w:ascii="Times New Roman" w:cs="Times New Roman"/>
                <w:sz w:val="24"/>
                <w:szCs w:val="24"/>
                <w:lang w:val="en-US" w:eastAsia="zh-CN"/>
              </w:rPr>
              <w:t>按照汽轮机的装机容量进行计算，即145MW。</w:t>
            </w:r>
            <w:bookmarkStart w:id="3" w:name="_GoBack"/>
            <w:bookmarkEnd w:id="3"/>
          </w:p>
          <w:p>
            <w:pPr>
              <w:pStyle w:val="111"/>
              <w:keepNext w:val="0"/>
              <w:keepLines w:val="0"/>
              <w:pageBreakBefore w:val="0"/>
              <w:widowControl w:val="0"/>
              <w:kinsoku/>
              <w:wordWrap/>
              <w:overflowPunct/>
              <w:topLinePunct w:val="0"/>
              <w:bidi w:val="0"/>
              <w:snapToGrid/>
              <w:spacing w:line="360" w:lineRule="auto"/>
              <w:ind w:firstLine="555"/>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项目污染物排放总量计算</w:t>
            </w:r>
            <w:r>
              <w:rPr>
                <w:rFonts w:hint="eastAsia" w:ascii="Times New Roman" w:hAnsi="Times New Roman" w:eastAsia="宋体" w:cs="Times New Roman"/>
                <w:sz w:val="24"/>
                <w:szCs w:val="24"/>
                <w:lang w:val="en-US" w:eastAsia="zh-CN"/>
              </w:rPr>
              <w:t>结果见表</w:t>
            </w:r>
            <w:r>
              <w:rPr>
                <w:rFonts w:hint="eastAsia" w:ascii="Times New Roman" w:cs="Times New Roman"/>
                <w:sz w:val="24"/>
                <w:szCs w:val="24"/>
                <w:lang w:val="en-US" w:eastAsia="zh-CN"/>
              </w:rPr>
              <w:t>30。</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b/>
                <w:bCs/>
              </w:rPr>
            </w:pPr>
            <w:r>
              <w:rPr>
                <w:b/>
                <w:bCs/>
              </w:rPr>
              <w:t>表</w:t>
            </w:r>
            <w:r>
              <w:rPr>
                <w:rFonts w:hint="eastAsia"/>
                <w:b/>
                <w:bCs/>
                <w:lang w:val="en-US" w:eastAsia="zh-CN"/>
              </w:rPr>
              <w:t>30</w:t>
            </w:r>
            <w:r>
              <w:rPr>
                <w:b/>
                <w:bCs/>
              </w:rPr>
              <w:t xml:space="preserve">    项目污染物排放总量计算</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396"/>
              <w:gridCol w:w="1220"/>
              <w:gridCol w:w="1284"/>
              <w:gridCol w:w="1539"/>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9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sz w:val="18"/>
                      <w:szCs w:val="18"/>
                    </w:rPr>
                  </w:pPr>
                  <w:r>
                    <w:rPr>
                      <w:rFonts w:ascii="宋体" w:hAnsi="宋体"/>
                      <w:kern w:val="0"/>
                      <w:sz w:val="18"/>
                      <w:szCs w:val="18"/>
                    </w:rPr>
                    <w:t>项目</w:t>
                  </w:r>
                </w:p>
              </w:tc>
              <w:tc>
                <w:tcPr>
                  <w:tcW w:w="139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D(kWh)</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rPr>
                    <w:t>CAP</w:t>
                  </w:r>
                  <w:r>
                    <w:rPr>
                      <w:rFonts w:hint="eastAsia" w:ascii="Times New Roman" w:hAnsi="Times New Roman" w:eastAsia="宋体" w:cs="Times New Roman"/>
                      <w:kern w:val="0"/>
                      <w:sz w:val="18"/>
                      <w:szCs w:val="18"/>
                      <w:lang w:val="en-US" w:eastAsia="zh-CN"/>
                    </w:rPr>
                    <w:t>(MW)</w:t>
                  </w:r>
                </w:p>
              </w:tc>
              <w:tc>
                <w:tcPr>
                  <w:tcW w:w="128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eastAsia"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rPr>
                    <w:t>GPS</w:t>
                  </w:r>
                  <w:r>
                    <w:rPr>
                      <w:rFonts w:hint="eastAsia" w:ascii="Times New Roman" w:hAnsi="Times New Roman" w:eastAsia="宋体" w:cs="Times New Roman"/>
                      <w:kern w:val="0"/>
                      <w:sz w:val="18"/>
                      <w:szCs w:val="18"/>
                      <w:lang w:val="en-US" w:eastAsia="zh-CN"/>
                    </w:rPr>
                    <w:t>(g</w:t>
                  </w:r>
                  <w:r>
                    <w:rPr>
                      <w:rFonts w:hint="default" w:ascii="Times New Roman" w:hAnsi="Times New Roman" w:eastAsia="宋体" w:cs="Times New Roman"/>
                      <w:kern w:val="0"/>
                      <w:sz w:val="18"/>
                      <w:szCs w:val="18"/>
                    </w:rPr>
                    <w:t>/</w:t>
                  </w:r>
                  <w:r>
                    <w:rPr>
                      <w:rFonts w:hint="eastAsia" w:ascii="Times New Roman" w:hAnsi="Times New Roman" w:eastAsia="宋体" w:cs="Times New Roman"/>
                      <w:kern w:val="0"/>
                      <w:sz w:val="18"/>
                      <w:szCs w:val="18"/>
                      <w:lang w:val="en-US" w:eastAsia="zh-CN"/>
                    </w:rPr>
                    <w:t>kWh)</w:t>
                  </w:r>
                </w:p>
              </w:tc>
              <w:tc>
                <w:tcPr>
                  <w:tcW w:w="153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发电小时数（h）</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rPr>
                    <w:t>污染物年排放量</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sz w:val="18"/>
                      <w:szCs w:val="18"/>
                    </w:rPr>
                  </w:pPr>
                  <w:r>
                    <w:rPr>
                      <w:kern w:val="0"/>
                      <w:sz w:val="18"/>
                      <w:szCs w:val="18"/>
                    </w:rPr>
                    <w:t>SO</w:t>
                  </w:r>
                  <w:r>
                    <w:rPr>
                      <w:rStyle w:val="1727"/>
                      <w:color w:val="auto"/>
                      <w:sz w:val="18"/>
                      <w:szCs w:val="18"/>
                    </w:rPr>
                    <w:t>2</w:t>
                  </w:r>
                </w:p>
              </w:tc>
              <w:tc>
                <w:tcPr>
                  <w:tcW w:w="139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eastAsia="宋体"/>
                      <w:kern w:val="0"/>
                      <w:sz w:val="18"/>
                      <w:szCs w:val="18"/>
                      <w:lang w:val="en-US" w:eastAsia="zh-CN"/>
                    </w:rPr>
                  </w:pPr>
                  <w:r>
                    <w:rPr>
                      <w:rFonts w:hint="eastAsia"/>
                      <w:kern w:val="0"/>
                      <w:sz w:val="18"/>
                      <w:szCs w:val="18"/>
                      <w:lang w:val="en-US" w:eastAsia="zh-CN"/>
                    </w:rPr>
                    <w:t>0</w:t>
                  </w:r>
                </w:p>
              </w:tc>
              <w:tc>
                <w:tcPr>
                  <w:tcW w:w="1220" w:type="dxa"/>
                  <w:tcBorders>
                    <w:top w:val="nil"/>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eastAsia="宋体"/>
                      <w:kern w:val="0"/>
                      <w:sz w:val="18"/>
                      <w:szCs w:val="18"/>
                      <w:lang w:val="en-US" w:eastAsia="zh-CN"/>
                    </w:rPr>
                  </w:pPr>
                  <w:r>
                    <w:rPr>
                      <w:rFonts w:hint="eastAsia"/>
                      <w:kern w:val="0"/>
                      <w:sz w:val="18"/>
                      <w:szCs w:val="18"/>
                      <w:lang w:val="en-US" w:eastAsia="zh-CN"/>
                    </w:rPr>
                    <w:t>145</w:t>
                  </w:r>
                </w:p>
              </w:tc>
              <w:tc>
                <w:tcPr>
                  <w:tcW w:w="128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eastAsia="宋体"/>
                      <w:kern w:val="0"/>
                      <w:sz w:val="18"/>
                      <w:szCs w:val="18"/>
                      <w:lang w:val="en-US" w:eastAsia="zh-CN"/>
                    </w:rPr>
                  </w:pPr>
                  <w:r>
                    <w:rPr>
                      <w:rFonts w:hint="eastAsia"/>
                      <w:kern w:val="0"/>
                      <w:sz w:val="18"/>
                      <w:szCs w:val="18"/>
                      <w:lang w:val="en-US" w:eastAsia="zh-CN"/>
                    </w:rPr>
                    <w:t>0.13</w:t>
                  </w:r>
                </w:p>
              </w:tc>
              <w:tc>
                <w:tcPr>
                  <w:tcW w:w="153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eastAsia="宋体"/>
                      <w:bCs/>
                      <w:sz w:val="18"/>
                      <w:szCs w:val="18"/>
                      <w:lang w:val="en-US" w:eastAsia="zh-CN"/>
                    </w:rPr>
                  </w:pPr>
                  <w:r>
                    <w:rPr>
                      <w:rFonts w:hint="eastAsia"/>
                      <w:bCs/>
                      <w:sz w:val="18"/>
                      <w:szCs w:val="18"/>
                      <w:lang w:val="en-US" w:eastAsia="zh-CN"/>
                    </w:rPr>
                    <w:t>8000</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eastAsia="宋体"/>
                      <w:bCs/>
                      <w:sz w:val="18"/>
                      <w:szCs w:val="18"/>
                      <w:lang w:val="en-US" w:eastAsia="zh-CN"/>
                    </w:rPr>
                  </w:pPr>
                  <w:r>
                    <w:rPr>
                      <w:rFonts w:hint="eastAsia"/>
                      <w:bCs/>
                      <w:sz w:val="18"/>
                      <w:szCs w:val="18"/>
                      <w:lang w:val="en-US" w:eastAsia="zh-CN"/>
                    </w:rPr>
                    <w:t>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sz w:val="18"/>
                      <w:szCs w:val="18"/>
                    </w:rPr>
                  </w:pPr>
                  <w:r>
                    <w:rPr>
                      <w:kern w:val="0"/>
                      <w:sz w:val="18"/>
                      <w:szCs w:val="18"/>
                    </w:rPr>
                    <w:t>NO</w:t>
                  </w:r>
                  <w:r>
                    <w:rPr>
                      <w:rStyle w:val="1727"/>
                      <w:color w:val="auto"/>
                      <w:sz w:val="18"/>
                      <w:szCs w:val="18"/>
                    </w:rPr>
                    <w:t>X</w:t>
                  </w:r>
                </w:p>
              </w:tc>
              <w:tc>
                <w:tcPr>
                  <w:tcW w:w="139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kern w:val="0"/>
                      <w:sz w:val="18"/>
                      <w:szCs w:val="18"/>
                    </w:rPr>
                  </w:pPr>
                  <w:r>
                    <w:rPr>
                      <w:rFonts w:hint="eastAsia"/>
                      <w:kern w:val="0"/>
                      <w:sz w:val="18"/>
                      <w:szCs w:val="18"/>
                      <w:lang w:val="en-US" w:eastAsia="zh-CN"/>
                    </w:rPr>
                    <w:t>0</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eastAsia="宋体"/>
                      <w:kern w:val="0"/>
                      <w:sz w:val="18"/>
                      <w:szCs w:val="18"/>
                      <w:lang w:val="en-US" w:eastAsia="zh-CN"/>
                    </w:rPr>
                  </w:pPr>
                  <w:r>
                    <w:rPr>
                      <w:rFonts w:hint="eastAsia"/>
                      <w:kern w:val="0"/>
                      <w:sz w:val="18"/>
                      <w:szCs w:val="18"/>
                      <w:lang w:val="en-US" w:eastAsia="zh-CN"/>
                    </w:rPr>
                    <w:t>145</w:t>
                  </w:r>
                </w:p>
              </w:tc>
              <w:tc>
                <w:tcPr>
                  <w:tcW w:w="128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eastAsia="宋体"/>
                      <w:kern w:val="0"/>
                      <w:sz w:val="18"/>
                      <w:szCs w:val="18"/>
                      <w:lang w:val="en-US" w:eastAsia="zh-CN"/>
                    </w:rPr>
                  </w:pPr>
                  <w:r>
                    <w:rPr>
                      <w:rFonts w:hint="eastAsia"/>
                      <w:kern w:val="0"/>
                      <w:sz w:val="18"/>
                      <w:szCs w:val="18"/>
                      <w:lang w:val="en-US" w:eastAsia="zh-CN"/>
                    </w:rPr>
                    <w:t>0.185</w:t>
                  </w:r>
                </w:p>
              </w:tc>
              <w:tc>
                <w:tcPr>
                  <w:tcW w:w="153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sz w:val="18"/>
                      <w:szCs w:val="18"/>
                    </w:rPr>
                  </w:pPr>
                  <w:r>
                    <w:rPr>
                      <w:rFonts w:hint="eastAsia"/>
                      <w:bCs/>
                      <w:sz w:val="18"/>
                      <w:szCs w:val="18"/>
                      <w:lang w:val="en-US" w:eastAsia="zh-CN"/>
                    </w:rPr>
                    <w:t>8000</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rFonts w:hint="default" w:eastAsia="宋体"/>
                      <w:sz w:val="18"/>
                      <w:szCs w:val="18"/>
                      <w:lang w:val="en-US" w:eastAsia="zh-CN"/>
                    </w:rPr>
                  </w:pPr>
                  <w:r>
                    <w:rPr>
                      <w:rFonts w:hint="eastAsia"/>
                      <w:sz w:val="18"/>
                      <w:szCs w:val="18"/>
                      <w:lang w:val="en-US" w:eastAsia="zh-CN"/>
                    </w:rPr>
                    <w:t>214.6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kern w:val="0"/>
                      <w:sz w:val="18"/>
                      <w:szCs w:val="18"/>
                    </w:rPr>
                  </w:pPr>
                  <w:r>
                    <w:rPr>
                      <w:rFonts w:ascii="宋体" w:hAnsi="宋体"/>
                      <w:kern w:val="0"/>
                      <w:sz w:val="18"/>
                      <w:szCs w:val="18"/>
                    </w:rPr>
                    <w:t>核算结果</w:t>
                  </w:r>
                </w:p>
              </w:tc>
              <w:tc>
                <w:tcPr>
                  <w:tcW w:w="7175" w:type="dxa"/>
                  <w:gridSpan w:val="5"/>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firstLineChars="0"/>
                    <w:jc w:val="center"/>
                    <w:textAlignment w:val="center"/>
                    <w:rPr>
                      <w:kern w:val="0"/>
                      <w:sz w:val="18"/>
                      <w:szCs w:val="18"/>
                    </w:rPr>
                  </w:pPr>
                  <w:r>
                    <w:rPr>
                      <w:kern w:val="0"/>
                      <w:sz w:val="18"/>
                      <w:szCs w:val="18"/>
                    </w:rPr>
                    <w:t>SO</w:t>
                  </w:r>
                  <w:r>
                    <w:rPr>
                      <w:kern w:val="0"/>
                      <w:sz w:val="18"/>
                      <w:szCs w:val="18"/>
                      <w:vertAlign w:val="subscript"/>
                    </w:rPr>
                    <w:t>2</w:t>
                  </w:r>
                  <w:r>
                    <w:rPr>
                      <w:rFonts w:hint="eastAsia" w:ascii="宋体" w:hAnsi="宋体"/>
                      <w:kern w:val="0"/>
                      <w:sz w:val="18"/>
                      <w:szCs w:val="18"/>
                    </w:rPr>
                    <w:t>：</w:t>
                  </w:r>
                  <w:r>
                    <w:rPr>
                      <w:rFonts w:hint="eastAsia"/>
                      <w:bCs/>
                      <w:sz w:val="18"/>
                      <w:szCs w:val="18"/>
                      <w:lang w:val="en-US" w:eastAsia="zh-CN"/>
                    </w:rPr>
                    <w:t>150.8</w:t>
                  </w:r>
                  <w:r>
                    <w:rPr>
                      <w:kern w:val="0"/>
                      <w:sz w:val="18"/>
                      <w:szCs w:val="18"/>
                    </w:rPr>
                    <w:t>t/a</w:t>
                  </w:r>
                  <w:r>
                    <w:rPr>
                      <w:rFonts w:hint="eastAsia" w:ascii="宋体" w:hAnsi="宋体"/>
                      <w:kern w:val="0"/>
                      <w:sz w:val="18"/>
                      <w:szCs w:val="18"/>
                    </w:rPr>
                    <w:t>，</w:t>
                  </w:r>
                  <w:r>
                    <w:rPr>
                      <w:kern w:val="0"/>
                      <w:sz w:val="18"/>
                      <w:szCs w:val="18"/>
                    </w:rPr>
                    <w:t>NO</w:t>
                  </w:r>
                  <w:r>
                    <w:rPr>
                      <w:kern w:val="0"/>
                      <w:sz w:val="18"/>
                      <w:szCs w:val="18"/>
                      <w:vertAlign w:val="subscript"/>
                    </w:rPr>
                    <w:t xml:space="preserve">x </w:t>
                  </w:r>
                  <w:r>
                    <w:rPr>
                      <w:rFonts w:hint="eastAsia" w:ascii="宋体" w:hAnsi="宋体"/>
                      <w:kern w:val="0"/>
                      <w:sz w:val="18"/>
                      <w:szCs w:val="18"/>
                    </w:rPr>
                    <w:t>：</w:t>
                  </w:r>
                  <w:r>
                    <w:rPr>
                      <w:rFonts w:hint="eastAsia"/>
                      <w:sz w:val="18"/>
                      <w:szCs w:val="18"/>
                      <w:lang w:val="en-US" w:eastAsia="zh-CN"/>
                    </w:rPr>
                    <w:t>214.6</w:t>
                  </w:r>
                  <w:r>
                    <w:rPr>
                      <w:rFonts w:hint="eastAsia"/>
                      <w:kern w:val="0"/>
                      <w:sz w:val="18"/>
                      <w:szCs w:val="18"/>
                    </w:rPr>
                    <w:t>t</w:t>
                  </w:r>
                  <w:r>
                    <w:rPr>
                      <w:kern w:val="0"/>
                      <w:sz w:val="18"/>
                      <w:szCs w:val="18"/>
                    </w:rPr>
                    <w:t>/a</w:t>
                  </w:r>
                </w:p>
              </w:tc>
            </w:tr>
          </w:tbl>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eastAsia="宋体"/>
                <w:kern w:val="0"/>
                <w:highlight w:val="none"/>
                <w:lang w:val="en-US" w:eastAsia="zh-CN"/>
              </w:rPr>
            </w:pPr>
            <w:r>
              <w:rPr>
                <w:rFonts w:hint="eastAsia" w:ascii="Times New Roman" w:hAnsi="Times New Roman" w:eastAsia="宋体" w:cs="Times New Roman"/>
                <w:kern w:val="0"/>
                <w:sz w:val="18"/>
                <w:szCs w:val="18"/>
                <w:lang w:val="en-US" w:eastAsia="zh-CN"/>
              </w:rPr>
              <w:t>备注：氮氧化物执行的排放标准为50mg/m</w:t>
            </w:r>
            <w:r>
              <w:rPr>
                <w:rFonts w:hint="eastAsia" w:ascii="Times New Roman" w:hAnsi="Times New Roman" w:eastAsia="宋体" w:cs="Times New Roman"/>
                <w:kern w:val="0"/>
                <w:sz w:val="18"/>
                <w:szCs w:val="18"/>
                <w:vertAlign w:val="superscript"/>
                <w:lang w:val="en-US" w:eastAsia="zh-CN"/>
              </w:rPr>
              <w:t>3</w:t>
            </w:r>
            <w:r>
              <w:rPr>
                <w:rFonts w:hint="eastAsia" w:ascii="Times New Roman" w:hAnsi="Times New Roman" w:eastAsia="宋体" w:cs="Times New Roman"/>
                <w:kern w:val="0"/>
                <w:sz w:val="18"/>
                <w:szCs w:val="18"/>
                <w:vertAlign w:val="baseline"/>
                <w:lang w:val="en-US" w:eastAsia="zh-CN"/>
              </w:rPr>
              <w:t>，</w:t>
            </w:r>
            <w:r>
              <w:rPr>
                <w:rFonts w:hint="eastAsia" w:ascii="Times New Roman" w:hAnsi="Times New Roman" w:eastAsia="宋体" w:cs="Times New Roman"/>
                <w:kern w:val="0"/>
                <w:sz w:val="18"/>
                <w:szCs w:val="18"/>
                <w:lang w:val="en-US" w:eastAsia="zh-CN"/>
              </w:rPr>
              <w:t>氮氧化物核定绩效值0.37g</w:t>
            </w:r>
            <w:r>
              <w:rPr>
                <w:rFonts w:hint="default" w:ascii="Times New Roman" w:hAnsi="Times New Roman" w:eastAsia="宋体" w:cs="Times New Roman"/>
                <w:kern w:val="0"/>
                <w:sz w:val="18"/>
                <w:szCs w:val="18"/>
              </w:rPr>
              <w:t>/</w:t>
            </w:r>
            <w:r>
              <w:rPr>
                <w:rFonts w:hint="eastAsia" w:ascii="Times New Roman" w:hAnsi="Times New Roman" w:eastAsia="宋体" w:cs="Times New Roman"/>
                <w:kern w:val="0"/>
                <w:sz w:val="18"/>
                <w:szCs w:val="18"/>
                <w:lang w:val="en-US" w:eastAsia="zh-CN"/>
              </w:rPr>
              <w:t>kWh对应的排放标准是100mg/m</w:t>
            </w:r>
            <w:r>
              <w:rPr>
                <w:rFonts w:hint="eastAsia" w:ascii="Times New Roman" w:hAnsi="Times New Roman" w:eastAsia="宋体" w:cs="Times New Roman"/>
                <w:kern w:val="0"/>
                <w:sz w:val="18"/>
                <w:szCs w:val="18"/>
                <w:vertAlign w:val="superscript"/>
                <w:lang w:val="en-US" w:eastAsia="zh-CN"/>
              </w:rPr>
              <w:t>3</w:t>
            </w:r>
            <w:r>
              <w:rPr>
                <w:rFonts w:hint="eastAsia" w:ascii="Times New Roman" w:hAnsi="Times New Roman" w:eastAsia="宋体" w:cs="Times New Roman"/>
                <w:kern w:val="0"/>
                <w:sz w:val="18"/>
                <w:szCs w:val="18"/>
                <w:lang w:val="en-US" w:eastAsia="zh-CN"/>
              </w:rPr>
              <w:t>，所以</w:t>
            </w:r>
            <w:r>
              <w:rPr>
                <w:rFonts w:hint="eastAsia" w:ascii="Times New Roman" w:hAnsi="Times New Roman" w:eastAsia="宋体" w:cs="Times New Roman"/>
                <w:kern w:val="0"/>
                <w:sz w:val="18"/>
                <w:szCs w:val="18"/>
                <w:highlight w:val="none"/>
                <w:lang w:val="en-US" w:eastAsia="zh-CN"/>
              </w:rPr>
              <w:t>将氮氧化物核定绩效值折算为0.185g</w:t>
            </w:r>
            <w:r>
              <w:rPr>
                <w:rFonts w:hint="default"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kWh。</w:t>
            </w:r>
          </w:p>
          <w:p>
            <w:pPr>
              <w:ind w:firstLine="480"/>
              <w:rPr>
                <w:rFonts w:hint="eastAsia" w:ascii="Times New Roman" w:hAnsi="Times New Roman" w:eastAsia="宋体" w:cs="Times New Roman"/>
                <w:color w:val="000000"/>
                <w:spacing w:val="10"/>
                <w:kern w:val="2"/>
                <w:sz w:val="24"/>
                <w:szCs w:val="24"/>
                <w:highlight w:val="none"/>
                <w:lang w:val="en-US" w:eastAsia="zh-CN" w:bidi="ar-SA"/>
              </w:rPr>
            </w:pPr>
            <w:r>
              <w:rPr>
                <w:rFonts w:hint="eastAsia"/>
                <w:kern w:val="0"/>
                <w:highlight w:val="none"/>
                <w:lang w:val="en-US" w:eastAsia="zh-CN"/>
              </w:rPr>
              <w:t>则</w:t>
            </w:r>
            <w:r>
              <w:rPr>
                <w:highlight w:val="none"/>
              </w:rPr>
              <w:t>SO</w:t>
            </w:r>
            <w:r>
              <w:rPr>
                <w:highlight w:val="none"/>
                <w:vertAlign w:val="subscript"/>
              </w:rPr>
              <w:t>2</w:t>
            </w:r>
            <w:r>
              <w:rPr>
                <w:rFonts w:hint="eastAsia"/>
                <w:kern w:val="0"/>
                <w:highlight w:val="none"/>
                <w:lang w:val="en-US" w:eastAsia="zh-CN"/>
              </w:rPr>
              <w:t>排放总</w:t>
            </w:r>
            <w:r>
              <w:rPr>
                <w:rFonts w:hint="eastAsia" w:ascii="Times New Roman" w:hAnsi="Times New Roman" w:eastAsia="宋体" w:cs="Times New Roman"/>
                <w:color w:val="000000"/>
                <w:spacing w:val="10"/>
                <w:kern w:val="2"/>
                <w:sz w:val="24"/>
                <w:szCs w:val="24"/>
                <w:highlight w:val="none"/>
                <w:lang w:val="en-US" w:eastAsia="zh-CN" w:bidi="ar-SA"/>
              </w:rPr>
              <w:t>量为</w:t>
            </w:r>
            <w:r>
              <w:rPr>
                <w:rFonts w:hint="eastAsia" w:cs="Times New Roman"/>
                <w:color w:val="000000"/>
                <w:spacing w:val="10"/>
                <w:kern w:val="2"/>
                <w:sz w:val="24"/>
                <w:szCs w:val="24"/>
                <w:highlight w:val="none"/>
                <w:lang w:val="en-US" w:eastAsia="zh-CN" w:bidi="ar-SA"/>
              </w:rPr>
              <w:t>145×8000×0.13×10</w:t>
            </w:r>
            <w:r>
              <w:rPr>
                <w:rFonts w:hint="eastAsia" w:cs="Times New Roman"/>
                <w:color w:val="000000"/>
                <w:spacing w:val="10"/>
                <w:kern w:val="2"/>
                <w:sz w:val="24"/>
                <w:szCs w:val="24"/>
                <w:highlight w:val="none"/>
                <w:vertAlign w:val="superscript"/>
                <w:lang w:val="en-US" w:eastAsia="zh-CN" w:bidi="ar-SA"/>
              </w:rPr>
              <w:t>-3</w:t>
            </w:r>
            <w:r>
              <w:rPr>
                <w:rFonts w:hint="eastAsia" w:cs="Times New Roman"/>
                <w:color w:val="000000"/>
                <w:spacing w:val="10"/>
                <w:kern w:val="2"/>
                <w:sz w:val="24"/>
                <w:szCs w:val="24"/>
                <w:highlight w:val="none"/>
                <w:lang w:val="en-US" w:eastAsia="zh-CN" w:bidi="ar-SA"/>
              </w:rPr>
              <w:t>=</w:t>
            </w:r>
            <w:r>
              <w:rPr>
                <w:rFonts w:hint="eastAsia" w:ascii="Times New Roman" w:hAnsi="Times New Roman" w:eastAsia="宋体" w:cs="Times New Roman"/>
                <w:color w:val="000000"/>
                <w:spacing w:val="10"/>
                <w:kern w:val="2"/>
                <w:sz w:val="24"/>
                <w:szCs w:val="24"/>
                <w:highlight w:val="none"/>
                <w:lang w:val="en-US" w:eastAsia="zh-CN" w:bidi="ar-SA"/>
              </w:rPr>
              <w:t>150.8</w:t>
            </w:r>
            <w:r>
              <w:rPr>
                <w:rFonts w:hint="default" w:ascii="Times New Roman" w:hAnsi="Times New Roman" w:eastAsia="宋体" w:cs="Times New Roman"/>
                <w:color w:val="000000"/>
                <w:spacing w:val="10"/>
                <w:kern w:val="2"/>
                <w:sz w:val="24"/>
                <w:szCs w:val="24"/>
                <w:highlight w:val="none"/>
                <w:lang w:val="en-US" w:eastAsia="zh-CN" w:bidi="ar-SA"/>
              </w:rPr>
              <w:t>t/a</w:t>
            </w:r>
            <w:r>
              <w:rPr>
                <w:rFonts w:hint="eastAsia" w:ascii="Times New Roman" w:hAnsi="Times New Roman" w:eastAsia="宋体" w:cs="Times New Roman"/>
                <w:color w:val="000000"/>
                <w:spacing w:val="10"/>
                <w:kern w:val="2"/>
                <w:sz w:val="24"/>
                <w:szCs w:val="24"/>
                <w:highlight w:val="none"/>
                <w:lang w:val="en-US" w:eastAsia="zh-CN" w:bidi="ar-SA"/>
              </w:rPr>
              <w:t>，</w:t>
            </w:r>
            <w:r>
              <w:rPr>
                <w:rFonts w:hint="eastAsia"/>
                <w:kern w:val="0"/>
                <w:highlight w:val="none"/>
                <w:lang w:val="en-US" w:eastAsia="zh-CN"/>
              </w:rPr>
              <w:t>N</w:t>
            </w:r>
            <w:r>
              <w:rPr>
                <w:highlight w:val="none"/>
              </w:rPr>
              <w:t>O</w:t>
            </w:r>
            <w:r>
              <w:rPr>
                <w:rFonts w:hint="eastAsia"/>
                <w:highlight w:val="none"/>
                <w:lang w:val="en-US" w:eastAsia="zh-CN"/>
              </w:rPr>
              <w:t>x</w:t>
            </w:r>
            <w:r>
              <w:rPr>
                <w:rFonts w:hint="eastAsia"/>
                <w:kern w:val="0"/>
                <w:highlight w:val="none"/>
                <w:lang w:val="en-US" w:eastAsia="zh-CN"/>
              </w:rPr>
              <w:t>排放总</w:t>
            </w:r>
            <w:r>
              <w:rPr>
                <w:rFonts w:hint="eastAsia" w:ascii="Times New Roman" w:hAnsi="Times New Roman" w:eastAsia="宋体" w:cs="Times New Roman"/>
                <w:color w:val="000000"/>
                <w:spacing w:val="10"/>
                <w:kern w:val="2"/>
                <w:sz w:val="24"/>
                <w:szCs w:val="24"/>
                <w:highlight w:val="none"/>
                <w:lang w:val="en-US" w:eastAsia="zh-CN" w:bidi="ar-SA"/>
              </w:rPr>
              <w:t>量为</w:t>
            </w:r>
            <w:r>
              <w:rPr>
                <w:rFonts w:hint="eastAsia" w:cs="Times New Roman"/>
                <w:color w:val="000000"/>
                <w:spacing w:val="10"/>
                <w:kern w:val="2"/>
                <w:sz w:val="24"/>
                <w:szCs w:val="24"/>
                <w:highlight w:val="none"/>
                <w:lang w:val="en-US" w:eastAsia="zh-CN" w:bidi="ar-SA"/>
              </w:rPr>
              <w:t>145×8000×0.185×10</w:t>
            </w:r>
            <w:r>
              <w:rPr>
                <w:rFonts w:hint="eastAsia" w:cs="Times New Roman"/>
                <w:color w:val="000000"/>
                <w:spacing w:val="10"/>
                <w:kern w:val="2"/>
                <w:sz w:val="24"/>
                <w:szCs w:val="24"/>
                <w:highlight w:val="none"/>
                <w:vertAlign w:val="superscript"/>
                <w:lang w:val="en-US" w:eastAsia="zh-CN" w:bidi="ar-SA"/>
              </w:rPr>
              <w:t>-3</w:t>
            </w:r>
            <w:r>
              <w:rPr>
                <w:rFonts w:hint="eastAsia" w:cs="Times New Roman"/>
                <w:color w:val="000000"/>
                <w:spacing w:val="10"/>
                <w:kern w:val="2"/>
                <w:sz w:val="24"/>
                <w:szCs w:val="24"/>
                <w:highlight w:val="none"/>
                <w:vertAlign w:val="baseline"/>
                <w:lang w:val="en-US" w:eastAsia="zh-CN" w:bidi="ar-SA"/>
              </w:rPr>
              <w:t>=</w:t>
            </w:r>
            <w:r>
              <w:rPr>
                <w:rFonts w:hint="eastAsia" w:ascii="Times New Roman" w:hAnsi="Times New Roman" w:eastAsia="宋体" w:cs="Times New Roman"/>
                <w:color w:val="000000"/>
                <w:spacing w:val="10"/>
                <w:kern w:val="2"/>
                <w:sz w:val="24"/>
                <w:szCs w:val="24"/>
                <w:highlight w:val="none"/>
                <w:lang w:val="en-US" w:eastAsia="zh-CN" w:bidi="ar-SA"/>
              </w:rPr>
              <w:t>214.6t/a。</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highlight w:val="none"/>
                <w:lang w:val="en-US" w:eastAsia="zh-CN"/>
              </w:rPr>
            </w:pPr>
            <w:r>
              <w:rPr>
                <w:rFonts w:hint="eastAsia"/>
                <w:kern w:val="0"/>
                <w:highlight w:val="none"/>
                <w:lang w:val="en-US" w:eastAsia="zh-CN"/>
              </w:rPr>
              <w:t>根据《关于开展排污许可证单位主要污染物排污权确权工作“回头看”的通知》([2021]-429)，迁安市九江线材有限责任公司拟确权量为：二氧化硫2103.246t、氮氧化物3510.204t；目前该公司排污许可载明许可排放量为：二氧化硫1433.8892t、氮氧化物2270.4799t，该公司二氧化硫确权指标富余量669.3568t，氮氧化物确权指标富余量1239.7241t。</w:t>
            </w:r>
            <w:r>
              <w:rPr>
                <w:rFonts w:hint="default"/>
                <w:highlight w:val="none"/>
                <w:lang w:val="en-US" w:eastAsia="zh-CN"/>
              </w:rPr>
              <w:t>迁安市九江线材有限责任公司整合重组减量置换项目新增总量指标为</w:t>
            </w:r>
            <w:r>
              <w:rPr>
                <w:rFonts w:hint="eastAsia"/>
                <w:highlight w:val="none"/>
                <w:lang w:val="en-US" w:eastAsia="zh-CN"/>
              </w:rPr>
              <w:t>：</w:t>
            </w:r>
            <w:r>
              <w:rPr>
                <w:rFonts w:hint="default"/>
                <w:highlight w:val="none"/>
                <w:lang w:val="en-US" w:eastAsia="zh-CN"/>
              </w:rPr>
              <w:t>二氧化硫241.898</w:t>
            </w:r>
            <w:r>
              <w:rPr>
                <w:rFonts w:hint="eastAsia"/>
                <w:highlight w:val="none"/>
                <w:lang w:val="en-US" w:eastAsia="zh-CN"/>
              </w:rPr>
              <w:t>t</w:t>
            </w:r>
            <w:r>
              <w:rPr>
                <w:rFonts w:hint="default"/>
                <w:highlight w:val="none"/>
                <w:lang w:val="en-US" w:eastAsia="zh-CN"/>
              </w:rPr>
              <w:t>、氮氧化物553.328</w:t>
            </w:r>
            <w:r>
              <w:rPr>
                <w:rFonts w:hint="eastAsia"/>
                <w:highlight w:val="none"/>
                <w:lang w:val="en-US" w:eastAsia="zh-CN"/>
              </w:rPr>
              <w:t>t，将富余量调剂给</w:t>
            </w:r>
            <w:r>
              <w:rPr>
                <w:rFonts w:hint="default"/>
                <w:highlight w:val="none"/>
                <w:lang w:val="en-US" w:eastAsia="zh-CN"/>
              </w:rPr>
              <w:t>该公司整合重组减量置换项目</w:t>
            </w:r>
            <w:r>
              <w:rPr>
                <w:rFonts w:hint="eastAsia"/>
                <w:highlight w:val="none"/>
                <w:lang w:val="en-US" w:eastAsia="zh-CN"/>
              </w:rPr>
              <w:t>后，</w:t>
            </w:r>
            <w:r>
              <w:rPr>
                <w:rFonts w:hint="default"/>
                <w:highlight w:val="none"/>
                <w:lang w:val="en-US" w:eastAsia="zh-CN"/>
              </w:rPr>
              <w:t>二氧化硫确权指标富余量为</w:t>
            </w:r>
            <w:r>
              <w:rPr>
                <w:rFonts w:hint="eastAsia"/>
                <w:highlight w:val="none"/>
                <w:lang w:val="en-US" w:eastAsia="zh-CN"/>
              </w:rPr>
              <w:t>：427.4588t</w:t>
            </w:r>
            <w:r>
              <w:rPr>
                <w:rFonts w:hint="default"/>
                <w:highlight w:val="none"/>
                <w:lang w:val="en-US" w:eastAsia="zh-CN"/>
              </w:rPr>
              <w:t>、氮氧化物确权指标富余量</w:t>
            </w:r>
            <w:r>
              <w:rPr>
                <w:rFonts w:hint="eastAsia"/>
                <w:highlight w:val="none"/>
                <w:lang w:val="en-US" w:eastAsia="zh-CN"/>
              </w:rPr>
              <w:t>686.3961t，可调剂给本项目使用，全厂污染物总量指标不变，调剂给本项目后，</w:t>
            </w:r>
            <w:r>
              <w:rPr>
                <w:rFonts w:hint="default"/>
                <w:highlight w:val="none"/>
                <w:lang w:val="en-US" w:eastAsia="zh-CN"/>
              </w:rPr>
              <w:t>二氧化硫确权指标富余量为</w:t>
            </w:r>
            <w:r>
              <w:rPr>
                <w:rFonts w:hint="eastAsia"/>
                <w:highlight w:val="none"/>
                <w:lang w:val="en-US" w:eastAsia="zh-CN"/>
              </w:rPr>
              <w:t>：276.6588t</w:t>
            </w:r>
            <w:r>
              <w:rPr>
                <w:rFonts w:hint="default"/>
                <w:highlight w:val="none"/>
                <w:lang w:val="en-US" w:eastAsia="zh-CN"/>
              </w:rPr>
              <w:t>、氮氧化物确权指标富余量</w:t>
            </w:r>
            <w:r>
              <w:rPr>
                <w:rFonts w:hint="eastAsia"/>
                <w:highlight w:val="none"/>
                <w:lang w:val="en-US" w:eastAsia="zh-CN"/>
              </w:rPr>
              <w:t>471.7961t。</w:t>
            </w:r>
          </w:p>
          <w:p>
            <w:pPr>
              <w:ind w:firstLine="480"/>
            </w:pPr>
            <w:r>
              <w:rPr>
                <w:rFonts w:hint="eastAsia"/>
                <w:kern w:val="0"/>
              </w:rPr>
              <w:t>(2)</w:t>
            </w:r>
            <w:r>
              <w:t>预测排放量</w:t>
            </w:r>
          </w:p>
          <w:p>
            <w:pPr>
              <w:ind w:firstLine="480"/>
              <w:rPr>
                <w:highlight w:val="none"/>
              </w:rPr>
            </w:pPr>
            <w:r>
              <w:rPr>
                <w:rFonts w:hint="eastAsia"/>
                <w:highlight w:val="none"/>
                <w:lang w:val="en-US" w:eastAsia="zh-CN"/>
              </w:rPr>
              <w:t>颗粒物，</w:t>
            </w:r>
            <w:r>
              <w:rPr>
                <w:highlight w:val="none"/>
              </w:rPr>
              <w:t>SO</w:t>
            </w:r>
            <w:r>
              <w:rPr>
                <w:highlight w:val="none"/>
                <w:vertAlign w:val="subscript"/>
              </w:rPr>
              <w:t>2</w:t>
            </w:r>
            <w:r>
              <w:rPr>
                <w:highlight w:val="none"/>
              </w:rPr>
              <w:t>和NO</w:t>
            </w:r>
            <w:r>
              <w:rPr>
                <w:highlight w:val="none"/>
                <w:vertAlign w:val="subscript"/>
              </w:rPr>
              <w:t>X</w:t>
            </w:r>
            <w:r>
              <w:rPr>
                <w:highlight w:val="none"/>
              </w:rPr>
              <w:t>预测排放总量分别为</w:t>
            </w:r>
            <w:r>
              <w:rPr>
                <w:rFonts w:hint="eastAsia"/>
                <w:highlight w:val="none"/>
                <w:lang w:val="en-US" w:eastAsia="zh-CN"/>
              </w:rPr>
              <w:t>15.049</w:t>
            </w:r>
            <w:r>
              <w:rPr>
                <w:highlight w:val="none"/>
              </w:rPr>
              <w:t>t/a</w:t>
            </w:r>
            <w:r>
              <w:rPr>
                <w:rFonts w:hint="eastAsia"/>
                <w:highlight w:val="none"/>
                <w:lang w:val="en-US" w:eastAsia="zh-CN"/>
              </w:rPr>
              <w:t>、</w:t>
            </w:r>
            <w:r>
              <w:rPr>
                <w:rFonts w:hint="eastAsia"/>
                <w:highlight w:val="none"/>
              </w:rPr>
              <w:t>32.163</w:t>
            </w:r>
            <w:r>
              <w:rPr>
                <w:highlight w:val="none"/>
              </w:rPr>
              <w:t>t/a、</w:t>
            </w:r>
            <w:r>
              <w:rPr>
                <w:rFonts w:hint="eastAsia"/>
                <w:highlight w:val="none"/>
              </w:rPr>
              <w:t>45.743</w:t>
            </w:r>
            <w:r>
              <w:rPr>
                <w:highlight w:val="none"/>
              </w:rPr>
              <w:t>t/a。</w:t>
            </w:r>
          </w:p>
          <w:p>
            <w:pPr>
              <w:keepNext w:val="0"/>
              <w:keepLines w:val="0"/>
              <w:pageBreakBefore w:val="0"/>
              <w:widowControl w:val="0"/>
              <w:kinsoku/>
              <w:wordWrap/>
              <w:overflowPunct/>
              <w:topLinePunct w:val="0"/>
              <w:autoSpaceDE/>
              <w:autoSpaceDN/>
              <w:bidi w:val="0"/>
              <w:adjustRightInd/>
              <w:snapToGrid w:val="0"/>
              <w:ind w:firstLine="480"/>
              <w:jc w:val="both"/>
              <w:textAlignment w:val="auto"/>
              <w:rPr>
                <w:kern w:val="0"/>
              </w:rPr>
            </w:pPr>
            <w:r>
              <w:rPr>
                <w:rFonts w:hint="eastAsia"/>
                <w:kern w:val="0"/>
                <w:lang w:val="en-US" w:eastAsia="zh-CN"/>
              </w:rPr>
              <w:t>根据《唐</w:t>
            </w:r>
            <w:r>
              <w:rPr>
                <w:rFonts w:hint="eastAsia"/>
                <w:kern w:val="0"/>
              </w:rPr>
              <w:t>山市人民政府关于实施“三线一单”生态环境分区管控的意见》(唐政字[2021]48号)文件要求“细颗粒物(PM</w:t>
            </w:r>
            <w:r>
              <w:rPr>
                <w:rFonts w:hint="eastAsia"/>
                <w:kern w:val="0"/>
                <w:vertAlign w:val="subscript"/>
              </w:rPr>
              <w:t>2.5</w:t>
            </w:r>
            <w:r>
              <w:rPr>
                <w:rFonts w:hint="eastAsia"/>
                <w:kern w:val="0"/>
              </w:rPr>
              <w:t>)年均浓度不达标的城市，二氧化硫、氮氧化物、烟粉尘、挥发性有机物四项污染物均需进行2倍削减替代”。根据《202</w:t>
            </w:r>
            <w:r>
              <w:rPr>
                <w:rFonts w:hint="eastAsia"/>
                <w:kern w:val="0"/>
                <w:lang w:val="en-US" w:eastAsia="zh-CN"/>
              </w:rPr>
              <w:t>1</w:t>
            </w:r>
            <w:r>
              <w:rPr>
                <w:rFonts w:hint="eastAsia"/>
                <w:kern w:val="0"/>
              </w:rPr>
              <w:t>年唐山市环境状况公报》，项目所在区域为不达标区，应落实区域内现役污染源2倍削减替代，即颗粒物</w:t>
            </w:r>
            <w:r>
              <w:rPr>
                <w:rFonts w:hint="eastAsia"/>
                <w:kern w:val="0"/>
                <w:lang w:val="en-US" w:eastAsia="zh-CN"/>
              </w:rPr>
              <w:t>30.098</w:t>
            </w:r>
            <w:r>
              <w:rPr>
                <w:rFonts w:hint="eastAsia"/>
                <w:kern w:val="0"/>
              </w:rPr>
              <w:t>t/a，二氧化硫</w:t>
            </w:r>
            <w:r>
              <w:rPr>
                <w:rFonts w:hint="eastAsia"/>
                <w:kern w:val="0"/>
                <w:lang w:val="en-US" w:eastAsia="zh-CN"/>
              </w:rPr>
              <w:t>64.326</w:t>
            </w:r>
            <w:r>
              <w:rPr>
                <w:rFonts w:hint="eastAsia"/>
                <w:kern w:val="0"/>
              </w:rPr>
              <w:t>t/a</w:t>
            </w:r>
            <w:r>
              <w:rPr>
                <w:rFonts w:hint="eastAsia"/>
                <w:kern w:val="0"/>
                <w:lang w:eastAsia="zh-CN"/>
              </w:rPr>
              <w:t>，</w:t>
            </w:r>
            <w:r>
              <w:rPr>
                <w:rFonts w:hint="eastAsia"/>
                <w:kern w:val="0"/>
              </w:rPr>
              <w:t>氮氧化物</w:t>
            </w:r>
            <w:r>
              <w:rPr>
                <w:rFonts w:hint="eastAsia"/>
                <w:kern w:val="0"/>
                <w:lang w:val="en-US" w:eastAsia="zh-CN"/>
              </w:rPr>
              <w:t>91.486</w:t>
            </w:r>
            <w:r>
              <w:rPr>
                <w:rFonts w:hint="eastAsia"/>
                <w:kern w:val="0"/>
              </w:rPr>
              <w:t>t/a。</w:t>
            </w:r>
            <w:r>
              <w:rPr>
                <w:rFonts w:hint="eastAsia"/>
                <w:kern w:val="0"/>
                <w:lang w:val="en-US" w:eastAsia="zh-CN"/>
              </w:rPr>
              <w:t>唐山市生态环境局迁安市分局已出具项目主要污染物现役源倍量削减方案，文号为迁环气[2022]72号。</w:t>
            </w:r>
          </w:p>
        </w:tc>
      </w:tr>
    </w:tbl>
    <w:p>
      <w:pPr>
        <w:pStyle w:val="72"/>
        <w:numPr>
          <w:ilvl w:val="0"/>
          <w:numId w:val="4"/>
        </w:numPr>
        <w:adjustRightInd w:val="0"/>
        <w:snapToGrid w:val="0"/>
        <w:spacing w:before="0" w:beforeAutospacing="0" w:after="0" w:afterAutospacing="0" w:line="240" w:lineRule="auto"/>
        <w:ind w:firstLine="0" w:firstLineChars="0"/>
        <w:outlineLvl w:val="0"/>
        <w:rPr>
          <w:rFonts w:ascii="Times New Roman" w:hAnsi="Times New Roman" w:eastAsiaTheme="minorEastAsia"/>
          <w:b/>
          <w:bCs/>
          <w:snapToGrid w:val="0"/>
          <w:sz w:val="32"/>
          <w:szCs w:val="32"/>
        </w:rPr>
      </w:pPr>
      <w:r>
        <w:rPr>
          <w:rFonts w:ascii="Times New Roman" w:hAnsi="Times New Roman" w:eastAsiaTheme="minorEastAsia"/>
          <w:snapToGrid w:val="0"/>
          <w:color w:val="0000FF"/>
          <w:sz w:val="44"/>
          <w:szCs w:val="44"/>
        </w:rPr>
        <w:br w:type="page"/>
      </w:r>
      <w:r>
        <w:rPr>
          <w:rFonts w:ascii="Times New Roman" w:hAnsi="Times New Roman" w:eastAsiaTheme="minorEastAsia"/>
          <w:b/>
          <w:bCs/>
          <w:snapToGrid w:val="0"/>
          <w:sz w:val="32"/>
          <w:szCs w:val="32"/>
        </w:rPr>
        <w:t>主要环境影响和保护措施</w:t>
      </w:r>
    </w:p>
    <w:tbl>
      <w:tblPr>
        <w:tblStyle w:val="7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8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8" w:type="dxa"/>
            <w:tcMar>
              <w:left w:w="28" w:type="dxa"/>
              <w:right w:w="28" w:type="dxa"/>
            </w:tcMar>
            <w:vAlign w:val="center"/>
          </w:tcPr>
          <w:p>
            <w:pPr>
              <w:pStyle w:val="72"/>
              <w:adjustRightInd w:val="0"/>
              <w:snapToGrid w:val="0"/>
              <w:spacing w:before="0" w:beforeAutospacing="0" w:after="0" w:afterAutospacing="0" w:line="240" w:lineRule="auto"/>
              <w:ind w:firstLine="0" w:firstLineChars="0"/>
              <w:jc w:val="center"/>
              <w:rPr>
                <w:rFonts w:ascii="Times New Roman" w:hAnsi="Times New Roman" w:eastAsiaTheme="minorEastAsia"/>
                <w:kern w:val="2"/>
                <w:szCs w:val="24"/>
              </w:rPr>
            </w:pPr>
            <w:r>
              <w:rPr>
                <w:rFonts w:ascii="Times New Roman" w:hAnsi="Times New Roman" w:eastAsiaTheme="minorEastAsia"/>
                <w:kern w:val="2"/>
                <w:szCs w:val="24"/>
              </w:rPr>
              <w:t>施工</w:t>
            </w:r>
          </w:p>
          <w:p>
            <w:pPr>
              <w:pStyle w:val="72"/>
              <w:adjustRightInd w:val="0"/>
              <w:snapToGrid w:val="0"/>
              <w:spacing w:before="0" w:beforeAutospacing="0" w:after="0" w:afterAutospacing="0" w:line="240" w:lineRule="auto"/>
              <w:ind w:firstLine="0" w:firstLineChars="0"/>
              <w:jc w:val="center"/>
              <w:rPr>
                <w:rFonts w:ascii="Times New Roman" w:hAnsi="Times New Roman" w:eastAsiaTheme="minorEastAsia"/>
                <w:kern w:val="2"/>
                <w:szCs w:val="24"/>
              </w:rPr>
            </w:pPr>
            <w:r>
              <w:rPr>
                <w:rFonts w:ascii="Times New Roman" w:hAnsi="Times New Roman" w:eastAsiaTheme="minorEastAsia"/>
                <w:kern w:val="2"/>
                <w:szCs w:val="24"/>
              </w:rPr>
              <w:t>期环</w:t>
            </w:r>
          </w:p>
          <w:p>
            <w:pPr>
              <w:pStyle w:val="72"/>
              <w:adjustRightInd w:val="0"/>
              <w:snapToGrid w:val="0"/>
              <w:spacing w:before="0" w:beforeAutospacing="0" w:after="0" w:afterAutospacing="0" w:line="240" w:lineRule="auto"/>
              <w:ind w:firstLine="0" w:firstLineChars="0"/>
              <w:jc w:val="center"/>
              <w:rPr>
                <w:rFonts w:ascii="Times New Roman" w:hAnsi="Times New Roman" w:eastAsiaTheme="minorEastAsia"/>
                <w:kern w:val="2"/>
                <w:szCs w:val="24"/>
              </w:rPr>
            </w:pPr>
            <w:r>
              <w:rPr>
                <w:rFonts w:ascii="Times New Roman" w:hAnsi="Times New Roman" w:eastAsiaTheme="minorEastAsia"/>
                <w:kern w:val="2"/>
                <w:szCs w:val="24"/>
              </w:rPr>
              <w:t>境保</w:t>
            </w:r>
          </w:p>
          <w:p>
            <w:pPr>
              <w:pStyle w:val="72"/>
              <w:adjustRightInd w:val="0"/>
              <w:snapToGrid w:val="0"/>
              <w:spacing w:before="0" w:beforeAutospacing="0" w:after="0" w:afterAutospacing="0" w:line="240" w:lineRule="auto"/>
              <w:ind w:firstLine="0" w:firstLineChars="0"/>
              <w:jc w:val="center"/>
              <w:rPr>
                <w:rFonts w:ascii="Times New Roman" w:hAnsi="Times New Roman" w:eastAsiaTheme="minorEastAsia"/>
                <w:kern w:val="2"/>
                <w:szCs w:val="24"/>
              </w:rPr>
            </w:pPr>
            <w:r>
              <w:rPr>
                <w:rFonts w:ascii="Times New Roman" w:hAnsi="Times New Roman" w:eastAsiaTheme="minorEastAsia"/>
                <w:kern w:val="2"/>
                <w:szCs w:val="24"/>
              </w:rPr>
              <w:t>护措</w:t>
            </w:r>
          </w:p>
          <w:p>
            <w:pPr>
              <w:pStyle w:val="72"/>
              <w:adjustRightInd w:val="0"/>
              <w:snapToGrid w:val="0"/>
              <w:spacing w:before="0" w:beforeAutospacing="0" w:after="0" w:afterAutospacing="0" w:line="240" w:lineRule="auto"/>
              <w:ind w:firstLine="0" w:firstLineChars="0"/>
              <w:jc w:val="center"/>
              <w:rPr>
                <w:rFonts w:ascii="Times New Roman" w:hAnsi="Times New Roman" w:eastAsiaTheme="minorEastAsia"/>
                <w:bCs/>
                <w:kern w:val="2"/>
                <w:szCs w:val="24"/>
              </w:rPr>
            </w:pPr>
            <w:r>
              <w:rPr>
                <w:rFonts w:ascii="Times New Roman" w:hAnsi="Times New Roman" w:eastAsiaTheme="minorEastAsia"/>
                <w:kern w:val="2"/>
                <w:szCs w:val="24"/>
              </w:rPr>
              <w:t>施</w:t>
            </w:r>
          </w:p>
        </w:tc>
        <w:tc>
          <w:tcPr>
            <w:tcW w:w="8163" w:type="dxa"/>
            <w:vAlign w:val="center"/>
          </w:tcPr>
          <w:p>
            <w:pPr>
              <w:ind w:firstLine="480"/>
            </w:pPr>
            <w:r>
              <w:t>本项目施工期</w:t>
            </w:r>
            <w:r>
              <w:rPr>
                <w:rFonts w:hint="eastAsia"/>
              </w:rPr>
              <w:t>拆除</w:t>
            </w:r>
            <w:r>
              <w:t>现有50MW发电系统，</w:t>
            </w:r>
            <w:r>
              <w:rPr>
                <w:rFonts w:hint="eastAsia"/>
              </w:rPr>
              <w:t>建设</w:t>
            </w:r>
            <w:r>
              <w:t>1×145MW超临界煤气发电机组</w:t>
            </w:r>
            <w:r>
              <w:rPr>
                <w:rFonts w:hint="eastAsia"/>
              </w:rPr>
              <w:t>主厂房、冷却塔等，并进行</w:t>
            </w:r>
            <w:r>
              <w:t>生产设备及环保设备安装等，施工期环保措施如下：</w:t>
            </w:r>
          </w:p>
          <w:p>
            <w:pPr>
              <w:ind w:firstLine="482"/>
            </w:pPr>
            <w:r>
              <w:t>1、施工扬尘防治措施：</w:t>
            </w:r>
          </w:p>
          <w:p>
            <w:pPr>
              <w:ind w:firstLine="480"/>
            </w:pPr>
            <w:r>
              <w:rPr>
                <w:rFonts w:hint="eastAsia"/>
              </w:rPr>
              <w:t>(</w:t>
            </w:r>
            <w:r>
              <w:t>1</w:t>
            </w:r>
            <w:r>
              <w:rPr>
                <w:rFonts w:hint="eastAsia"/>
              </w:rPr>
              <w:t>)</w:t>
            </w:r>
            <w:r>
              <w:t>施工现场周边按照规范要求设置硬质封闭围挡或者围墙，并进行妥善维护；施工现场出入口、主要道路、加工区等进行硬化处理，裸露地面采取绿化、遮盖、喷洒抑尘剂等防尘措施；</w:t>
            </w:r>
          </w:p>
          <w:p>
            <w:pPr>
              <w:pStyle w:val="32"/>
              <w:spacing w:line="360" w:lineRule="auto"/>
              <w:ind w:left="0" w:leftChars="0" w:right="0" w:firstLine="480"/>
              <w:jc w:val="left"/>
            </w:pPr>
            <w:r>
              <w:rPr>
                <w:rFonts w:hint="eastAsia"/>
              </w:rPr>
              <w:t>(</w:t>
            </w:r>
            <w:r>
              <w:t>2</w:t>
            </w:r>
            <w:r>
              <w:rPr>
                <w:rFonts w:hint="eastAsia"/>
              </w:rPr>
              <w:t>)</w:t>
            </w:r>
            <w:r>
              <w:t>在施工现场出入口明显位置设置公示牌，公示施工现场负责人、环保监督员、防尘措施、扬尘监督管理部门、举报投诉电话等信息；</w:t>
            </w:r>
          </w:p>
          <w:p>
            <w:pPr>
              <w:ind w:firstLine="480"/>
            </w:pPr>
            <w:r>
              <w:rPr>
                <w:rFonts w:hint="eastAsia"/>
              </w:rPr>
              <w:t>(</w:t>
            </w:r>
            <w:r>
              <w:t>3</w:t>
            </w:r>
            <w:r>
              <w:rPr>
                <w:rFonts w:hint="eastAsia"/>
              </w:rPr>
              <w:t>)</w:t>
            </w:r>
            <w:r>
              <w:t>施工现场出入口必须配备车辆冲洗设施，设置排水、泥浆沉淀池等设施，建立冲洗制度并设专人管理，严禁车辆带泥上路，配备洒水设备，并有专人负责。重污染天气时相应增加洒水频次；</w:t>
            </w:r>
          </w:p>
          <w:p>
            <w:pPr>
              <w:ind w:firstLine="480"/>
            </w:pPr>
            <w:r>
              <w:rPr>
                <w:rFonts w:hint="eastAsia"/>
              </w:rPr>
              <w:t>(</w:t>
            </w:r>
            <w:r>
              <w:t>4</w:t>
            </w:r>
            <w:r>
              <w:rPr>
                <w:rFonts w:hint="eastAsia"/>
              </w:rPr>
              <w:t>)</w:t>
            </w:r>
            <w:r>
              <w:t>项目主要使用商品混凝土等成品建材，施工现场不设混凝土搅拌站。运输车辆加盖苫布、防止物料飘洒。采取物料堆存过程加盖苫布等措施，施工材料堆存过程对周围环境影响较小；</w:t>
            </w:r>
          </w:p>
          <w:p>
            <w:pPr>
              <w:ind w:firstLine="480"/>
            </w:pPr>
            <w:r>
              <w:rPr>
                <w:rFonts w:hint="eastAsia"/>
              </w:rPr>
              <w:t>(</w:t>
            </w:r>
            <w:r>
              <w:t>5</w:t>
            </w:r>
            <w:r>
              <w:rPr>
                <w:rFonts w:hint="eastAsia"/>
              </w:rPr>
              <w:t>)</w:t>
            </w:r>
            <w:r>
              <w:t>施工现场的建筑垃圾必须设置垃圾存放点</w:t>
            </w:r>
            <w:r>
              <w:rPr>
                <w:rFonts w:hint="eastAsia"/>
              </w:rPr>
              <w:t>，</w:t>
            </w:r>
            <w:r>
              <w:t>集中堆放并严密覆盖，及时清运。生活垃圾应用封闭式容器存放，日产日清，严禁随意丢弃；</w:t>
            </w:r>
          </w:p>
          <w:p>
            <w:pPr>
              <w:ind w:firstLine="480"/>
            </w:pPr>
            <w:r>
              <w:rPr>
                <w:rFonts w:hint="eastAsia"/>
              </w:rPr>
              <w:t>(</w:t>
            </w:r>
            <w:r>
              <w:t>6</w:t>
            </w:r>
            <w:r>
              <w:rPr>
                <w:rFonts w:hint="eastAsia"/>
              </w:rPr>
              <w:t>)</w:t>
            </w:r>
            <w:r>
              <w:t>建筑物内保持干净整洁，清扫时应当洒水防尘；</w:t>
            </w:r>
          </w:p>
          <w:p>
            <w:pPr>
              <w:ind w:firstLine="480"/>
            </w:pPr>
            <w:r>
              <w:rPr>
                <w:rFonts w:hint="eastAsia"/>
              </w:rPr>
              <w:t>(</w:t>
            </w:r>
            <w:r>
              <w:t>7</w:t>
            </w:r>
            <w:r>
              <w:rPr>
                <w:rFonts w:hint="eastAsia"/>
              </w:rPr>
              <w:t>)</w:t>
            </w:r>
            <w:r>
              <w:t>高空作业施工中，施工层建筑垃圾应当采用封闭式管道运送或者装袋用垂直升降机械运送，禁止高空抛掷、扬撒；</w:t>
            </w:r>
          </w:p>
          <w:p>
            <w:pPr>
              <w:ind w:firstLine="480"/>
            </w:pPr>
            <w:r>
              <w:rPr>
                <w:rFonts w:hint="eastAsia"/>
              </w:rPr>
              <w:t>(</w:t>
            </w:r>
            <w:r>
              <w:t>8</w:t>
            </w:r>
            <w:r>
              <w:rPr>
                <w:rFonts w:hint="eastAsia"/>
              </w:rPr>
              <w:t>)</w:t>
            </w:r>
            <w:r>
              <w:t>装饰装修施工中，在施工现场进行机械剔凿、清理作业时应当采取封闭、遮盖、喷淋等防尘措施；</w:t>
            </w:r>
          </w:p>
          <w:p>
            <w:pPr>
              <w:ind w:firstLine="480"/>
            </w:pPr>
            <w:r>
              <w:rPr>
                <w:rFonts w:hint="eastAsia"/>
              </w:rPr>
              <w:t>(</w:t>
            </w:r>
            <w:r>
              <w:t>9</w:t>
            </w:r>
            <w:r>
              <w:rPr>
                <w:rFonts w:hint="eastAsia"/>
              </w:rPr>
              <w:t>)</w:t>
            </w:r>
            <w:r>
              <w:t>施工工地应当安装视频监控设备和扬尘污染物在线监测设备，并分别与建设主管部门、环境保护主管部门的监控设备联网，县级以上人民政府建立统一平台后，并入监控系统进行联网监控。发生故障应当在二十四小时内修复</w:t>
            </w:r>
            <w:r>
              <w:rPr>
                <w:rFonts w:hint="eastAsia"/>
              </w:rPr>
              <w:t>。</w:t>
            </w:r>
          </w:p>
          <w:p>
            <w:pPr>
              <w:ind w:firstLine="480"/>
            </w:pPr>
            <w:r>
              <w:rPr>
                <w:rFonts w:hint="eastAsia"/>
              </w:rPr>
              <w:t>根据《施工场地扬尘排放标准》(DB13/2934-2019)</w:t>
            </w:r>
            <w:r>
              <w:t>，本项目施工场地</w:t>
            </w:r>
            <w:r>
              <w:rPr>
                <w:rFonts w:hint="eastAsia"/>
              </w:rPr>
              <w:t>约为厂房和办公用房的占地范围，</w:t>
            </w:r>
            <w:r>
              <w:t>占地</w:t>
            </w:r>
            <w:r>
              <w:rPr>
                <w:rFonts w:hint="eastAsia"/>
              </w:rPr>
              <w:t>17670</w:t>
            </w:r>
            <w:r>
              <w:t>平米，</w:t>
            </w:r>
            <w:r>
              <w:rPr>
                <w:rFonts w:hint="eastAsia"/>
              </w:rPr>
              <w:t>需</w:t>
            </w:r>
            <w:r>
              <w:t>设置</w:t>
            </w:r>
            <w:r>
              <w:rPr>
                <w:rFonts w:hint="eastAsia"/>
              </w:rPr>
              <w:t>4</w:t>
            </w:r>
            <w:r>
              <w:t>个监测点。</w:t>
            </w:r>
            <w:r>
              <w:rPr>
                <w:rFonts w:hint="eastAsia"/>
              </w:rPr>
              <w:t>根据多年气象统计资料，所在地区无明显主导风向，区域年最多风向为NW风</w:t>
            </w:r>
            <w:r>
              <w:t>，因此确定</w:t>
            </w:r>
            <w:r>
              <w:rPr>
                <w:rFonts w:hint="eastAsia"/>
              </w:rPr>
              <w:t>2</w:t>
            </w:r>
            <w:r>
              <w:t>个监测点位布设于施工场地东南部，</w:t>
            </w:r>
            <w:r>
              <w:rPr>
                <w:rFonts w:hint="eastAsia"/>
              </w:rPr>
              <w:t>1个监测点布设于施工场地西北部，1个监测点位于南部。</w:t>
            </w:r>
            <w:r>
              <w:t>可吸入颗粒物PM10采样口高度一般应设在距地面3.5m±0.5m，采样口到在线监测仪管道长度不应大于2.5m。</w:t>
            </w:r>
          </w:p>
          <w:p>
            <w:pPr>
              <w:widowControl/>
              <w:ind w:firstLine="480"/>
              <w:textAlignment w:val="baseline"/>
            </w:pPr>
            <w:r>
              <w:rPr>
                <w:rFonts w:hint="eastAsia"/>
              </w:rPr>
              <w:t>(</w:t>
            </w:r>
            <w:r>
              <w:t>10</w:t>
            </w:r>
            <w:r>
              <w:rPr>
                <w:rFonts w:hint="eastAsia"/>
              </w:rPr>
              <w:t>)</w:t>
            </w:r>
            <w:r>
              <w:t>遇有4级以上大风或重污染天气预警时，必须采取扬尘防治应急措施，严禁土方开挖、土方回填或其他有可能产生扬尘的作业；</w:t>
            </w:r>
          </w:p>
          <w:p>
            <w:pPr>
              <w:widowControl/>
              <w:ind w:firstLine="480"/>
              <w:textAlignment w:val="baseline"/>
            </w:pPr>
            <w:r>
              <w:rPr>
                <w:rFonts w:hint="eastAsia"/>
              </w:rPr>
              <w:t>(</w:t>
            </w:r>
            <w:r>
              <w:t>11</w:t>
            </w:r>
            <w:r>
              <w:rPr>
                <w:rFonts w:hint="eastAsia"/>
              </w:rPr>
              <w:t>)</w:t>
            </w:r>
            <w:r>
              <w:t>建筑垃圾等应当及时清运，不得高空抛掷、扬撒；不能及时清运的，应当采用遮盖等防尘措施。</w:t>
            </w:r>
          </w:p>
          <w:p>
            <w:pPr>
              <w:ind w:firstLine="482"/>
            </w:pPr>
            <w:r>
              <w:t>2、废水防治措施</w:t>
            </w:r>
          </w:p>
          <w:p>
            <w:pPr>
              <w:ind w:firstLine="480"/>
            </w:pPr>
            <w:r>
              <w:rPr>
                <w:rFonts w:hint="eastAsia"/>
              </w:rPr>
              <w:t>(</w:t>
            </w:r>
            <w:r>
              <w:t>1</w:t>
            </w:r>
            <w:r>
              <w:rPr>
                <w:rFonts w:hint="eastAsia"/>
              </w:rPr>
              <w:t>)</w:t>
            </w:r>
            <w:r>
              <w:t>混凝土养护废水：封闭混凝土中水分不蒸发外逸，水泥依靠混凝土中水分完成水化作用，因水量较小，故废水排放量小，可以不需专门处理；</w:t>
            </w:r>
          </w:p>
          <w:p>
            <w:pPr>
              <w:ind w:firstLine="480"/>
            </w:pPr>
            <w:r>
              <w:rPr>
                <w:rFonts w:hint="eastAsia"/>
              </w:rPr>
              <w:t>(</w:t>
            </w:r>
            <w:r>
              <w:t>2</w:t>
            </w:r>
            <w:r>
              <w:rPr>
                <w:rFonts w:hint="eastAsia"/>
              </w:rPr>
              <w:t>)</w:t>
            </w:r>
            <w:r>
              <w:t>机械和车辆冲洗废水：清洗处设置沉淀池，使排放的废水先经沉淀池沉淀后再回收用于场地洒水降尘；</w:t>
            </w:r>
          </w:p>
          <w:p>
            <w:pPr>
              <w:ind w:firstLine="480"/>
            </w:pPr>
            <w:r>
              <w:rPr>
                <w:rFonts w:hint="eastAsia"/>
              </w:rPr>
              <w:t>(</w:t>
            </w:r>
            <w:r>
              <w:t>3</w:t>
            </w:r>
            <w:r>
              <w:rPr>
                <w:rFonts w:hint="eastAsia"/>
              </w:rPr>
              <w:t>)</w:t>
            </w:r>
            <w:r>
              <w:t>施工人员生活污水：施工现场不设餐厅</w:t>
            </w:r>
            <w:r>
              <w:rPr>
                <w:rFonts w:hint="eastAsia"/>
              </w:rPr>
              <w:t>，</w:t>
            </w:r>
            <w:r>
              <w:t>本项目不设置施工人员生活区，生活污水主要为施工人员的盥洗污水，可直接泼洒地面。</w:t>
            </w:r>
          </w:p>
          <w:p>
            <w:pPr>
              <w:ind w:firstLine="482"/>
            </w:pPr>
            <w:r>
              <w:t>3、噪声防治措施</w:t>
            </w:r>
          </w:p>
          <w:p>
            <w:pPr>
              <w:autoSpaceDE w:val="0"/>
              <w:autoSpaceDN w:val="0"/>
              <w:ind w:firstLine="480"/>
            </w:pPr>
            <w:r>
              <w:rPr>
                <w:rFonts w:hint="eastAsia"/>
              </w:rPr>
              <w:t>(</w:t>
            </w:r>
            <w:r>
              <w:t>1</w:t>
            </w:r>
            <w:r>
              <w:rPr>
                <w:rFonts w:hint="eastAsia"/>
              </w:rPr>
              <w:t>)</w:t>
            </w:r>
            <w:r>
              <w:t>整体设备应安放稳固，并与地面保持良好接触，尽量使用减振机座；</w:t>
            </w:r>
          </w:p>
          <w:p>
            <w:pPr>
              <w:autoSpaceDE w:val="0"/>
              <w:autoSpaceDN w:val="0"/>
              <w:ind w:firstLine="480"/>
            </w:pPr>
            <w:r>
              <w:rPr>
                <w:rFonts w:hint="eastAsia"/>
              </w:rPr>
              <w:t>(</w:t>
            </w:r>
            <w:r>
              <w:t>2</w:t>
            </w:r>
            <w:r>
              <w:rPr>
                <w:rFonts w:hint="eastAsia"/>
              </w:rPr>
              <w:t>)</w:t>
            </w:r>
            <w:r>
              <w:t>施工时对运输车辆采取进入施工场地减速、平稳启动的措施；</w:t>
            </w:r>
          </w:p>
          <w:p>
            <w:pPr>
              <w:autoSpaceDE w:val="0"/>
              <w:autoSpaceDN w:val="0"/>
              <w:ind w:firstLine="480"/>
            </w:pPr>
            <w:r>
              <w:rPr>
                <w:rFonts w:hint="eastAsia"/>
              </w:rPr>
              <w:t>(</w:t>
            </w:r>
            <w:r>
              <w:t>3</w:t>
            </w:r>
            <w:r>
              <w:rPr>
                <w:rFonts w:hint="eastAsia"/>
              </w:rPr>
              <w:t>)</w:t>
            </w:r>
            <w:r>
              <w:t>在施工场地周围设置2.5m高的彩钢板围挡；</w:t>
            </w:r>
          </w:p>
          <w:p>
            <w:pPr>
              <w:autoSpaceDE w:val="0"/>
              <w:autoSpaceDN w:val="0"/>
              <w:ind w:firstLine="480"/>
            </w:pPr>
            <w:r>
              <w:rPr>
                <w:rFonts w:hint="eastAsia"/>
              </w:rPr>
              <w:t>(</w:t>
            </w:r>
            <w:r>
              <w:t>4</w:t>
            </w:r>
            <w:r>
              <w:rPr>
                <w:rFonts w:hint="eastAsia"/>
              </w:rPr>
              <w:t>)</w:t>
            </w:r>
            <w:r>
              <w:t>装载机、吊车等设备施工时应尽量靠近场界内侧，降低对厂界周边的影响；</w:t>
            </w:r>
          </w:p>
          <w:p>
            <w:pPr>
              <w:autoSpaceDE w:val="0"/>
              <w:autoSpaceDN w:val="0"/>
              <w:ind w:firstLine="480"/>
            </w:pPr>
            <w:r>
              <w:rPr>
                <w:rFonts w:hint="eastAsia"/>
              </w:rPr>
              <w:t>(</w:t>
            </w:r>
            <w:r>
              <w:t>5</w:t>
            </w:r>
            <w:r>
              <w:rPr>
                <w:rFonts w:hint="eastAsia"/>
              </w:rPr>
              <w:t>)</w:t>
            </w:r>
            <w:r>
              <w:t>使用低频环保型振捣器并由专人操作，尽量减少与模板的碰撞。</w:t>
            </w:r>
          </w:p>
          <w:p>
            <w:pPr>
              <w:ind w:firstLine="482"/>
            </w:pPr>
            <w:r>
              <w:t>4、固体废物防治措施</w:t>
            </w:r>
          </w:p>
          <w:p>
            <w:pPr>
              <w:autoSpaceDE w:val="0"/>
              <w:autoSpaceDN w:val="0"/>
              <w:ind w:firstLine="480"/>
              <w:rPr>
                <w:rFonts w:hint="default" w:eastAsia="宋体"/>
                <w:lang w:val="en-US" w:eastAsia="zh-CN"/>
              </w:rPr>
            </w:pPr>
            <w:r>
              <w:rPr>
                <w:rFonts w:hint="eastAsia"/>
              </w:rPr>
              <w:t>(1)</w:t>
            </w:r>
            <w:r>
              <w:rPr>
                <w:rFonts w:hint="eastAsia"/>
                <w:lang w:val="en-US" w:eastAsia="zh-CN"/>
              </w:rPr>
              <w:t>拆除工程固废：一般固废</w:t>
            </w:r>
            <w:r>
              <w:rPr>
                <w:rFonts w:hint="eastAsia" w:hAnsi="宋体" w:cs="宋体"/>
                <w:szCs w:val="25"/>
                <w:highlight w:val="none"/>
              </w:rPr>
              <w:t>送城建部门指定地点处置</w:t>
            </w:r>
            <w:r>
              <w:rPr>
                <w:rFonts w:hint="eastAsia" w:hAnsi="宋体" w:cs="宋体"/>
                <w:szCs w:val="25"/>
                <w:highlight w:val="none"/>
                <w:lang w:eastAsia="zh-CN"/>
              </w:rPr>
              <w:t>，</w:t>
            </w:r>
            <w:r>
              <w:rPr>
                <w:highlight w:val="none"/>
              </w:rPr>
              <w:t>在外运过程中用苫布覆盖，避免沿途遗洒，并按城建</w:t>
            </w:r>
            <w:r>
              <w:rPr>
                <w:kern w:val="0"/>
                <w:highlight w:val="none"/>
              </w:rPr>
              <w:t>部门</w:t>
            </w:r>
            <w:r>
              <w:rPr>
                <w:highlight w:val="none"/>
              </w:rPr>
              <w:t>指定路线行驶</w:t>
            </w:r>
            <w:r>
              <w:rPr>
                <w:rFonts w:hint="eastAsia"/>
                <w:highlight w:val="none"/>
              </w:rPr>
              <w:t>，不会对周围环境产生较大不利影响</w:t>
            </w:r>
            <w:r>
              <w:rPr>
                <w:rFonts w:hint="eastAsia"/>
                <w:highlight w:val="none"/>
                <w:lang w:eastAsia="zh-CN"/>
              </w:rPr>
              <w:t>；</w:t>
            </w:r>
            <w:r>
              <w:rPr>
                <w:rFonts w:hint="eastAsia"/>
                <w:highlight w:val="none"/>
                <w:lang w:val="en-US" w:eastAsia="zh-CN"/>
              </w:rPr>
              <w:t>废油、油污抹布等依托迁安市九江线材有限责任公司原有危废间存储，并定期交由有资质的单位处置。</w:t>
            </w:r>
          </w:p>
          <w:p>
            <w:pPr>
              <w:autoSpaceDE w:val="0"/>
              <w:autoSpaceDN w:val="0"/>
              <w:ind w:firstLine="480"/>
            </w:pPr>
            <w:r>
              <w:rPr>
                <w:rFonts w:hint="eastAsia"/>
                <w:lang w:val="en-US" w:eastAsia="zh-CN"/>
              </w:rPr>
              <w:t>(2)</w:t>
            </w:r>
            <w:r>
              <w:t>施工弃土处置：地基开挖的废土除部分回填外，应统一规划处置，对弃土应设立堆土场，进行集中处置。</w:t>
            </w:r>
          </w:p>
          <w:p>
            <w:pPr>
              <w:autoSpaceDE w:val="0"/>
              <w:autoSpaceDN w:val="0"/>
              <w:ind w:firstLine="480"/>
            </w:pPr>
            <w:r>
              <w:rPr>
                <w:rFonts w:hint="eastAsia"/>
              </w:rPr>
              <w:t>(</w:t>
            </w:r>
            <w:r>
              <w:rPr>
                <w:rFonts w:hint="eastAsia"/>
                <w:lang w:val="en-US" w:eastAsia="zh-CN"/>
              </w:rPr>
              <w:t>3</w:t>
            </w:r>
            <w:r>
              <w:rPr>
                <w:rFonts w:hint="eastAsia"/>
              </w:rPr>
              <w:t>)</w:t>
            </w:r>
            <w:r>
              <w:t>施工生产废料处理：首先应考虑废料的回收利用。对钢筋、钢板等下脚料可分类回收利用；对建筑垃圾，如混凝土废料、含砖、石、砂的杂土应集中堆放，定时清运到城市建设监管部门指定的地点。</w:t>
            </w:r>
          </w:p>
          <w:p>
            <w:pPr>
              <w:autoSpaceDE w:val="0"/>
              <w:autoSpaceDN w:val="0"/>
              <w:ind w:firstLine="480"/>
            </w:pPr>
            <w:r>
              <w:rPr>
                <w:rFonts w:hint="eastAsia"/>
              </w:rPr>
              <w:t>(</w:t>
            </w:r>
            <w:r>
              <w:rPr>
                <w:rFonts w:hint="eastAsia"/>
                <w:lang w:val="en-US" w:eastAsia="zh-CN"/>
              </w:rPr>
              <w:t>4</w:t>
            </w:r>
            <w:r>
              <w:rPr>
                <w:rFonts w:hint="eastAsia"/>
              </w:rPr>
              <w:t>)施工生活垃圾处置：在施工场地内设置垃圾桶，指派专人定期将垃圾定时清运至城市垃圾处理场。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1" w:hRule="atLeast"/>
          <w:jc w:val="center"/>
        </w:trPr>
        <w:tc>
          <w:tcPr>
            <w:tcW w:w="818" w:type="dxa"/>
            <w:tcMar>
              <w:left w:w="28" w:type="dxa"/>
              <w:right w:w="28" w:type="dxa"/>
            </w:tcMar>
            <w:vAlign w:val="center"/>
          </w:tcPr>
          <w:p>
            <w:pPr>
              <w:widowControl/>
              <w:adjustRightInd w:val="0"/>
              <w:snapToGrid w:val="0"/>
              <w:spacing w:line="240" w:lineRule="auto"/>
              <w:ind w:firstLine="0" w:firstLineChars="0"/>
              <w:jc w:val="center"/>
              <w:rPr>
                <w:sz w:val="21"/>
                <w:szCs w:val="21"/>
              </w:rPr>
            </w:pPr>
            <w:r>
              <w:rPr>
                <w:sz w:val="21"/>
                <w:szCs w:val="21"/>
              </w:rPr>
              <w:t>运营</w:t>
            </w:r>
          </w:p>
          <w:p>
            <w:pPr>
              <w:widowControl/>
              <w:adjustRightInd w:val="0"/>
              <w:snapToGrid w:val="0"/>
              <w:spacing w:line="240" w:lineRule="auto"/>
              <w:ind w:firstLine="0" w:firstLineChars="0"/>
              <w:jc w:val="center"/>
              <w:rPr>
                <w:sz w:val="21"/>
                <w:szCs w:val="21"/>
              </w:rPr>
            </w:pPr>
            <w:r>
              <w:rPr>
                <w:sz w:val="21"/>
                <w:szCs w:val="21"/>
              </w:rPr>
              <w:t>期环</w:t>
            </w:r>
          </w:p>
          <w:p>
            <w:pPr>
              <w:widowControl/>
              <w:adjustRightInd w:val="0"/>
              <w:snapToGrid w:val="0"/>
              <w:spacing w:line="240" w:lineRule="auto"/>
              <w:ind w:firstLine="0" w:firstLineChars="0"/>
              <w:jc w:val="center"/>
              <w:rPr>
                <w:sz w:val="21"/>
                <w:szCs w:val="21"/>
              </w:rPr>
            </w:pPr>
            <w:r>
              <w:rPr>
                <w:sz w:val="21"/>
                <w:szCs w:val="21"/>
              </w:rPr>
              <w:t>境影</w:t>
            </w:r>
          </w:p>
          <w:p>
            <w:pPr>
              <w:widowControl/>
              <w:adjustRightInd w:val="0"/>
              <w:snapToGrid w:val="0"/>
              <w:spacing w:line="240" w:lineRule="auto"/>
              <w:ind w:firstLine="0" w:firstLineChars="0"/>
              <w:jc w:val="center"/>
              <w:rPr>
                <w:sz w:val="21"/>
                <w:szCs w:val="21"/>
              </w:rPr>
            </w:pPr>
            <w:r>
              <w:rPr>
                <w:sz w:val="21"/>
                <w:szCs w:val="21"/>
              </w:rPr>
              <w:t>响和</w:t>
            </w:r>
          </w:p>
          <w:p>
            <w:pPr>
              <w:pStyle w:val="72"/>
              <w:adjustRightInd w:val="0"/>
              <w:snapToGrid w:val="0"/>
              <w:spacing w:before="0" w:beforeAutospacing="0" w:after="0" w:afterAutospacing="0" w:line="240" w:lineRule="auto"/>
              <w:ind w:firstLine="0" w:firstLineChars="0"/>
              <w:jc w:val="center"/>
              <w:rPr>
                <w:rFonts w:ascii="Times New Roman" w:hAnsi="Times New Roman" w:eastAsiaTheme="minorEastAsia"/>
                <w:kern w:val="2"/>
                <w:szCs w:val="24"/>
              </w:rPr>
            </w:pPr>
            <w:r>
              <w:rPr>
                <w:rFonts w:ascii="Times New Roman" w:hAnsi="Times New Roman"/>
                <w:sz w:val="21"/>
                <w:szCs w:val="21"/>
              </w:rPr>
              <w:t>保护措施</w:t>
            </w:r>
          </w:p>
        </w:tc>
        <w:tc>
          <w:tcPr>
            <w:tcW w:w="8163" w:type="dxa"/>
            <w:vAlign w:val="center"/>
          </w:tcPr>
          <w:p>
            <w:pPr>
              <w:adjustRightInd w:val="0"/>
              <w:snapToGrid w:val="0"/>
              <w:ind w:firstLine="480"/>
            </w:pPr>
            <w:r>
              <w:t>1、废气治理措施及影响分析</w:t>
            </w:r>
          </w:p>
          <w:p>
            <w:pPr>
              <w:adjustRightInd w:val="0"/>
              <w:snapToGrid w:val="0"/>
              <w:ind w:firstLine="480"/>
            </w:pPr>
            <w:r>
              <w:t>本项目运营期废气污染物主要为</w:t>
            </w:r>
            <w:r>
              <w:rPr>
                <w:rFonts w:hint="eastAsia"/>
              </w:rPr>
              <w:t>锅炉燃烧废气，锅炉采用低氮燃烧器，废气经SCR脱硝+干法脱硫+布袋除尘器后，由100m高排气筒排放。</w:t>
            </w:r>
          </w:p>
          <w:p>
            <w:pPr>
              <w:adjustRightInd w:val="0"/>
              <w:snapToGrid w:val="0"/>
              <w:ind w:firstLine="480"/>
            </w:pPr>
            <w:r>
              <w:rPr>
                <w:rFonts w:hint="eastAsia"/>
              </w:rPr>
              <w:t>(1)废气源强</w:t>
            </w:r>
          </w:p>
          <w:p>
            <w:pPr>
              <w:widowControl/>
              <w:ind w:firstLine="480"/>
              <w:jc w:val="both"/>
            </w:pPr>
            <w:r>
              <w:t>项目废气污染源为煤气锅炉产生的烟气。煤气锅炉以净化后的高炉煤气</w:t>
            </w:r>
            <w:r>
              <w:rPr>
                <w:rFonts w:hint="eastAsia"/>
              </w:rPr>
              <w:t>和转炉煤气</w:t>
            </w:r>
            <w:r>
              <w:t>为燃料，加装低氮燃烧器，燃烧后的烟气</w:t>
            </w:r>
            <w:r>
              <w:rPr>
                <w:rFonts w:hint="eastAsia"/>
              </w:rPr>
              <w:t>经SCR脱硝+干法脱硫+布袋除尘器后，由100m高排气筒排放。</w:t>
            </w:r>
            <w:r>
              <w:t>高炉煤气消耗量为</w:t>
            </w:r>
            <w:r>
              <w:rPr>
                <w:rFonts w:hint="eastAsia"/>
              </w:rPr>
              <w:t>214422</w:t>
            </w:r>
            <w:r>
              <w:t>万m</w:t>
            </w:r>
            <w:r>
              <w:rPr>
                <w:vertAlign w:val="superscript"/>
              </w:rPr>
              <w:t>3</w:t>
            </w:r>
            <w:r>
              <w:t>/a，</w:t>
            </w:r>
            <w:r>
              <w:rPr>
                <w:rFonts w:hint="eastAsia"/>
              </w:rPr>
              <w:t>转炉煤气消耗量为23825</w:t>
            </w:r>
            <w:r>
              <w:t>万m</w:t>
            </w:r>
            <w:r>
              <w:rPr>
                <w:vertAlign w:val="superscript"/>
              </w:rPr>
              <w:t>3</w:t>
            </w:r>
            <w:r>
              <w:t>/a</w:t>
            </w:r>
            <w:r>
              <w:rPr>
                <w:rFonts w:hint="eastAsia"/>
              </w:rPr>
              <w:t>，</w:t>
            </w:r>
            <w:r>
              <w:t>项目年工作时间8000h。参照《排放源统计调查产排污核算方法和系数手册》</w:t>
            </w:r>
            <w:r>
              <w:rPr>
                <w:rFonts w:hint="eastAsia"/>
              </w:rPr>
              <w:t>(</w:t>
            </w:r>
            <w:r>
              <w:t>生态环境部公告2021年第24号</w:t>
            </w:r>
            <w:r>
              <w:rPr>
                <w:rFonts w:hint="eastAsia"/>
              </w:rPr>
              <w:t>)4430工业锅炉(热力供应)行业系数手册</w:t>
            </w:r>
            <w:r>
              <w:t>，</w:t>
            </w:r>
            <w:r>
              <w:rPr>
                <w:rFonts w:hint="eastAsia"/>
              </w:rPr>
              <w:t>转炉、高炉混合煤气工业废气量为18047</w:t>
            </w:r>
            <w:r>
              <w:t>Nm</w:t>
            </w:r>
            <w:r>
              <w:rPr>
                <w:vertAlign w:val="superscript"/>
              </w:rPr>
              <w:t>3</w:t>
            </w:r>
            <w:r>
              <w:t>/万m</w:t>
            </w:r>
            <w:r>
              <w:rPr>
                <w:vertAlign w:val="superscript"/>
              </w:rPr>
              <w:t>3</w:t>
            </w:r>
            <w:r>
              <w:t>原料，SO</w:t>
            </w:r>
            <w:r>
              <w:rPr>
                <w:vertAlign w:val="subscript"/>
              </w:rPr>
              <w:t>2</w:t>
            </w:r>
            <w:r>
              <w:t>产生量为0.02Skg/万m</w:t>
            </w:r>
            <w:r>
              <w:rPr>
                <w:vertAlign w:val="superscript"/>
              </w:rPr>
              <w:t>3</w:t>
            </w:r>
            <w:r>
              <w:rPr>
                <w:rFonts w:hint="eastAsia"/>
              </w:rPr>
              <w:t>(</w:t>
            </w:r>
            <w:r>
              <w:t>高炉煤气</w:t>
            </w:r>
            <w:r>
              <w:rPr>
                <w:rFonts w:hint="eastAsia"/>
              </w:rPr>
              <w:t>含硫量按照50</w:t>
            </w:r>
            <w:r>
              <w:t>mg/m</w:t>
            </w:r>
            <w:r>
              <w:rPr>
                <w:vertAlign w:val="superscript"/>
              </w:rPr>
              <w:t>3</w:t>
            </w:r>
            <w:r>
              <w:rPr>
                <w:rFonts w:hint="eastAsia"/>
              </w:rPr>
              <w:t>计算)</w:t>
            </w:r>
            <w:r>
              <w:t>，氮氧化物产生量为0.</w:t>
            </w:r>
            <w:r>
              <w:rPr>
                <w:rFonts w:hint="eastAsia"/>
              </w:rPr>
              <w:t>64</w:t>
            </w:r>
            <w:r>
              <w:t>kg/万m</w:t>
            </w:r>
            <w:r>
              <w:rPr>
                <w:vertAlign w:val="superscript"/>
              </w:rPr>
              <w:t>3</w:t>
            </w:r>
            <w:r>
              <w:t>原料，因此，煤气燃烧后烟气量为</w:t>
            </w:r>
            <w:r>
              <w:rPr>
                <w:rFonts w:hint="eastAsia"/>
              </w:rPr>
              <w:t>429964.3609</w:t>
            </w:r>
            <w:r>
              <w:t>N万m</w:t>
            </w:r>
            <w:r>
              <w:rPr>
                <w:vertAlign w:val="superscript"/>
              </w:rPr>
              <w:t>3</w:t>
            </w:r>
            <w:r>
              <w:t>/a</w:t>
            </w:r>
            <w:r>
              <w:rPr>
                <w:rFonts w:hint="eastAsia"/>
              </w:rPr>
              <w:t>(537455.4511</w:t>
            </w:r>
            <w:r>
              <w:t>Nm</w:t>
            </w:r>
            <w:r>
              <w:rPr>
                <w:vertAlign w:val="superscript"/>
              </w:rPr>
              <w:t>3</w:t>
            </w:r>
            <w:r>
              <w:t>/h</w:t>
            </w:r>
            <w:r>
              <w:rPr>
                <w:rFonts w:hint="eastAsia"/>
              </w:rPr>
              <w:t>)</w:t>
            </w:r>
            <w:r>
              <w:t>，SO</w:t>
            </w:r>
            <w:r>
              <w:rPr>
                <w:vertAlign w:val="subscript"/>
              </w:rPr>
              <w:t>2</w:t>
            </w:r>
            <w:r>
              <w:t>产生量为</w:t>
            </w:r>
            <w:r>
              <w:rPr>
                <w:rFonts w:hint="eastAsia"/>
              </w:rPr>
              <w:t>214.422</w:t>
            </w:r>
            <w:r>
              <w:t>t/a</w:t>
            </w:r>
            <w:r>
              <w:rPr>
                <w:rFonts w:hint="eastAsia"/>
              </w:rPr>
              <w:t>(</w:t>
            </w:r>
            <w:r>
              <w:rPr>
                <w:rFonts w:hint="eastAsia"/>
                <w:spacing w:val="-20"/>
              </w:rPr>
              <w:t>26.803</w:t>
            </w:r>
            <w:r>
              <w:rPr>
                <w:spacing w:val="-20"/>
              </w:rPr>
              <w:t>kg/h</w:t>
            </w:r>
            <w:r>
              <w:rPr>
                <w:rFonts w:hint="eastAsia"/>
              </w:rPr>
              <w:t>)</w:t>
            </w:r>
            <w:r>
              <w:t>，NO</w:t>
            </w:r>
            <w:r>
              <w:rPr>
                <w:vertAlign w:val="subscript"/>
              </w:rPr>
              <w:t>X</w:t>
            </w:r>
            <w:r>
              <w:t>产生量为</w:t>
            </w:r>
            <w:r>
              <w:rPr>
                <w:rFonts w:hint="eastAsia"/>
              </w:rPr>
              <w:t>152.478</w:t>
            </w:r>
            <w:r>
              <w:t>t/a</w:t>
            </w:r>
            <w:r>
              <w:rPr>
                <w:rFonts w:hint="eastAsia"/>
              </w:rPr>
              <w:t>(19.06</w:t>
            </w:r>
            <w:r>
              <w:t>kg/h</w:t>
            </w:r>
            <w:r>
              <w:rPr>
                <w:rFonts w:hint="eastAsia"/>
              </w:rPr>
              <w:t>)</w:t>
            </w:r>
            <w:r>
              <w:t>。</w:t>
            </w:r>
          </w:p>
          <w:p>
            <w:pPr>
              <w:adjustRightInd w:val="0"/>
              <w:snapToGrid w:val="0"/>
              <w:ind w:firstLine="480"/>
              <w:jc w:val="both"/>
            </w:pPr>
            <w:r>
              <w:t>根据企业提供资料，干法脱硫效率可达8</w:t>
            </w:r>
            <w:r>
              <w:rPr>
                <w:rFonts w:hint="eastAsia"/>
              </w:rPr>
              <w:t>5</w:t>
            </w:r>
            <w:r>
              <w:t>%以上，本次按照8</w:t>
            </w:r>
            <w:r>
              <w:rPr>
                <w:rFonts w:hint="eastAsia"/>
              </w:rPr>
              <w:t>5</w:t>
            </w:r>
            <w:r>
              <w:t>%计算，则SO</w:t>
            </w:r>
            <w:r>
              <w:rPr>
                <w:vertAlign w:val="subscript"/>
              </w:rPr>
              <w:t>2</w:t>
            </w:r>
            <w:r>
              <w:t>排放量为</w:t>
            </w:r>
            <w:r>
              <w:rPr>
                <w:rFonts w:hint="eastAsia"/>
              </w:rPr>
              <w:t>32.163</w:t>
            </w:r>
            <w:r>
              <w:t>t/a，排放速率为</w:t>
            </w:r>
            <w:r>
              <w:rPr>
                <w:rFonts w:hint="eastAsia"/>
              </w:rPr>
              <w:t>4.02</w:t>
            </w:r>
            <w:r>
              <w:t>kg/h，排放浓度为</w:t>
            </w:r>
            <w:r>
              <w:rPr>
                <w:rFonts w:hint="eastAsia"/>
              </w:rPr>
              <w:t>7.48</w:t>
            </w:r>
            <w:r>
              <w:t>mg/Nm</w:t>
            </w:r>
            <w:r>
              <w:rPr>
                <w:vertAlign w:val="superscript"/>
              </w:rPr>
              <w:t>3</w:t>
            </w:r>
            <w:r>
              <w:t>。低氮燃烧器+SCR的脱硝效率为70%-90%，本次按照70%计算，则NO</w:t>
            </w:r>
            <w:r>
              <w:rPr>
                <w:vertAlign w:val="subscript"/>
              </w:rPr>
              <w:t>X</w:t>
            </w:r>
            <w:r>
              <w:t>排放量为</w:t>
            </w:r>
            <w:r>
              <w:rPr>
                <w:rFonts w:hint="eastAsia"/>
              </w:rPr>
              <w:t>45.743</w:t>
            </w:r>
            <w:r>
              <w:t>t/a，排放速率为</w:t>
            </w:r>
            <w:r>
              <w:rPr>
                <w:rFonts w:hint="eastAsia"/>
              </w:rPr>
              <w:t>5.718</w:t>
            </w:r>
            <w:r>
              <w:t>kg/h，排放浓度为</w:t>
            </w:r>
            <w:r>
              <w:rPr>
                <w:rFonts w:hint="eastAsia"/>
              </w:rPr>
              <w:t>10.64</w:t>
            </w:r>
            <w:r>
              <w:t>mg/Nm</w:t>
            </w:r>
            <w:r>
              <w:rPr>
                <w:vertAlign w:val="superscript"/>
              </w:rPr>
              <w:t>3</w:t>
            </w:r>
            <w:r>
              <w:t>。</w:t>
            </w:r>
          </w:p>
          <w:p>
            <w:pPr>
              <w:pStyle w:val="1514"/>
              <w:widowControl w:val="0"/>
              <w:autoSpaceDE w:val="0"/>
              <w:adjustRightInd w:val="0"/>
              <w:snapToGrid w:val="0"/>
              <w:ind w:firstLine="480"/>
              <w:jc w:val="both"/>
              <w:rPr>
                <w:rFonts w:ascii="Times New Roman" w:hAnsi="Times New Roman" w:cs="Times New Roman"/>
                <w:snapToGrid w:val="0"/>
              </w:rPr>
            </w:pPr>
            <w:r>
              <w:rPr>
                <w:rFonts w:ascii="Times New Roman" w:hAnsi="Times New Roman" w:cs="Times New Roman"/>
                <w:snapToGrid w:val="0"/>
              </w:rPr>
              <w:t>颗粒物排放情况类比唐山松汀钢铁有限公司2×50MW超高温超高压煤气发电工程竣工环境保护验收监测报告的废气监测数据</w:t>
            </w:r>
            <w:r>
              <w:rPr>
                <w:rFonts w:hint="eastAsia" w:ascii="Times New Roman" w:hAnsi="Times New Roman" w:cs="Times New Roman"/>
                <w:snapToGrid w:val="0"/>
              </w:rPr>
              <w:t>(</w:t>
            </w:r>
            <w:r>
              <w:rPr>
                <w:rFonts w:ascii="Times New Roman" w:hAnsi="Times New Roman" w:cs="Times New Roman"/>
                <w:snapToGrid w:val="0"/>
              </w:rPr>
              <w:t>德禹</w:t>
            </w:r>
            <w:r>
              <w:rPr>
                <w:rFonts w:hint="eastAsia" w:ascii="Times New Roman" w:hAnsi="Times New Roman" w:cs="Times New Roman"/>
                <w:snapToGrid w:val="0"/>
              </w:rPr>
              <w:t>(</w:t>
            </w:r>
            <w:r>
              <w:rPr>
                <w:rFonts w:ascii="Times New Roman" w:hAnsi="Times New Roman" w:cs="Times New Roman"/>
                <w:snapToGrid w:val="0"/>
              </w:rPr>
              <w:t>验</w:t>
            </w:r>
            <w:r>
              <w:rPr>
                <w:rFonts w:hint="eastAsia" w:ascii="Times New Roman" w:hAnsi="Times New Roman" w:cs="Times New Roman"/>
                <w:snapToGrid w:val="0"/>
              </w:rPr>
              <w:t>)</w:t>
            </w:r>
            <w:r>
              <w:rPr>
                <w:rFonts w:ascii="Times New Roman" w:hAnsi="Times New Roman" w:cs="Times New Roman"/>
                <w:snapToGrid w:val="0"/>
              </w:rPr>
              <w:t>字第202009012号</w:t>
            </w:r>
            <w:r>
              <w:rPr>
                <w:rFonts w:hint="eastAsia" w:ascii="Times New Roman" w:hAnsi="Times New Roman" w:cs="Times New Roman"/>
                <w:snapToGrid w:val="0"/>
              </w:rPr>
              <w:t>)</w:t>
            </w:r>
            <w:r>
              <w:rPr>
                <w:rFonts w:ascii="Times New Roman" w:hAnsi="Times New Roman" w:cs="Times New Roman"/>
                <w:snapToGrid w:val="0"/>
              </w:rPr>
              <w:t>，</w:t>
            </w:r>
            <w:r>
              <w:rPr>
                <w:rFonts w:ascii="Times New Roman" w:hAnsi="Times New Roman" w:cs="Times New Roman"/>
              </w:rPr>
              <w:t>颗粒物排放浓度为3.5mg/m</w:t>
            </w:r>
            <w:r>
              <w:rPr>
                <w:rFonts w:ascii="Times New Roman" w:hAnsi="Times New Roman" w:cs="Times New Roman"/>
                <w:vertAlign w:val="superscript"/>
              </w:rPr>
              <w:t>3</w:t>
            </w:r>
            <w:r>
              <w:rPr>
                <w:rFonts w:hint="eastAsia" w:ascii="Times New Roman" w:hAnsi="Times New Roman" w:cs="Times New Roman"/>
                <w:snapToGrid w:val="0"/>
              </w:rPr>
              <w:t>，排放速率为1.881kg/h，排放量为15.049t/a。</w:t>
            </w:r>
          </w:p>
          <w:p>
            <w:pPr>
              <w:pStyle w:val="1514"/>
              <w:widowControl w:val="0"/>
              <w:autoSpaceDE w:val="0"/>
              <w:adjustRightInd w:val="0"/>
              <w:snapToGrid w:val="0"/>
              <w:ind w:firstLine="480"/>
              <w:jc w:val="both"/>
              <w:rPr>
                <w:rFonts w:ascii="Times New Roman" w:hAnsi="Times New Roman" w:cs="Times New Roman"/>
                <w:snapToGrid w:val="0"/>
              </w:rPr>
            </w:pPr>
            <w:r>
              <w:rPr>
                <w:rFonts w:hint="eastAsia" w:ascii="Times New Roman" w:hAnsi="Times New Roman" w:cs="Times New Roman"/>
                <w:snapToGrid w:val="0"/>
              </w:rPr>
              <w:t>综上，煤气锅炉排放的颗粒物、二氧化硫和氮氧化物满足《火电厂大气污染物排放标准》(GB13223-2011)表2大气污染物特别排放限值，同时满足唐山市钢铁、焦化超低排放和燃煤电厂深度减排实施方案》唐气领办2018(38)号钢铁企业自备电厂超低排放要求。</w:t>
            </w:r>
          </w:p>
          <w:p>
            <w:pPr>
              <w:autoSpaceDE w:val="0"/>
              <w:adjustRightInd w:val="0"/>
              <w:snapToGrid w:val="0"/>
              <w:ind w:firstLine="480"/>
              <w:rPr>
                <w:kern w:val="24"/>
              </w:rPr>
            </w:pPr>
            <w:r>
              <w:rPr>
                <w:kern w:val="24"/>
              </w:rPr>
              <w:t>项目采用氨法脱硝，会有少量的氨气逃逸，最终与锅炉烟气一并通过排气筒排放，按设计资料，项目SCR脱硝装置氨逃逸</w:t>
            </w:r>
            <w:r>
              <w:rPr>
                <w:rFonts w:hint="eastAsia"/>
                <w:kern w:val="24"/>
              </w:rPr>
              <w:t>量</w:t>
            </w:r>
            <w:r>
              <w:rPr>
                <w:kern w:val="24"/>
              </w:rPr>
              <w:t>≤2.3mg/m</w:t>
            </w:r>
            <w:r>
              <w:rPr>
                <w:kern w:val="24"/>
                <w:vertAlign w:val="superscript"/>
              </w:rPr>
              <w:t>3</w:t>
            </w:r>
            <w:r>
              <w:rPr>
                <w:kern w:val="24"/>
              </w:rPr>
              <w:t>，逃逸量很少；项目氨水罐、管路及其零部件均采用全密闭工艺，减少无组织排放；采用质量可靠的设备、管件及附件，减少“跑、冒、滴、漏”现象；</w:t>
            </w:r>
            <w:r>
              <w:rPr>
                <w:rFonts w:hint="eastAsia" w:ascii="Times New Roman" w:hAnsi="Times New Roman" w:eastAsia="宋体" w:cs="Times New Roman"/>
                <w:kern w:val="24"/>
                <w:lang w:val="en-US" w:eastAsia="zh-CN"/>
              </w:rPr>
              <w:t>装卸料采取平衡管工艺，</w:t>
            </w:r>
            <w:r>
              <w:rPr>
                <w:kern w:val="24"/>
              </w:rPr>
              <w:t>采取上述措施后，无组织排放的氨气很少。项目氨水罐无组织排放的氨能够满足《恶臭污染物排放标准》</w:t>
            </w:r>
            <w:r>
              <w:rPr>
                <w:rFonts w:hint="eastAsia"/>
                <w:kern w:val="24"/>
              </w:rPr>
              <w:t>(</w:t>
            </w:r>
            <w:r>
              <w:rPr>
                <w:kern w:val="24"/>
              </w:rPr>
              <w:t>GB14554-93</w:t>
            </w:r>
            <w:r>
              <w:rPr>
                <w:rFonts w:hint="eastAsia"/>
                <w:kern w:val="24"/>
              </w:rPr>
              <w:t>)</w:t>
            </w:r>
            <w:r>
              <w:rPr>
                <w:kern w:val="24"/>
              </w:rPr>
              <w:t>中厂界排放限值标准，脱硝系统逃逸的氨满足</w:t>
            </w:r>
            <w:r>
              <w:rPr>
                <w:rFonts w:hint="eastAsia"/>
              </w:rPr>
              <w:t>脱硝系统逃逸的氨满足《火电厂氮氧化物防治技术政策》(环发[2010]10号)中相关要求</w:t>
            </w:r>
            <w:r>
              <w:t>。</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ascii="Times New Roman" w:hAnsi="Times New Roman"/>
              </w:rPr>
            </w:pPr>
            <w:r>
              <w:rPr>
                <w:kern w:val="24"/>
              </w:rPr>
              <w:t>项目</w:t>
            </w:r>
            <w:r>
              <w:rPr>
                <w:rFonts w:hint="eastAsia"/>
                <w:kern w:val="24"/>
                <w:lang w:val="en-US" w:eastAsia="zh-CN"/>
              </w:rPr>
              <w:t>30%盐酸存储过程中会产生盐酸雾，通过采用密闭酸罐，管路均采用全密闭工艺，类比同类项目，厂界氯化氢的浓度满足</w:t>
            </w:r>
            <w:r>
              <w:rPr>
                <w:rFonts w:hint="eastAsia" w:ascii="Times New Roman" w:hAnsi="Times New Roman"/>
                <w:lang w:eastAsia="zh-CN"/>
              </w:rPr>
              <w:t>《</w:t>
            </w:r>
            <w:r>
              <w:rPr>
                <w:rFonts w:hint="eastAsia" w:ascii="Times New Roman" w:hAnsi="Times New Roman"/>
                <w:lang w:val="en-US" w:eastAsia="zh-CN"/>
              </w:rPr>
              <w:t>钢铁工业大气污染物超低排放标准</w:t>
            </w:r>
            <w:r>
              <w:rPr>
                <w:rFonts w:hint="eastAsia" w:ascii="Times New Roman" w:hAnsi="Times New Roman"/>
                <w:lang w:eastAsia="zh-CN"/>
              </w:rPr>
              <w:t>》（</w:t>
            </w:r>
            <w:r>
              <w:rPr>
                <w:rFonts w:hint="eastAsia" w:ascii="Times New Roman" w:hAnsi="Times New Roman"/>
                <w:lang w:val="en-US" w:eastAsia="zh-CN"/>
              </w:rPr>
              <w:t>DB13/2169-2018</w:t>
            </w:r>
            <w:r>
              <w:rPr>
                <w:rFonts w:hint="eastAsia" w:ascii="Times New Roman" w:hAnsi="Times New Roman"/>
                <w:lang w:eastAsia="zh-CN"/>
              </w:rPr>
              <w:t>）</w:t>
            </w:r>
            <w:r>
              <w:rPr>
                <w:rFonts w:hint="eastAsia" w:ascii="Times New Roman" w:hAnsi="Times New Roman"/>
                <w:lang w:val="en-US" w:eastAsia="zh-CN"/>
              </w:rPr>
              <w:t>表5氯化氢排放浓度限值</w:t>
            </w:r>
            <w:r>
              <w:rPr>
                <w:rFonts w:ascii="Times New Roman" w:hAnsi="Times New Roman"/>
              </w:rPr>
              <w:t>。</w:t>
            </w:r>
          </w:p>
          <w:p>
            <w:pPr>
              <w:adjustRightInd w:val="0"/>
              <w:snapToGrid w:val="0"/>
              <w:ind w:firstLine="480"/>
              <w:rPr>
                <w:rFonts w:hint="default"/>
                <w:lang w:val="en-US" w:eastAsia="zh-CN"/>
              </w:rPr>
            </w:pPr>
            <w:r>
              <w:rPr>
                <w:rFonts w:hint="eastAsia"/>
                <w:lang w:val="en-US" w:eastAsia="zh-CN"/>
              </w:rPr>
              <w:t>项目主油箱产生的油雾经油雾吸收净化装置(滤芯)吸收后无组织排放。类比同类项目，对周围环境空气质量影响很小。</w:t>
            </w:r>
          </w:p>
          <w:p>
            <w:pPr>
              <w:adjustRightInd w:val="0"/>
              <w:snapToGrid w:val="0"/>
              <w:ind w:firstLine="480"/>
            </w:pPr>
            <w:r>
              <w:t>综上所述，项目运行后对周围环境空气质量影响很小。</w:t>
            </w:r>
          </w:p>
          <w:p>
            <w:pPr>
              <w:ind w:firstLine="480"/>
            </w:pPr>
            <w:r>
              <w:t>项目废气产生、排放情况见表</w:t>
            </w:r>
            <w:r>
              <w:rPr>
                <w:rFonts w:hint="eastAsia"/>
                <w:lang w:val="en-US" w:eastAsia="zh-CN"/>
              </w:rPr>
              <w:t>31</w:t>
            </w:r>
            <w:r>
              <w:t>。</w:t>
            </w:r>
          </w:p>
          <w:p>
            <w:pPr>
              <w:pStyle w:val="1728"/>
              <w:adjustRightInd w:val="0"/>
              <w:snapToGrid w:val="0"/>
              <w:ind w:firstLine="0" w:firstLineChars="0"/>
              <w:jc w:val="center"/>
              <w:rPr>
                <w:b/>
                <w:bCs/>
                <w:szCs w:val="24"/>
              </w:rPr>
            </w:pPr>
            <w:r>
              <w:rPr>
                <w:b/>
                <w:bCs/>
                <w:szCs w:val="24"/>
              </w:rPr>
              <w:t>表</w:t>
            </w:r>
            <w:r>
              <w:rPr>
                <w:rFonts w:hint="eastAsia"/>
                <w:b/>
                <w:bCs/>
                <w:szCs w:val="24"/>
                <w:lang w:val="en-US" w:eastAsia="zh-CN"/>
              </w:rPr>
              <w:t>31</w:t>
            </w:r>
            <w:r>
              <w:rPr>
                <w:b/>
                <w:bCs/>
                <w:szCs w:val="24"/>
              </w:rPr>
              <w:t xml:space="preserve">    项目废气产生、排放情况</w:t>
            </w:r>
          </w:p>
          <w:tbl>
            <w:tblPr>
              <w:tblStyle w:val="7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28" w:type="dxa"/>
                <w:left w:w="0" w:type="dxa"/>
                <w:bottom w:w="28" w:type="dxa"/>
                <w:right w:w="0" w:type="dxa"/>
              </w:tblCellMar>
            </w:tblPr>
            <w:tblGrid>
              <w:gridCol w:w="206"/>
              <w:gridCol w:w="350"/>
              <w:gridCol w:w="574"/>
              <w:gridCol w:w="582"/>
              <w:gridCol w:w="601"/>
              <w:gridCol w:w="893"/>
              <w:gridCol w:w="812"/>
              <w:gridCol w:w="420"/>
              <w:gridCol w:w="414"/>
              <w:gridCol w:w="547"/>
              <w:gridCol w:w="493"/>
              <w:gridCol w:w="442"/>
              <w:gridCol w:w="579"/>
              <w:gridCol w:w="612"/>
              <w:gridCol w:w="4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cantSplit/>
                <w:jc w:val="center"/>
              </w:trPr>
              <w:tc>
                <w:tcPr>
                  <w:tcW w:w="148" w:type="pct"/>
                  <w:vMerge w:val="restar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bCs/>
                      <w:sz w:val="15"/>
                      <w:szCs w:val="15"/>
                    </w:rPr>
                  </w:pPr>
                  <w:r>
                    <w:rPr>
                      <w:rFonts w:hint="default" w:ascii="Times New Roman" w:hAnsi="Times New Roman" w:cs="Times New Roman"/>
                      <w:bCs/>
                      <w:sz w:val="15"/>
                      <w:szCs w:val="15"/>
                    </w:rPr>
                    <w:t>污染源</w:t>
                  </w:r>
                </w:p>
              </w:tc>
              <w:tc>
                <w:tcPr>
                  <w:tcW w:w="238" w:type="pct"/>
                  <w:vMerge w:val="restar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bCs/>
                      <w:sz w:val="15"/>
                      <w:szCs w:val="15"/>
                    </w:rPr>
                  </w:pPr>
                  <w:r>
                    <w:rPr>
                      <w:rFonts w:hint="default" w:ascii="Times New Roman" w:hAnsi="Times New Roman" w:cs="Times New Roman"/>
                      <w:bCs/>
                      <w:sz w:val="15"/>
                      <w:szCs w:val="15"/>
                    </w:rPr>
                    <w:t>污染物</w:t>
                  </w:r>
                </w:p>
              </w:tc>
              <w:tc>
                <w:tcPr>
                  <w:tcW w:w="1159" w:type="pct"/>
                  <w:gridSpan w:val="3"/>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bCs/>
                      <w:sz w:val="15"/>
                      <w:szCs w:val="15"/>
                    </w:rPr>
                  </w:pPr>
                  <w:r>
                    <w:rPr>
                      <w:rFonts w:hint="default" w:ascii="Times New Roman" w:hAnsi="Times New Roman" w:cs="Times New Roman"/>
                      <w:bCs/>
                      <w:sz w:val="15"/>
                      <w:szCs w:val="15"/>
                    </w:rPr>
                    <w:t>污染物产生</w:t>
                  </w:r>
                </w:p>
              </w:tc>
              <w:tc>
                <w:tcPr>
                  <w:tcW w:w="1403" w:type="pct"/>
                  <w:gridSpan w:val="4"/>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bCs/>
                      <w:sz w:val="15"/>
                      <w:szCs w:val="15"/>
                    </w:rPr>
                  </w:pPr>
                  <w:r>
                    <w:rPr>
                      <w:rFonts w:hint="default" w:ascii="Times New Roman" w:hAnsi="Times New Roman" w:cs="Times New Roman"/>
                      <w:bCs/>
                      <w:sz w:val="15"/>
                      <w:szCs w:val="15"/>
                    </w:rPr>
                    <w:t>治理措施</w:t>
                  </w:r>
                </w:p>
              </w:tc>
              <w:tc>
                <w:tcPr>
                  <w:tcW w:w="1368" w:type="pct"/>
                  <w:gridSpan w:val="4"/>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bCs/>
                      <w:sz w:val="15"/>
                      <w:szCs w:val="15"/>
                    </w:rPr>
                  </w:pPr>
                  <w:r>
                    <w:rPr>
                      <w:rFonts w:hint="default" w:ascii="Times New Roman" w:hAnsi="Times New Roman" w:cs="Times New Roman"/>
                      <w:bCs/>
                      <w:sz w:val="15"/>
                      <w:szCs w:val="15"/>
                    </w:rPr>
                    <w:t>污染物排放</w:t>
                  </w:r>
                </w:p>
              </w:tc>
              <w:tc>
                <w:tcPr>
                  <w:tcW w:w="403" w:type="pct"/>
                  <w:vMerge w:val="restar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bCs/>
                      <w:sz w:val="15"/>
                      <w:szCs w:val="15"/>
                    </w:rPr>
                  </w:pPr>
                  <w:r>
                    <w:rPr>
                      <w:rFonts w:hint="default" w:ascii="Times New Roman" w:hAnsi="Times New Roman" w:cs="Times New Roman"/>
                      <w:bCs/>
                      <w:sz w:val="15"/>
                      <w:szCs w:val="15"/>
                    </w:rPr>
                    <w:t>排放标准值</w:t>
                  </w:r>
                </w:p>
                <w:p>
                  <w:pPr>
                    <w:pStyle w:val="128"/>
                    <w:autoSpaceDE w:val="0"/>
                    <w:spacing w:beforeLines="0" w:afterLines="0" w:line="240" w:lineRule="exact"/>
                    <w:ind w:firstLine="0" w:firstLineChars="0"/>
                    <w:rPr>
                      <w:rFonts w:hint="default" w:ascii="Times New Roman" w:hAnsi="Times New Roman" w:cs="Times New Roman"/>
                      <w:bCs/>
                      <w:sz w:val="15"/>
                      <w:szCs w:val="15"/>
                    </w:rPr>
                  </w:pPr>
                  <w:r>
                    <w:rPr>
                      <w:rFonts w:hint="default" w:ascii="Times New Roman" w:hAnsi="Times New Roman" w:cs="Times New Roman"/>
                      <w:bCs/>
                      <w:sz w:val="15"/>
                      <w:szCs w:val="15"/>
                    </w:rPr>
                    <w:t>mg/m³</w:t>
                  </w:r>
                </w:p>
              </w:tc>
              <w:tc>
                <w:tcPr>
                  <w:tcW w:w="277" w:type="pct"/>
                  <w:vMerge w:val="restar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bCs/>
                      <w:sz w:val="15"/>
                      <w:szCs w:val="15"/>
                    </w:rPr>
                  </w:pPr>
                  <w:r>
                    <w:rPr>
                      <w:rFonts w:hint="default" w:ascii="Times New Roman" w:hAnsi="Times New Roman" w:cs="Times New Roman"/>
                      <w:bCs/>
                      <w:sz w:val="15"/>
                      <w:szCs w:val="15"/>
                    </w:rPr>
                    <w:t>排放时间h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cantSplit/>
                <w:jc w:val="center"/>
              </w:trPr>
              <w:tc>
                <w:tcPr>
                  <w:tcW w:w="14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bCs/>
                      <w:kern w:val="0"/>
                      <w:sz w:val="15"/>
                      <w:szCs w:val="15"/>
                    </w:rPr>
                  </w:pPr>
                </w:p>
              </w:tc>
              <w:tc>
                <w:tcPr>
                  <w:tcW w:w="238"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bCs/>
                      <w:kern w:val="0"/>
                      <w:sz w:val="15"/>
                      <w:szCs w:val="15"/>
                    </w:rPr>
                  </w:pPr>
                </w:p>
              </w:tc>
              <w:tc>
                <w:tcPr>
                  <w:tcW w:w="379"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产生浓度mg/m³</w:t>
                  </w:r>
                </w:p>
              </w:tc>
              <w:tc>
                <w:tcPr>
                  <w:tcW w:w="384"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产生速率kg/h</w:t>
                  </w:r>
                </w:p>
              </w:tc>
              <w:tc>
                <w:tcPr>
                  <w:tcW w:w="396"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产生量</w:t>
                  </w:r>
                </w:p>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t/a</w:t>
                  </w:r>
                </w:p>
              </w:tc>
              <w:tc>
                <w:tcPr>
                  <w:tcW w:w="580"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工艺</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处理风量Nm³/h</w:t>
                  </w:r>
                </w:p>
              </w:tc>
              <w:tc>
                <w:tcPr>
                  <w:tcW w:w="282"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去除率</w:t>
                  </w:r>
                </w:p>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w:t>
                  </w:r>
                </w:p>
              </w:tc>
              <w:tc>
                <w:tcPr>
                  <w:tcW w:w="277"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是否可行性技术</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排放形式</w:t>
                  </w:r>
                </w:p>
              </w:tc>
              <w:tc>
                <w:tcPr>
                  <w:tcW w:w="328"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排放浓度mg/m³</w:t>
                  </w:r>
                </w:p>
              </w:tc>
              <w:tc>
                <w:tcPr>
                  <w:tcW w:w="296"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排放速率</w:t>
                  </w:r>
                </w:p>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kg/h</w:t>
                  </w:r>
                </w:p>
              </w:tc>
              <w:tc>
                <w:tcPr>
                  <w:tcW w:w="380"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排放量</w:t>
                  </w:r>
                </w:p>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t/a</w:t>
                  </w:r>
                </w:p>
              </w:tc>
              <w:tc>
                <w:tcPr>
                  <w:tcW w:w="403"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bCs/>
                      <w:kern w:val="0"/>
                      <w:sz w:val="15"/>
                      <w:szCs w:val="15"/>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bCs/>
                      <w:kern w:val="0"/>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cantSplit/>
                <w:jc w:val="center"/>
              </w:trPr>
              <w:tc>
                <w:tcPr>
                  <w:tcW w:w="148" w:type="pct"/>
                  <w:vMerge w:val="restart"/>
                  <w:tcBorders>
                    <w:top w:val="nil"/>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煤气锅炉</w:t>
                  </w:r>
                </w:p>
              </w:tc>
              <w:tc>
                <w:tcPr>
                  <w:tcW w:w="238" w:type="pct"/>
                  <w:tcBorders>
                    <w:top w:val="single" w:color="000000" w:sz="4" w:space="0"/>
                    <w:left w:val="single" w:color="000000" w:sz="4" w:space="0"/>
                    <w:bottom w:val="single" w:color="auto"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颗粒物</w:t>
                  </w:r>
                </w:p>
              </w:tc>
              <w:tc>
                <w:tcPr>
                  <w:tcW w:w="379"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350</w:t>
                  </w:r>
                </w:p>
              </w:tc>
              <w:tc>
                <w:tcPr>
                  <w:tcW w:w="384"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188.11</w:t>
                  </w:r>
                </w:p>
              </w:tc>
              <w:tc>
                <w:tcPr>
                  <w:tcW w:w="396"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1504.875</w:t>
                  </w:r>
                </w:p>
              </w:tc>
              <w:tc>
                <w:tcPr>
                  <w:tcW w:w="580" w:type="pct"/>
                  <w:vMerge w:val="restart"/>
                  <w:tcBorders>
                    <w:top w:val="nil"/>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kern w:val="2"/>
                      <w:sz w:val="15"/>
                      <w:szCs w:val="15"/>
                    </w:rPr>
                  </w:pPr>
                  <w:r>
                    <w:rPr>
                      <w:rFonts w:hint="default" w:ascii="Times New Roman" w:hAnsi="Times New Roman" w:cs="Times New Roman"/>
                      <w:color w:val="000000"/>
                      <w:sz w:val="15"/>
                      <w:szCs w:val="15"/>
                    </w:rPr>
                    <w:t>低氮燃烧器+SCR脱硝+干法脱硫+布袋除尘器+100m排气筒</w:t>
                  </w:r>
                </w:p>
              </w:tc>
              <w:tc>
                <w:tcPr>
                  <w:tcW w:w="263" w:type="pct"/>
                  <w:vMerge w:val="restart"/>
                  <w:tcBorders>
                    <w:top w:val="nil"/>
                    <w:left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lang w:val="en-US" w:eastAsia="zh-CN"/>
                    </w:rPr>
                    <w:t>引风机风量为1150000m</w:t>
                  </w:r>
                  <w:r>
                    <w:rPr>
                      <w:rFonts w:hint="default" w:ascii="Times New Roman" w:hAnsi="Times New Roman" w:cs="Times New Roman"/>
                      <w:sz w:val="15"/>
                      <w:szCs w:val="15"/>
                      <w:vertAlign w:val="superscript"/>
                      <w:lang w:val="en-US" w:eastAsia="zh-CN"/>
                    </w:rPr>
                    <w:t>3</w:t>
                  </w:r>
                  <w:r>
                    <w:rPr>
                      <w:rFonts w:hint="default" w:ascii="Times New Roman" w:hAnsi="Times New Roman" w:cs="Times New Roman"/>
                      <w:sz w:val="15"/>
                      <w:szCs w:val="15"/>
                      <w:lang w:val="en-US" w:eastAsia="zh-CN"/>
                    </w:rPr>
                    <w:t>/h</w:t>
                  </w:r>
                </w:p>
              </w:tc>
              <w:tc>
                <w:tcPr>
                  <w:tcW w:w="282"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99</w:t>
                  </w:r>
                </w:p>
              </w:tc>
              <w:tc>
                <w:tcPr>
                  <w:tcW w:w="277"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是</w:t>
                  </w:r>
                </w:p>
              </w:tc>
              <w:tc>
                <w:tcPr>
                  <w:tcW w:w="362"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有组织</w:t>
                  </w:r>
                </w:p>
              </w:tc>
              <w:tc>
                <w:tcPr>
                  <w:tcW w:w="328"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3.5</w:t>
                  </w:r>
                </w:p>
              </w:tc>
              <w:tc>
                <w:tcPr>
                  <w:tcW w:w="296"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1.881</w:t>
                  </w:r>
                </w:p>
              </w:tc>
              <w:tc>
                <w:tcPr>
                  <w:tcW w:w="380"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15.049</w:t>
                  </w:r>
                </w:p>
              </w:tc>
              <w:tc>
                <w:tcPr>
                  <w:tcW w:w="403" w:type="pct"/>
                  <w:tcBorders>
                    <w:top w:val="single" w:color="000000"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5</w:t>
                  </w:r>
                </w:p>
              </w:tc>
              <w:tc>
                <w:tcPr>
                  <w:tcW w:w="277" w:type="pct"/>
                  <w:vMerge w:val="restart"/>
                  <w:tcBorders>
                    <w:top w:val="nil"/>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cantSplit/>
                <w:jc w:val="center"/>
              </w:trPr>
              <w:tc>
                <w:tcPr>
                  <w:tcW w:w="148" w:type="pct"/>
                  <w:vMerge w:val="continue"/>
                  <w:tcBorders>
                    <w:top w:val="nil"/>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kern w:val="0"/>
                      <w:sz w:val="15"/>
                      <w:szCs w:val="15"/>
                    </w:rPr>
                  </w:pPr>
                </w:p>
              </w:tc>
              <w:tc>
                <w:tcPr>
                  <w:tcW w:w="238" w:type="pct"/>
                  <w:tcBorders>
                    <w:top w:val="single" w:color="auto" w:sz="4" w:space="0"/>
                    <w:left w:val="single" w:color="000000" w:sz="4" w:space="0"/>
                    <w:bottom w:val="single" w:color="auto"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SO</w:t>
                  </w:r>
                  <w:r>
                    <w:rPr>
                      <w:rFonts w:hint="default" w:ascii="Times New Roman" w:hAnsi="Times New Roman" w:cs="Times New Roman"/>
                      <w:sz w:val="15"/>
                      <w:szCs w:val="15"/>
                      <w:vertAlign w:val="subscript"/>
                    </w:rPr>
                    <w:t>2</w:t>
                  </w:r>
                </w:p>
              </w:tc>
              <w:tc>
                <w:tcPr>
                  <w:tcW w:w="379"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199.48</w:t>
                  </w:r>
                </w:p>
              </w:tc>
              <w:tc>
                <w:tcPr>
                  <w:tcW w:w="384"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rPr>
                    <w:t>26.8</w:t>
                  </w:r>
                  <w:r>
                    <w:rPr>
                      <w:rFonts w:hint="default" w:ascii="Times New Roman" w:hAnsi="Times New Roman" w:cs="Times New Roman"/>
                      <w:sz w:val="15"/>
                      <w:szCs w:val="15"/>
                      <w:lang w:val="en-US" w:eastAsia="zh-CN"/>
                    </w:rPr>
                    <w:t>03</w:t>
                  </w:r>
                </w:p>
              </w:tc>
              <w:tc>
                <w:tcPr>
                  <w:tcW w:w="396"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214.422</w:t>
                  </w:r>
                </w:p>
              </w:tc>
              <w:tc>
                <w:tcPr>
                  <w:tcW w:w="580" w:type="pct"/>
                  <w:vMerge w:val="continue"/>
                  <w:tcBorders>
                    <w:top w:val="nil"/>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sz w:val="15"/>
                      <w:szCs w:val="15"/>
                    </w:rPr>
                  </w:pPr>
                </w:p>
              </w:tc>
              <w:tc>
                <w:tcPr>
                  <w:tcW w:w="263" w:type="pct"/>
                  <w:vMerge w:val="continue"/>
                  <w:tcBorders>
                    <w:left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sz w:val="15"/>
                      <w:szCs w:val="15"/>
                    </w:rPr>
                  </w:pPr>
                </w:p>
              </w:tc>
              <w:tc>
                <w:tcPr>
                  <w:tcW w:w="282"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85</w:t>
                  </w:r>
                </w:p>
              </w:tc>
              <w:tc>
                <w:tcPr>
                  <w:tcW w:w="277"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是</w:t>
                  </w:r>
                </w:p>
              </w:tc>
              <w:tc>
                <w:tcPr>
                  <w:tcW w:w="362"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有组织</w:t>
                  </w:r>
                </w:p>
              </w:tc>
              <w:tc>
                <w:tcPr>
                  <w:tcW w:w="328"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7.48</w:t>
                  </w:r>
                </w:p>
              </w:tc>
              <w:tc>
                <w:tcPr>
                  <w:tcW w:w="296"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4.02</w:t>
                  </w:r>
                </w:p>
              </w:tc>
              <w:tc>
                <w:tcPr>
                  <w:tcW w:w="380"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32.163</w:t>
                  </w:r>
                </w:p>
              </w:tc>
              <w:tc>
                <w:tcPr>
                  <w:tcW w:w="403"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35</w:t>
                  </w:r>
                </w:p>
              </w:tc>
              <w:tc>
                <w:tcPr>
                  <w:tcW w:w="277" w:type="pct"/>
                  <w:vMerge w:val="continue"/>
                  <w:tcBorders>
                    <w:top w:val="nil"/>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cantSplit/>
                <w:jc w:val="center"/>
              </w:trPr>
              <w:tc>
                <w:tcPr>
                  <w:tcW w:w="148" w:type="pct"/>
                  <w:vMerge w:val="continue"/>
                  <w:tcBorders>
                    <w:top w:val="nil"/>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kern w:val="0"/>
                      <w:sz w:val="15"/>
                      <w:szCs w:val="15"/>
                    </w:rPr>
                  </w:pPr>
                </w:p>
              </w:tc>
              <w:tc>
                <w:tcPr>
                  <w:tcW w:w="238" w:type="pct"/>
                  <w:tcBorders>
                    <w:top w:val="single" w:color="auto" w:sz="4" w:space="0"/>
                    <w:left w:val="single" w:color="000000" w:sz="4" w:space="0"/>
                    <w:bottom w:val="single" w:color="auto"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NO</w:t>
                  </w:r>
                  <w:r>
                    <w:rPr>
                      <w:rFonts w:hint="default" w:ascii="Times New Roman" w:hAnsi="Times New Roman" w:cs="Times New Roman"/>
                      <w:sz w:val="15"/>
                      <w:szCs w:val="15"/>
                      <w:vertAlign w:val="subscript"/>
                    </w:rPr>
                    <w:t>X</w:t>
                  </w:r>
                </w:p>
              </w:tc>
              <w:tc>
                <w:tcPr>
                  <w:tcW w:w="379"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35.46</w:t>
                  </w:r>
                </w:p>
              </w:tc>
              <w:tc>
                <w:tcPr>
                  <w:tcW w:w="384"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19.06</w:t>
                  </w:r>
                </w:p>
              </w:tc>
              <w:tc>
                <w:tcPr>
                  <w:tcW w:w="396"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152.478</w:t>
                  </w:r>
                </w:p>
              </w:tc>
              <w:tc>
                <w:tcPr>
                  <w:tcW w:w="580" w:type="pct"/>
                  <w:vMerge w:val="continue"/>
                  <w:tcBorders>
                    <w:top w:val="nil"/>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sz w:val="15"/>
                      <w:szCs w:val="15"/>
                    </w:rPr>
                  </w:pPr>
                </w:p>
              </w:tc>
              <w:tc>
                <w:tcPr>
                  <w:tcW w:w="263" w:type="pct"/>
                  <w:vMerge w:val="continue"/>
                  <w:tcBorders>
                    <w:left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sz w:val="15"/>
                      <w:szCs w:val="15"/>
                    </w:rPr>
                  </w:pPr>
                </w:p>
              </w:tc>
              <w:tc>
                <w:tcPr>
                  <w:tcW w:w="282"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70</w:t>
                  </w:r>
                </w:p>
              </w:tc>
              <w:tc>
                <w:tcPr>
                  <w:tcW w:w="277"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是</w:t>
                  </w:r>
                </w:p>
              </w:tc>
              <w:tc>
                <w:tcPr>
                  <w:tcW w:w="362"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有组织</w:t>
                  </w:r>
                </w:p>
              </w:tc>
              <w:tc>
                <w:tcPr>
                  <w:tcW w:w="328"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10.64</w:t>
                  </w:r>
                </w:p>
              </w:tc>
              <w:tc>
                <w:tcPr>
                  <w:tcW w:w="296"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5.718</w:t>
                  </w:r>
                </w:p>
              </w:tc>
              <w:tc>
                <w:tcPr>
                  <w:tcW w:w="380"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45.743</w:t>
                  </w:r>
                </w:p>
              </w:tc>
              <w:tc>
                <w:tcPr>
                  <w:tcW w:w="403"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50</w:t>
                  </w:r>
                </w:p>
              </w:tc>
              <w:tc>
                <w:tcPr>
                  <w:tcW w:w="277" w:type="pct"/>
                  <w:vMerge w:val="continue"/>
                  <w:tcBorders>
                    <w:top w:val="nil"/>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cantSplit/>
                <w:jc w:val="center"/>
              </w:trPr>
              <w:tc>
                <w:tcPr>
                  <w:tcW w:w="148" w:type="pct"/>
                  <w:vMerge w:val="continue"/>
                  <w:tcBorders>
                    <w:top w:val="nil"/>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kern w:val="0"/>
                      <w:sz w:val="15"/>
                      <w:szCs w:val="15"/>
                    </w:rPr>
                  </w:pPr>
                </w:p>
              </w:tc>
              <w:tc>
                <w:tcPr>
                  <w:tcW w:w="238" w:type="pct"/>
                  <w:tcBorders>
                    <w:top w:val="single" w:color="auto"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NH</w:t>
                  </w:r>
                  <w:r>
                    <w:rPr>
                      <w:rFonts w:hint="default" w:ascii="Times New Roman" w:hAnsi="Times New Roman" w:cs="Times New Roman"/>
                      <w:sz w:val="15"/>
                      <w:szCs w:val="15"/>
                      <w:vertAlign w:val="subscript"/>
                    </w:rPr>
                    <w:t>3</w:t>
                  </w:r>
                </w:p>
              </w:tc>
              <w:tc>
                <w:tcPr>
                  <w:tcW w:w="379"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384"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396"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580" w:type="pct"/>
                  <w:vMerge w:val="continue"/>
                  <w:tcBorders>
                    <w:top w:val="nil"/>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sz w:val="15"/>
                      <w:szCs w:val="15"/>
                    </w:rPr>
                  </w:pPr>
                </w:p>
              </w:tc>
              <w:tc>
                <w:tcPr>
                  <w:tcW w:w="263" w:type="pct"/>
                  <w:vMerge w:val="continue"/>
                  <w:tcBorders>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sz w:val="15"/>
                      <w:szCs w:val="15"/>
                    </w:rPr>
                  </w:pPr>
                </w:p>
              </w:tc>
              <w:tc>
                <w:tcPr>
                  <w:tcW w:w="282"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277"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是</w:t>
                  </w:r>
                </w:p>
              </w:tc>
              <w:tc>
                <w:tcPr>
                  <w:tcW w:w="362"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有组织</w:t>
                  </w:r>
                </w:p>
              </w:tc>
              <w:tc>
                <w:tcPr>
                  <w:tcW w:w="328"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≤2.3</w:t>
                  </w:r>
                </w:p>
              </w:tc>
              <w:tc>
                <w:tcPr>
                  <w:tcW w:w="296"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380"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403"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2.5</w:t>
                  </w:r>
                </w:p>
              </w:tc>
              <w:tc>
                <w:tcPr>
                  <w:tcW w:w="277" w:type="pct"/>
                  <w:vMerge w:val="continue"/>
                  <w:tcBorders>
                    <w:top w:val="nil"/>
                    <w:left w:val="single" w:color="000000" w:sz="4" w:space="0"/>
                    <w:bottom w:val="single" w:color="000000" w:sz="4" w:space="0"/>
                    <w:right w:val="single" w:color="000000" w:sz="4" w:space="0"/>
                  </w:tcBorders>
                  <w:vAlign w:val="center"/>
                </w:tcPr>
                <w:p>
                  <w:pPr>
                    <w:widowControl/>
                    <w:spacing w:line="240" w:lineRule="exact"/>
                    <w:ind w:firstLine="0" w:firstLineChars="0"/>
                    <w:rPr>
                      <w:rFonts w:hint="default" w:ascii="Times New Roman" w:hAnsi="Times New Roman" w:cs="Times New Roman"/>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cantSplit/>
                <w:jc w:val="center"/>
              </w:trPr>
              <w:tc>
                <w:tcPr>
                  <w:tcW w:w="148" w:type="pct"/>
                  <w:vMerge w:val="restart"/>
                  <w:tcBorders>
                    <w:top w:val="single" w:color="000000" w:sz="4" w:space="0"/>
                    <w:left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无组织</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r>
                    <w:rPr>
                      <w:rFonts w:hint="default" w:ascii="Times New Roman" w:hAnsi="Times New Roman" w:cs="Times New Roman"/>
                      <w:sz w:val="15"/>
                      <w:szCs w:val="15"/>
                    </w:rPr>
                    <w:t>NH</w:t>
                  </w:r>
                  <w:r>
                    <w:rPr>
                      <w:rFonts w:hint="default" w:ascii="Times New Roman" w:hAnsi="Times New Roman" w:cs="Times New Roman"/>
                      <w:sz w:val="15"/>
                      <w:szCs w:val="15"/>
                      <w:vertAlign w:val="subscript"/>
                    </w:rPr>
                    <w:t>3</w:t>
                  </w:r>
                </w:p>
              </w:tc>
              <w:tc>
                <w:tcPr>
                  <w:tcW w:w="379"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384"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396"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580"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eastAsia="宋体" w:cs="Times New Roman"/>
                      <w:kern w:val="2"/>
                      <w:sz w:val="15"/>
                      <w:szCs w:val="15"/>
                      <w:lang w:eastAsia="zh-CN"/>
                    </w:rPr>
                  </w:pPr>
                  <w:r>
                    <w:rPr>
                      <w:rFonts w:hint="default" w:ascii="Times New Roman" w:hAnsi="Times New Roman" w:cs="Times New Roman"/>
                      <w:kern w:val="2"/>
                      <w:sz w:val="15"/>
                      <w:szCs w:val="15"/>
                      <w:lang w:val="en-US" w:eastAsia="zh-CN"/>
                    </w:rPr>
                    <w:t>密闭</w:t>
                  </w:r>
                  <w:r>
                    <w:rPr>
                      <w:rFonts w:hint="default" w:ascii="Times New Roman" w:hAnsi="Times New Roman" w:cs="Times New Roman"/>
                      <w:kern w:val="2"/>
                      <w:sz w:val="15"/>
                      <w:szCs w:val="15"/>
                    </w:rPr>
                    <w:t>氨水罐、管路均采用全</w:t>
                  </w:r>
                  <w:r>
                    <w:rPr>
                      <w:rFonts w:hint="default" w:ascii="Times New Roman" w:hAnsi="Times New Roman" w:eastAsia="宋体" w:cs="Times New Roman"/>
                      <w:kern w:val="2"/>
                      <w:sz w:val="15"/>
                      <w:szCs w:val="15"/>
                    </w:rPr>
                    <w:t>密闭工艺</w:t>
                  </w:r>
                  <w:r>
                    <w:rPr>
                      <w:rFonts w:hint="default" w:ascii="Times New Roman" w:hAnsi="Times New Roman" w:eastAsia="宋体" w:cs="Times New Roman"/>
                      <w:kern w:val="2"/>
                      <w:sz w:val="15"/>
                      <w:szCs w:val="15"/>
                      <w:lang w:eastAsia="zh-CN"/>
                    </w:rPr>
                    <w:t>，</w:t>
                  </w:r>
                  <w:r>
                    <w:rPr>
                      <w:rFonts w:hint="default" w:ascii="Times New Roman" w:hAnsi="Times New Roman" w:eastAsia="宋体" w:cs="Times New Roman"/>
                      <w:kern w:val="2"/>
                      <w:sz w:val="15"/>
                      <w:szCs w:val="15"/>
                      <w:lang w:val="en-US" w:eastAsia="zh-CN"/>
                    </w:rPr>
                    <w:t>装卸料采取平衡管工艺</w:t>
                  </w:r>
                  <w:r>
                    <w:rPr>
                      <w:rFonts w:hint="default" w:ascii="Times New Roman" w:hAnsi="Times New Roman" w:cs="Times New Roman"/>
                      <w:sz w:val="15"/>
                      <w:szCs w:val="15"/>
                      <w:lang w:val="en-US" w:eastAsia="zh-CN"/>
                    </w:rPr>
                    <w:t>。</w:t>
                  </w:r>
                </w:p>
              </w:tc>
              <w:tc>
                <w:tcPr>
                  <w:tcW w:w="263"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282"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277"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是</w:t>
                  </w:r>
                </w:p>
              </w:tc>
              <w:tc>
                <w:tcPr>
                  <w:tcW w:w="362"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无组织</w:t>
                  </w:r>
                </w:p>
              </w:tc>
              <w:tc>
                <w:tcPr>
                  <w:tcW w:w="328"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296"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380"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403" w:type="pct"/>
                  <w:tcBorders>
                    <w:top w:val="single" w:color="auto" w:sz="4" w:space="0"/>
                    <w:left w:val="single" w:color="000000" w:sz="4" w:space="0"/>
                    <w:bottom w:val="single" w:color="auto"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1.5</w:t>
                  </w:r>
                </w:p>
              </w:tc>
              <w:tc>
                <w:tcPr>
                  <w:tcW w:w="277"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0" w:type="dxa"/>
                  <w:bottom w:w="28" w:type="dxa"/>
                  <w:right w:w="0" w:type="dxa"/>
                </w:tblCellMar>
              </w:tblPrEx>
              <w:trPr>
                <w:cantSplit/>
                <w:jc w:val="center"/>
              </w:trPr>
              <w:tc>
                <w:tcPr>
                  <w:tcW w:w="148" w:type="pct"/>
                  <w:vMerge w:val="continue"/>
                  <w:tcBorders>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sz w:val="15"/>
                      <w:szCs w:val="15"/>
                    </w:rPr>
                  </w:pP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氯化氢</w:t>
                  </w:r>
                </w:p>
              </w:tc>
              <w:tc>
                <w:tcPr>
                  <w:tcW w:w="379"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384"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396"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580" w:type="pct"/>
                  <w:tcBorders>
                    <w:top w:val="single" w:color="000000" w:sz="4" w:space="0"/>
                    <w:left w:val="single" w:color="000000" w:sz="4" w:space="0"/>
                    <w:bottom w:val="single" w:color="000000" w:sz="4" w:space="0"/>
                    <w:right w:val="single" w:color="000000" w:sz="4" w:space="0"/>
                  </w:tcBorders>
                  <w:vAlign w:val="center"/>
                </w:tcPr>
                <w:p>
                  <w:pPr>
                    <w:pStyle w:val="128"/>
                    <w:autoSpaceDE w:val="0"/>
                    <w:spacing w:beforeLines="0" w:afterLines="0" w:line="240" w:lineRule="exact"/>
                    <w:ind w:firstLine="0" w:firstLineChars="0"/>
                    <w:rPr>
                      <w:rFonts w:hint="default" w:ascii="Times New Roman" w:hAnsi="Times New Roman" w:cs="Times New Roman"/>
                      <w:kern w:val="2"/>
                      <w:sz w:val="15"/>
                      <w:szCs w:val="15"/>
                      <w:lang w:val="en-US" w:eastAsia="zh-CN"/>
                    </w:rPr>
                  </w:pPr>
                  <w:r>
                    <w:rPr>
                      <w:rFonts w:hint="default" w:ascii="Times New Roman" w:hAnsi="Times New Roman" w:cs="Times New Roman"/>
                      <w:kern w:val="2"/>
                      <w:sz w:val="15"/>
                      <w:szCs w:val="15"/>
                      <w:lang w:val="en-US" w:eastAsia="zh-CN"/>
                    </w:rPr>
                    <w:t>密闭酸罐，管路均采用全密闭工艺。</w:t>
                  </w:r>
                </w:p>
              </w:tc>
              <w:tc>
                <w:tcPr>
                  <w:tcW w:w="263"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282"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277"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是</w:t>
                  </w:r>
                </w:p>
              </w:tc>
              <w:tc>
                <w:tcPr>
                  <w:tcW w:w="362"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无组织</w:t>
                  </w:r>
                </w:p>
              </w:tc>
              <w:tc>
                <w:tcPr>
                  <w:tcW w:w="328"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296"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380"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w:t>
                  </w:r>
                </w:p>
              </w:tc>
              <w:tc>
                <w:tcPr>
                  <w:tcW w:w="403" w:type="pct"/>
                  <w:tcBorders>
                    <w:top w:val="single" w:color="auto"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0.2</w:t>
                  </w:r>
                </w:p>
              </w:tc>
              <w:tc>
                <w:tcPr>
                  <w:tcW w:w="277" w:type="pct"/>
                  <w:tcBorders>
                    <w:top w:val="single" w:color="000000" w:sz="4" w:space="0"/>
                    <w:left w:val="single" w:color="000000" w:sz="4" w:space="0"/>
                    <w:bottom w:val="single" w:color="000000" w:sz="4" w:space="0"/>
                    <w:right w:val="single" w:color="000000" w:sz="4" w:space="0"/>
                  </w:tcBorders>
                  <w:vAlign w:val="center"/>
                </w:tcPr>
                <w:p>
                  <w:pPr>
                    <w:autoSpaceDE w:val="0"/>
                    <w:spacing w:line="240" w:lineRule="exact"/>
                    <w:ind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8000</w:t>
                  </w:r>
                </w:p>
              </w:tc>
            </w:tr>
          </w:tbl>
          <w:p>
            <w:pPr>
              <w:adjustRightInd w:val="0"/>
              <w:snapToGrid w:val="0"/>
              <w:spacing w:line="480" w:lineRule="exact"/>
              <w:ind w:firstLine="480"/>
            </w:pPr>
            <w:r>
              <w:rPr>
                <w:rFonts w:hint="eastAsia"/>
              </w:rPr>
              <w:t>(2)达标分析</w:t>
            </w:r>
          </w:p>
          <w:p>
            <w:pPr>
              <w:keepNext/>
              <w:keepLines/>
              <w:tabs>
                <w:tab w:val="left" w:pos="0"/>
              </w:tabs>
              <w:adjustRightInd w:val="0"/>
              <w:snapToGrid w:val="0"/>
              <w:spacing w:line="480" w:lineRule="exact"/>
              <w:ind w:firstLine="470" w:firstLineChars="195"/>
              <w:jc w:val="center"/>
              <w:outlineLvl w:val="0"/>
              <w:rPr>
                <w:b/>
                <w:bCs/>
                <w:kern w:val="44"/>
              </w:rPr>
            </w:pPr>
            <w:r>
              <w:rPr>
                <w:b/>
              </w:rPr>
              <w:t>表</w:t>
            </w:r>
            <w:r>
              <w:rPr>
                <w:rFonts w:hint="eastAsia"/>
                <w:b/>
                <w:lang w:val="en-US" w:eastAsia="zh-CN"/>
              </w:rPr>
              <w:t>32</w:t>
            </w:r>
            <w:r>
              <w:rPr>
                <w:rFonts w:hint="eastAsia"/>
                <w:b/>
              </w:rPr>
              <w:t xml:space="preserve">  </w:t>
            </w:r>
            <w:r>
              <w:rPr>
                <w:b/>
              </w:rPr>
              <w:t xml:space="preserve">  本项目</w:t>
            </w:r>
            <w:r>
              <w:rPr>
                <w:rFonts w:hint="eastAsia"/>
                <w:b/>
              </w:rPr>
              <w:t>有</w:t>
            </w:r>
            <w:r>
              <w:rPr>
                <w:b/>
              </w:rPr>
              <w:t>组织废气排放情况一览表</w:t>
            </w:r>
          </w:p>
          <w:tbl>
            <w:tblPr>
              <w:tblStyle w:val="79"/>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580"/>
              <w:gridCol w:w="744"/>
              <w:gridCol w:w="711"/>
              <w:gridCol w:w="891"/>
              <w:gridCol w:w="1238"/>
              <w:gridCol w:w="701"/>
              <w:gridCol w:w="621"/>
              <w:gridCol w:w="711"/>
              <w:gridCol w:w="696"/>
              <w:gridCol w:w="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vMerge w:val="restart"/>
                  <w:vAlign w:val="center"/>
                </w:tcPr>
                <w:p>
                  <w:pPr>
                    <w:widowControl/>
                    <w:spacing w:line="320" w:lineRule="exact"/>
                    <w:ind w:firstLine="0" w:firstLineChars="0"/>
                    <w:jc w:val="center"/>
                    <w:rPr>
                      <w:kern w:val="0"/>
                      <w:sz w:val="18"/>
                      <w:szCs w:val="18"/>
                    </w:rPr>
                  </w:pPr>
                  <w:r>
                    <w:rPr>
                      <w:kern w:val="0"/>
                      <w:sz w:val="18"/>
                      <w:szCs w:val="18"/>
                    </w:rPr>
                    <w:t>生产工序</w:t>
                  </w:r>
                </w:p>
              </w:tc>
              <w:tc>
                <w:tcPr>
                  <w:tcW w:w="389" w:type="pct"/>
                  <w:vMerge w:val="restart"/>
                  <w:vAlign w:val="center"/>
                </w:tcPr>
                <w:p>
                  <w:pPr>
                    <w:widowControl/>
                    <w:spacing w:line="320" w:lineRule="exact"/>
                    <w:ind w:firstLine="0" w:firstLineChars="0"/>
                    <w:jc w:val="center"/>
                    <w:rPr>
                      <w:kern w:val="0"/>
                      <w:sz w:val="18"/>
                      <w:szCs w:val="18"/>
                    </w:rPr>
                  </w:pPr>
                  <w:r>
                    <w:rPr>
                      <w:kern w:val="0"/>
                      <w:sz w:val="18"/>
                      <w:szCs w:val="18"/>
                    </w:rPr>
                    <w:t>污染物</w:t>
                  </w:r>
                </w:p>
              </w:tc>
              <w:tc>
                <w:tcPr>
                  <w:tcW w:w="492" w:type="pct"/>
                  <w:vMerge w:val="restart"/>
                  <w:vAlign w:val="center"/>
                </w:tcPr>
                <w:p>
                  <w:pPr>
                    <w:pStyle w:val="128"/>
                    <w:autoSpaceDE w:val="0"/>
                    <w:spacing w:beforeLines="0" w:afterLines="0" w:line="240" w:lineRule="exact"/>
                    <w:ind w:firstLine="0" w:firstLineChars="0"/>
                    <w:rPr>
                      <w:sz w:val="18"/>
                      <w:szCs w:val="18"/>
                    </w:rPr>
                  </w:pPr>
                  <w:r>
                    <w:rPr>
                      <w:rFonts w:ascii="Times New Roman"/>
                      <w:sz w:val="18"/>
                      <w:szCs w:val="18"/>
                    </w:rPr>
                    <w:t>产生浓度mg/m³</w:t>
                  </w:r>
                </w:p>
              </w:tc>
              <w:tc>
                <w:tcPr>
                  <w:tcW w:w="448" w:type="pct"/>
                  <w:vMerge w:val="restart"/>
                  <w:vAlign w:val="center"/>
                </w:tcPr>
                <w:p>
                  <w:pPr>
                    <w:pStyle w:val="128"/>
                    <w:autoSpaceDE w:val="0"/>
                    <w:spacing w:beforeLines="0" w:afterLines="0" w:line="240" w:lineRule="exact"/>
                    <w:ind w:firstLine="0" w:firstLineChars="0"/>
                    <w:rPr>
                      <w:sz w:val="18"/>
                      <w:szCs w:val="18"/>
                    </w:rPr>
                  </w:pPr>
                  <w:r>
                    <w:rPr>
                      <w:rFonts w:ascii="Times New Roman"/>
                      <w:sz w:val="18"/>
                      <w:szCs w:val="18"/>
                    </w:rPr>
                    <w:t>产生速率kg/h</w:t>
                  </w:r>
                </w:p>
              </w:tc>
              <w:tc>
                <w:tcPr>
                  <w:tcW w:w="562" w:type="pct"/>
                  <w:vMerge w:val="restart"/>
                  <w:vAlign w:val="center"/>
                </w:tcPr>
                <w:p>
                  <w:pPr>
                    <w:pStyle w:val="128"/>
                    <w:autoSpaceDE w:val="0"/>
                    <w:spacing w:beforeLines="0" w:afterLines="0" w:line="240" w:lineRule="exact"/>
                    <w:ind w:firstLine="0" w:firstLineChars="0"/>
                    <w:rPr>
                      <w:rFonts w:ascii="Times New Roman"/>
                      <w:sz w:val="18"/>
                      <w:szCs w:val="18"/>
                    </w:rPr>
                  </w:pPr>
                  <w:r>
                    <w:rPr>
                      <w:rFonts w:ascii="Times New Roman"/>
                      <w:sz w:val="18"/>
                      <w:szCs w:val="18"/>
                    </w:rPr>
                    <w:t>产生量</w:t>
                  </w:r>
                </w:p>
                <w:p>
                  <w:pPr>
                    <w:pStyle w:val="128"/>
                    <w:autoSpaceDE w:val="0"/>
                    <w:spacing w:beforeLines="0" w:afterLines="0" w:line="240" w:lineRule="exact"/>
                    <w:ind w:firstLine="0" w:firstLineChars="0"/>
                    <w:rPr>
                      <w:sz w:val="18"/>
                      <w:szCs w:val="18"/>
                    </w:rPr>
                  </w:pPr>
                  <w:r>
                    <w:rPr>
                      <w:rFonts w:ascii="Times New Roman"/>
                      <w:sz w:val="18"/>
                      <w:szCs w:val="18"/>
                    </w:rPr>
                    <w:t>t/a</w:t>
                  </w:r>
                </w:p>
              </w:tc>
              <w:tc>
                <w:tcPr>
                  <w:tcW w:w="598" w:type="pct"/>
                  <w:vMerge w:val="restart"/>
                  <w:vAlign w:val="center"/>
                </w:tcPr>
                <w:p>
                  <w:pPr>
                    <w:widowControl/>
                    <w:spacing w:line="320" w:lineRule="exact"/>
                    <w:ind w:firstLine="0" w:firstLineChars="0"/>
                    <w:jc w:val="center"/>
                    <w:rPr>
                      <w:kern w:val="0"/>
                      <w:sz w:val="18"/>
                      <w:szCs w:val="18"/>
                    </w:rPr>
                  </w:pPr>
                  <w:r>
                    <w:rPr>
                      <w:kern w:val="0"/>
                      <w:sz w:val="18"/>
                      <w:szCs w:val="18"/>
                    </w:rPr>
                    <w:t>处置</w:t>
                  </w:r>
                </w:p>
                <w:p>
                  <w:pPr>
                    <w:widowControl/>
                    <w:spacing w:line="320" w:lineRule="exact"/>
                    <w:ind w:firstLine="0" w:firstLineChars="0"/>
                    <w:jc w:val="center"/>
                    <w:rPr>
                      <w:kern w:val="0"/>
                      <w:sz w:val="18"/>
                      <w:szCs w:val="18"/>
                    </w:rPr>
                  </w:pPr>
                  <w:r>
                    <w:rPr>
                      <w:kern w:val="0"/>
                      <w:sz w:val="18"/>
                      <w:szCs w:val="18"/>
                    </w:rPr>
                    <w:t>措施</w:t>
                  </w:r>
                </w:p>
              </w:tc>
              <w:tc>
                <w:tcPr>
                  <w:tcW w:w="1327" w:type="pct"/>
                  <w:gridSpan w:val="3"/>
                  <w:vAlign w:val="center"/>
                </w:tcPr>
                <w:p>
                  <w:pPr>
                    <w:widowControl/>
                    <w:spacing w:line="320" w:lineRule="exact"/>
                    <w:ind w:firstLine="0" w:firstLineChars="0"/>
                    <w:jc w:val="center"/>
                    <w:rPr>
                      <w:kern w:val="0"/>
                      <w:sz w:val="18"/>
                      <w:szCs w:val="18"/>
                    </w:rPr>
                  </w:pPr>
                  <w:r>
                    <w:rPr>
                      <w:kern w:val="0"/>
                      <w:sz w:val="18"/>
                      <w:szCs w:val="18"/>
                    </w:rPr>
                    <w:t>有组织</w:t>
                  </w:r>
                </w:p>
              </w:tc>
              <w:tc>
                <w:tcPr>
                  <w:tcW w:w="439" w:type="pct"/>
                  <w:vMerge w:val="restart"/>
                  <w:vAlign w:val="center"/>
                </w:tcPr>
                <w:p>
                  <w:pPr>
                    <w:widowControl/>
                    <w:spacing w:line="320" w:lineRule="exact"/>
                    <w:ind w:firstLine="0" w:firstLineChars="0"/>
                    <w:jc w:val="center"/>
                    <w:rPr>
                      <w:kern w:val="0"/>
                      <w:sz w:val="18"/>
                      <w:szCs w:val="18"/>
                    </w:rPr>
                  </w:pPr>
                  <w:r>
                    <w:rPr>
                      <w:kern w:val="0"/>
                      <w:sz w:val="18"/>
                      <w:szCs w:val="18"/>
                    </w:rPr>
                    <w:t>标准值</w:t>
                  </w:r>
                </w:p>
                <w:p>
                  <w:pPr>
                    <w:spacing w:line="320" w:lineRule="exact"/>
                    <w:ind w:firstLine="0" w:firstLineChars="0"/>
                    <w:jc w:val="center"/>
                    <w:rPr>
                      <w:kern w:val="0"/>
                      <w:sz w:val="18"/>
                      <w:szCs w:val="18"/>
                    </w:rPr>
                  </w:pPr>
                  <w:r>
                    <w:rPr>
                      <w:kern w:val="0"/>
                      <w:sz w:val="18"/>
                      <w:szCs w:val="18"/>
                    </w:rPr>
                    <w:t>mg/</w:t>
                  </w:r>
                  <w:r>
                    <w:rPr>
                      <w:rFonts w:hint="eastAsia"/>
                      <w:kern w:val="0"/>
                      <w:sz w:val="18"/>
                      <w:szCs w:val="18"/>
                    </w:rPr>
                    <w:t>m</w:t>
                  </w:r>
                  <w:r>
                    <w:rPr>
                      <w:rFonts w:hint="eastAsia"/>
                      <w:kern w:val="0"/>
                      <w:sz w:val="18"/>
                      <w:szCs w:val="18"/>
                      <w:vertAlign w:val="superscript"/>
                    </w:rPr>
                    <w:t>3</w:t>
                  </w:r>
                </w:p>
              </w:tc>
              <w:tc>
                <w:tcPr>
                  <w:tcW w:w="442" w:type="pct"/>
                  <w:vMerge w:val="restart"/>
                  <w:vAlign w:val="center"/>
                </w:tcPr>
                <w:p>
                  <w:pPr>
                    <w:widowControl/>
                    <w:spacing w:line="320" w:lineRule="exact"/>
                    <w:ind w:firstLine="0" w:firstLineChars="0"/>
                    <w:jc w:val="center"/>
                    <w:rPr>
                      <w:kern w:val="0"/>
                      <w:sz w:val="18"/>
                      <w:szCs w:val="18"/>
                    </w:rPr>
                  </w:pPr>
                  <w:r>
                    <w:rPr>
                      <w:kern w:val="0"/>
                      <w:sz w:val="18"/>
                      <w:szCs w:val="18"/>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99" w:type="pct"/>
                  <w:vMerge w:val="continue"/>
                  <w:vAlign w:val="center"/>
                </w:tcPr>
                <w:p>
                  <w:pPr>
                    <w:spacing w:line="320" w:lineRule="exact"/>
                    <w:ind w:firstLine="0" w:firstLineChars="0"/>
                    <w:jc w:val="center"/>
                    <w:rPr>
                      <w:kern w:val="0"/>
                      <w:sz w:val="18"/>
                      <w:szCs w:val="18"/>
                    </w:rPr>
                  </w:pPr>
                </w:p>
              </w:tc>
              <w:tc>
                <w:tcPr>
                  <w:tcW w:w="389" w:type="pct"/>
                  <w:vMerge w:val="continue"/>
                  <w:vAlign w:val="center"/>
                </w:tcPr>
                <w:p>
                  <w:pPr>
                    <w:widowControl/>
                    <w:spacing w:line="320" w:lineRule="exact"/>
                    <w:ind w:firstLine="0" w:firstLineChars="0"/>
                    <w:jc w:val="center"/>
                    <w:rPr>
                      <w:kern w:val="0"/>
                      <w:sz w:val="18"/>
                      <w:szCs w:val="18"/>
                    </w:rPr>
                  </w:pPr>
                </w:p>
              </w:tc>
              <w:tc>
                <w:tcPr>
                  <w:tcW w:w="492" w:type="pct"/>
                  <w:vMerge w:val="continue"/>
                  <w:vAlign w:val="center"/>
                </w:tcPr>
                <w:p>
                  <w:pPr>
                    <w:spacing w:line="320" w:lineRule="exact"/>
                    <w:ind w:firstLine="0" w:firstLineChars="0"/>
                    <w:jc w:val="center"/>
                    <w:rPr>
                      <w:kern w:val="0"/>
                      <w:sz w:val="18"/>
                      <w:szCs w:val="18"/>
                    </w:rPr>
                  </w:pPr>
                </w:p>
              </w:tc>
              <w:tc>
                <w:tcPr>
                  <w:tcW w:w="448" w:type="pct"/>
                  <w:vMerge w:val="continue"/>
                  <w:vAlign w:val="center"/>
                </w:tcPr>
                <w:p>
                  <w:pPr>
                    <w:spacing w:line="320" w:lineRule="exact"/>
                    <w:ind w:firstLine="0" w:firstLineChars="0"/>
                    <w:jc w:val="center"/>
                    <w:rPr>
                      <w:kern w:val="0"/>
                      <w:sz w:val="18"/>
                      <w:szCs w:val="18"/>
                    </w:rPr>
                  </w:pPr>
                </w:p>
              </w:tc>
              <w:tc>
                <w:tcPr>
                  <w:tcW w:w="562" w:type="pct"/>
                  <w:vMerge w:val="continue"/>
                  <w:vAlign w:val="center"/>
                </w:tcPr>
                <w:p>
                  <w:pPr>
                    <w:spacing w:line="320" w:lineRule="exact"/>
                    <w:ind w:firstLine="0" w:firstLineChars="0"/>
                    <w:jc w:val="center"/>
                    <w:rPr>
                      <w:kern w:val="0"/>
                      <w:sz w:val="18"/>
                      <w:szCs w:val="18"/>
                    </w:rPr>
                  </w:pPr>
                </w:p>
              </w:tc>
              <w:tc>
                <w:tcPr>
                  <w:tcW w:w="598" w:type="pct"/>
                  <w:vMerge w:val="continue"/>
                  <w:vAlign w:val="center"/>
                </w:tcPr>
                <w:p>
                  <w:pPr>
                    <w:spacing w:line="320" w:lineRule="exact"/>
                    <w:ind w:firstLine="0" w:firstLineChars="0"/>
                    <w:jc w:val="center"/>
                    <w:rPr>
                      <w:kern w:val="0"/>
                      <w:sz w:val="18"/>
                      <w:szCs w:val="18"/>
                    </w:rPr>
                  </w:pPr>
                </w:p>
              </w:tc>
              <w:tc>
                <w:tcPr>
                  <w:tcW w:w="488" w:type="pct"/>
                  <w:vAlign w:val="center"/>
                </w:tcPr>
                <w:p>
                  <w:pPr>
                    <w:pStyle w:val="128"/>
                    <w:autoSpaceDE w:val="0"/>
                    <w:spacing w:beforeLines="0" w:afterLines="0" w:line="240" w:lineRule="exact"/>
                    <w:ind w:firstLine="0" w:firstLineChars="0"/>
                    <w:rPr>
                      <w:sz w:val="18"/>
                      <w:szCs w:val="18"/>
                    </w:rPr>
                  </w:pPr>
                  <w:r>
                    <w:rPr>
                      <w:rFonts w:ascii="Times New Roman"/>
                      <w:sz w:val="18"/>
                      <w:szCs w:val="18"/>
                    </w:rPr>
                    <w:t>排放浓度mg/m³</w:t>
                  </w:r>
                </w:p>
              </w:tc>
              <w:tc>
                <w:tcPr>
                  <w:tcW w:w="388" w:type="pct"/>
                  <w:vAlign w:val="center"/>
                </w:tcPr>
                <w:p>
                  <w:pPr>
                    <w:pStyle w:val="128"/>
                    <w:autoSpaceDE w:val="0"/>
                    <w:spacing w:beforeLines="0" w:afterLines="0" w:line="240" w:lineRule="exact"/>
                    <w:ind w:firstLine="0" w:firstLineChars="0"/>
                    <w:rPr>
                      <w:rFonts w:ascii="Times New Roman"/>
                      <w:sz w:val="18"/>
                      <w:szCs w:val="18"/>
                    </w:rPr>
                  </w:pPr>
                  <w:r>
                    <w:rPr>
                      <w:rFonts w:ascii="Times New Roman"/>
                      <w:sz w:val="18"/>
                      <w:szCs w:val="18"/>
                    </w:rPr>
                    <w:t>排放速率</w:t>
                  </w:r>
                </w:p>
                <w:p>
                  <w:pPr>
                    <w:pStyle w:val="128"/>
                    <w:autoSpaceDE w:val="0"/>
                    <w:spacing w:beforeLines="0" w:afterLines="0" w:line="240" w:lineRule="exact"/>
                    <w:ind w:firstLine="0" w:firstLineChars="0"/>
                    <w:rPr>
                      <w:sz w:val="18"/>
                      <w:szCs w:val="18"/>
                    </w:rPr>
                  </w:pPr>
                  <w:r>
                    <w:rPr>
                      <w:rFonts w:ascii="Times New Roman"/>
                      <w:sz w:val="18"/>
                      <w:szCs w:val="18"/>
                    </w:rPr>
                    <w:t>kg/h</w:t>
                  </w:r>
                </w:p>
              </w:tc>
              <w:tc>
                <w:tcPr>
                  <w:tcW w:w="450" w:type="pct"/>
                  <w:vAlign w:val="center"/>
                </w:tcPr>
                <w:p>
                  <w:pPr>
                    <w:pStyle w:val="128"/>
                    <w:autoSpaceDE w:val="0"/>
                    <w:spacing w:beforeLines="0" w:afterLines="0" w:line="240" w:lineRule="exact"/>
                    <w:ind w:firstLine="0" w:firstLineChars="0"/>
                    <w:rPr>
                      <w:rFonts w:ascii="Times New Roman"/>
                      <w:sz w:val="18"/>
                      <w:szCs w:val="18"/>
                    </w:rPr>
                  </w:pPr>
                  <w:r>
                    <w:rPr>
                      <w:rFonts w:ascii="Times New Roman"/>
                      <w:sz w:val="18"/>
                      <w:szCs w:val="18"/>
                    </w:rPr>
                    <w:t>排放量</w:t>
                  </w:r>
                </w:p>
                <w:p>
                  <w:pPr>
                    <w:pStyle w:val="128"/>
                    <w:autoSpaceDE w:val="0"/>
                    <w:spacing w:beforeLines="0" w:afterLines="0" w:line="240" w:lineRule="exact"/>
                    <w:ind w:firstLine="0" w:firstLineChars="0"/>
                    <w:rPr>
                      <w:sz w:val="18"/>
                      <w:szCs w:val="18"/>
                    </w:rPr>
                  </w:pPr>
                  <w:r>
                    <w:rPr>
                      <w:rFonts w:ascii="Times New Roman"/>
                      <w:sz w:val="18"/>
                      <w:szCs w:val="18"/>
                    </w:rPr>
                    <w:t>t/a</w:t>
                  </w:r>
                </w:p>
              </w:tc>
              <w:tc>
                <w:tcPr>
                  <w:tcW w:w="439" w:type="pct"/>
                  <w:vMerge w:val="continue"/>
                  <w:vAlign w:val="center"/>
                </w:tcPr>
                <w:p>
                  <w:pPr>
                    <w:spacing w:line="320" w:lineRule="exact"/>
                    <w:ind w:firstLine="0" w:firstLineChars="0"/>
                    <w:jc w:val="center"/>
                    <w:rPr>
                      <w:kern w:val="0"/>
                      <w:sz w:val="18"/>
                      <w:szCs w:val="18"/>
                    </w:rPr>
                  </w:pPr>
                </w:p>
              </w:tc>
              <w:tc>
                <w:tcPr>
                  <w:tcW w:w="442" w:type="pct"/>
                  <w:vMerge w:val="continue"/>
                  <w:vAlign w:val="center"/>
                </w:tcPr>
                <w:p>
                  <w:pPr>
                    <w:widowControl/>
                    <w:spacing w:line="320" w:lineRule="exact"/>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vMerge w:val="restart"/>
                  <w:vAlign w:val="center"/>
                </w:tcPr>
                <w:p>
                  <w:pPr>
                    <w:widowControl/>
                    <w:spacing w:line="320" w:lineRule="exact"/>
                    <w:ind w:firstLine="0" w:firstLineChars="0"/>
                    <w:jc w:val="center"/>
                    <w:rPr>
                      <w:kern w:val="0"/>
                      <w:sz w:val="18"/>
                      <w:szCs w:val="18"/>
                    </w:rPr>
                  </w:pPr>
                  <w:r>
                    <w:rPr>
                      <w:sz w:val="18"/>
                      <w:szCs w:val="18"/>
                    </w:rPr>
                    <w:t>煤气锅炉</w:t>
                  </w:r>
                </w:p>
              </w:tc>
              <w:tc>
                <w:tcPr>
                  <w:tcW w:w="389" w:type="pct"/>
                  <w:vAlign w:val="center"/>
                </w:tcPr>
                <w:p>
                  <w:pPr>
                    <w:pStyle w:val="128"/>
                    <w:autoSpaceDE w:val="0"/>
                    <w:spacing w:beforeLines="0" w:afterLines="0" w:line="240" w:lineRule="exact"/>
                    <w:ind w:firstLine="0" w:firstLineChars="0"/>
                    <w:rPr>
                      <w:rFonts w:ascii="Times New Roman"/>
                      <w:sz w:val="18"/>
                      <w:szCs w:val="18"/>
                    </w:rPr>
                  </w:pPr>
                  <w:r>
                    <w:rPr>
                      <w:rFonts w:ascii="Times New Roman"/>
                      <w:sz w:val="18"/>
                      <w:szCs w:val="18"/>
                    </w:rPr>
                    <w:t>颗粒物</w:t>
                  </w:r>
                </w:p>
              </w:tc>
              <w:tc>
                <w:tcPr>
                  <w:tcW w:w="492" w:type="pct"/>
                  <w:vAlign w:val="center"/>
                </w:tcPr>
                <w:p>
                  <w:pPr>
                    <w:autoSpaceDE w:val="0"/>
                    <w:spacing w:line="240" w:lineRule="exact"/>
                    <w:ind w:firstLine="0" w:firstLineChars="0"/>
                    <w:jc w:val="center"/>
                    <w:rPr>
                      <w:sz w:val="18"/>
                      <w:szCs w:val="18"/>
                    </w:rPr>
                  </w:pPr>
                  <w:r>
                    <w:rPr>
                      <w:sz w:val="18"/>
                      <w:szCs w:val="18"/>
                    </w:rPr>
                    <w:t>350</w:t>
                  </w:r>
                </w:p>
              </w:tc>
              <w:tc>
                <w:tcPr>
                  <w:tcW w:w="448" w:type="pct"/>
                  <w:vAlign w:val="center"/>
                </w:tcPr>
                <w:p>
                  <w:pPr>
                    <w:autoSpaceDE w:val="0"/>
                    <w:spacing w:line="240" w:lineRule="exact"/>
                    <w:ind w:firstLine="0" w:firstLineChars="0"/>
                    <w:jc w:val="center"/>
                    <w:rPr>
                      <w:sz w:val="18"/>
                      <w:szCs w:val="18"/>
                    </w:rPr>
                  </w:pPr>
                  <w:r>
                    <w:rPr>
                      <w:rFonts w:hint="eastAsia"/>
                      <w:sz w:val="18"/>
                      <w:szCs w:val="18"/>
                    </w:rPr>
                    <w:t>188.11</w:t>
                  </w:r>
                </w:p>
              </w:tc>
              <w:tc>
                <w:tcPr>
                  <w:tcW w:w="562" w:type="pct"/>
                  <w:vAlign w:val="center"/>
                </w:tcPr>
                <w:p>
                  <w:pPr>
                    <w:autoSpaceDE w:val="0"/>
                    <w:spacing w:line="240" w:lineRule="exact"/>
                    <w:ind w:firstLine="0" w:firstLineChars="0"/>
                    <w:jc w:val="center"/>
                    <w:rPr>
                      <w:sz w:val="18"/>
                      <w:szCs w:val="18"/>
                    </w:rPr>
                  </w:pPr>
                  <w:r>
                    <w:rPr>
                      <w:rFonts w:hint="eastAsia"/>
                      <w:sz w:val="18"/>
                      <w:szCs w:val="18"/>
                    </w:rPr>
                    <w:t>1504.875</w:t>
                  </w:r>
                </w:p>
              </w:tc>
              <w:tc>
                <w:tcPr>
                  <w:tcW w:w="598" w:type="pct"/>
                  <w:vMerge w:val="restart"/>
                  <w:vAlign w:val="center"/>
                </w:tcPr>
                <w:p>
                  <w:pPr>
                    <w:spacing w:line="320" w:lineRule="exact"/>
                    <w:ind w:firstLine="0" w:firstLineChars="0"/>
                    <w:jc w:val="center"/>
                    <w:rPr>
                      <w:rFonts w:hint="default" w:eastAsia="宋体"/>
                      <w:sz w:val="18"/>
                      <w:szCs w:val="18"/>
                      <w:lang w:val="en-US" w:eastAsia="zh-CN"/>
                    </w:rPr>
                  </w:pPr>
                  <w:r>
                    <w:rPr>
                      <w:color w:val="000000"/>
                      <w:sz w:val="18"/>
                      <w:szCs w:val="18"/>
                    </w:rPr>
                    <w:t>低氮燃烧器+</w:t>
                  </w:r>
                  <w:r>
                    <w:rPr>
                      <w:rFonts w:hint="eastAsia"/>
                      <w:color w:val="000000"/>
                      <w:sz w:val="18"/>
                      <w:szCs w:val="18"/>
                    </w:rPr>
                    <w:t>SCR脱硝+干法脱硫+</w:t>
                  </w:r>
                  <w:r>
                    <w:rPr>
                      <w:color w:val="000000"/>
                      <w:sz w:val="18"/>
                      <w:szCs w:val="18"/>
                    </w:rPr>
                    <w:t>布袋除尘器+</w:t>
                  </w:r>
                  <w:r>
                    <w:rPr>
                      <w:rFonts w:hint="eastAsia"/>
                      <w:color w:val="000000"/>
                      <w:sz w:val="18"/>
                      <w:szCs w:val="18"/>
                    </w:rPr>
                    <w:t>100m</w:t>
                  </w:r>
                  <w:r>
                    <w:rPr>
                      <w:color w:val="000000"/>
                      <w:sz w:val="18"/>
                      <w:szCs w:val="18"/>
                    </w:rPr>
                    <w:t>排气筒</w:t>
                  </w:r>
                  <w:r>
                    <w:rPr>
                      <w:rFonts w:hint="eastAsia"/>
                      <w:color w:val="000000"/>
                      <w:sz w:val="18"/>
                      <w:szCs w:val="18"/>
                      <w:lang w:val="en-US" w:eastAsia="zh-CN"/>
                    </w:rPr>
                    <w:t>(引风机风量为1150000m</w:t>
                  </w:r>
                  <w:r>
                    <w:rPr>
                      <w:rFonts w:hint="eastAsia"/>
                      <w:color w:val="000000"/>
                      <w:sz w:val="18"/>
                      <w:szCs w:val="18"/>
                      <w:vertAlign w:val="superscript"/>
                      <w:lang w:val="en-US" w:eastAsia="zh-CN"/>
                    </w:rPr>
                    <w:t>3</w:t>
                  </w:r>
                  <w:r>
                    <w:rPr>
                      <w:rFonts w:hint="eastAsia"/>
                      <w:color w:val="000000"/>
                      <w:sz w:val="18"/>
                      <w:szCs w:val="18"/>
                      <w:lang w:val="en-US" w:eastAsia="zh-CN"/>
                    </w:rPr>
                    <w:t>/h)</w:t>
                  </w:r>
                </w:p>
              </w:tc>
              <w:tc>
                <w:tcPr>
                  <w:tcW w:w="488" w:type="pct"/>
                  <w:vAlign w:val="center"/>
                </w:tcPr>
                <w:p>
                  <w:pPr>
                    <w:autoSpaceDE w:val="0"/>
                    <w:spacing w:line="240" w:lineRule="exact"/>
                    <w:ind w:firstLine="0" w:firstLineChars="0"/>
                    <w:jc w:val="center"/>
                    <w:rPr>
                      <w:sz w:val="18"/>
                      <w:szCs w:val="18"/>
                    </w:rPr>
                  </w:pPr>
                  <w:r>
                    <w:rPr>
                      <w:sz w:val="18"/>
                      <w:szCs w:val="18"/>
                    </w:rPr>
                    <w:t>3.5</w:t>
                  </w:r>
                </w:p>
              </w:tc>
              <w:tc>
                <w:tcPr>
                  <w:tcW w:w="388" w:type="pct"/>
                  <w:vAlign w:val="center"/>
                </w:tcPr>
                <w:p>
                  <w:pPr>
                    <w:autoSpaceDE w:val="0"/>
                    <w:spacing w:line="240" w:lineRule="exact"/>
                    <w:ind w:firstLine="0" w:firstLineChars="0"/>
                    <w:jc w:val="center"/>
                    <w:rPr>
                      <w:sz w:val="18"/>
                      <w:szCs w:val="18"/>
                    </w:rPr>
                  </w:pPr>
                  <w:r>
                    <w:rPr>
                      <w:rFonts w:hint="eastAsia"/>
                      <w:sz w:val="18"/>
                      <w:szCs w:val="18"/>
                    </w:rPr>
                    <w:t>1.881</w:t>
                  </w:r>
                </w:p>
              </w:tc>
              <w:tc>
                <w:tcPr>
                  <w:tcW w:w="450" w:type="pct"/>
                  <w:vAlign w:val="center"/>
                </w:tcPr>
                <w:p>
                  <w:pPr>
                    <w:autoSpaceDE w:val="0"/>
                    <w:spacing w:line="240" w:lineRule="exact"/>
                    <w:ind w:firstLine="0" w:firstLineChars="0"/>
                    <w:jc w:val="center"/>
                    <w:rPr>
                      <w:sz w:val="18"/>
                      <w:szCs w:val="18"/>
                    </w:rPr>
                  </w:pPr>
                  <w:r>
                    <w:rPr>
                      <w:rFonts w:hint="eastAsia"/>
                      <w:sz w:val="18"/>
                      <w:szCs w:val="18"/>
                    </w:rPr>
                    <w:t>15.049</w:t>
                  </w:r>
                </w:p>
              </w:tc>
              <w:tc>
                <w:tcPr>
                  <w:tcW w:w="439" w:type="pct"/>
                  <w:vAlign w:val="center"/>
                </w:tcPr>
                <w:p>
                  <w:pPr>
                    <w:autoSpaceDE w:val="0"/>
                    <w:spacing w:line="240" w:lineRule="exact"/>
                    <w:ind w:firstLine="0" w:firstLineChars="0"/>
                    <w:jc w:val="center"/>
                    <w:rPr>
                      <w:sz w:val="18"/>
                      <w:szCs w:val="18"/>
                    </w:rPr>
                  </w:pPr>
                  <w:r>
                    <w:rPr>
                      <w:rFonts w:hint="eastAsia"/>
                      <w:sz w:val="18"/>
                      <w:szCs w:val="18"/>
                    </w:rPr>
                    <w:t>5</w:t>
                  </w:r>
                </w:p>
              </w:tc>
              <w:tc>
                <w:tcPr>
                  <w:tcW w:w="442" w:type="pct"/>
                  <w:vAlign w:val="center"/>
                </w:tcPr>
                <w:p>
                  <w:pPr>
                    <w:autoSpaceDE w:val="0"/>
                    <w:spacing w:line="240" w:lineRule="exact"/>
                    <w:ind w:firstLine="0" w:firstLineChars="0"/>
                    <w:jc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vMerge w:val="continue"/>
                  <w:vAlign w:val="center"/>
                </w:tcPr>
                <w:p>
                  <w:pPr>
                    <w:widowControl/>
                    <w:spacing w:line="320" w:lineRule="exact"/>
                    <w:ind w:firstLine="0" w:firstLineChars="0"/>
                    <w:jc w:val="center"/>
                    <w:rPr>
                      <w:kern w:val="0"/>
                      <w:sz w:val="18"/>
                      <w:szCs w:val="18"/>
                    </w:rPr>
                  </w:pPr>
                </w:p>
              </w:tc>
              <w:tc>
                <w:tcPr>
                  <w:tcW w:w="389" w:type="pct"/>
                  <w:vAlign w:val="center"/>
                </w:tcPr>
                <w:p>
                  <w:pPr>
                    <w:pStyle w:val="128"/>
                    <w:autoSpaceDE w:val="0"/>
                    <w:spacing w:beforeLines="0" w:afterLines="0" w:line="240" w:lineRule="exact"/>
                    <w:ind w:firstLine="0" w:firstLineChars="0"/>
                    <w:rPr>
                      <w:rFonts w:ascii="Times New Roman"/>
                      <w:sz w:val="18"/>
                      <w:szCs w:val="18"/>
                    </w:rPr>
                  </w:pPr>
                  <w:r>
                    <w:rPr>
                      <w:rFonts w:ascii="Times New Roman"/>
                      <w:sz w:val="18"/>
                      <w:szCs w:val="18"/>
                    </w:rPr>
                    <w:t>SO</w:t>
                  </w:r>
                  <w:r>
                    <w:rPr>
                      <w:rFonts w:ascii="Times New Roman"/>
                      <w:sz w:val="18"/>
                      <w:szCs w:val="18"/>
                      <w:vertAlign w:val="subscript"/>
                    </w:rPr>
                    <w:t>2</w:t>
                  </w:r>
                </w:p>
              </w:tc>
              <w:tc>
                <w:tcPr>
                  <w:tcW w:w="492" w:type="pct"/>
                  <w:vAlign w:val="center"/>
                </w:tcPr>
                <w:p>
                  <w:pPr>
                    <w:autoSpaceDE w:val="0"/>
                    <w:spacing w:line="240" w:lineRule="exact"/>
                    <w:ind w:firstLine="0" w:firstLineChars="0"/>
                    <w:jc w:val="center"/>
                    <w:rPr>
                      <w:sz w:val="18"/>
                      <w:szCs w:val="18"/>
                    </w:rPr>
                  </w:pPr>
                  <w:r>
                    <w:rPr>
                      <w:rFonts w:hint="eastAsia"/>
                      <w:sz w:val="18"/>
                      <w:szCs w:val="18"/>
                    </w:rPr>
                    <w:t>199.48</w:t>
                  </w:r>
                </w:p>
              </w:tc>
              <w:tc>
                <w:tcPr>
                  <w:tcW w:w="448" w:type="pct"/>
                  <w:vAlign w:val="center"/>
                </w:tcPr>
                <w:p>
                  <w:pPr>
                    <w:autoSpaceDE w:val="0"/>
                    <w:spacing w:line="240" w:lineRule="exact"/>
                    <w:ind w:firstLine="0" w:firstLineChars="0"/>
                    <w:jc w:val="center"/>
                    <w:rPr>
                      <w:rFonts w:hint="default" w:eastAsia="宋体"/>
                      <w:sz w:val="18"/>
                      <w:szCs w:val="18"/>
                      <w:lang w:val="en-US" w:eastAsia="zh-CN"/>
                    </w:rPr>
                  </w:pPr>
                  <w:r>
                    <w:rPr>
                      <w:rFonts w:hint="eastAsia"/>
                      <w:sz w:val="18"/>
                      <w:szCs w:val="18"/>
                    </w:rPr>
                    <w:t>26.8</w:t>
                  </w:r>
                  <w:r>
                    <w:rPr>
                      <w:rFonts w:hint="eastAsia"/>
                      <w:sz w:val="18"/>
                      <w:szCs w:val="18"/>
                      <w:lang w:val="en-US" w:eastAsia="zh-CN"/>
                    </w:rPr>
                    <w:t>03</w:t>
                  </w:r>
                </w:p>
              </w:tc>
              <w:tc>
                <w:tcPr>
                  <w:tcW w:w="562" w:type="pct"/>
                  <w:vAlign w:val="center"/>
                </w:tcPr>
                <w:p>
                  <w:pPr>
                    <w:autoSpaceDE w:val="0"/>
                    <w:spacing w:line="240" w:lineRule="exact"/>
                    <w:ind w:firstLine="0" w:firstLineChars="0"/>
                    <w:jc w:val="center"/>
                    <w:rPr>
                      <w:sz w:val="18"/>
                      <w:szCs w:val="18"/>
                    </w:rPr>
                  </w:pPr>
                  <w:r>
                    <w:rPr>
                      <w:rFonts w:hint="eastAsia"/>
                      <w:sz w:val="18"/>
                      <w:szCs w:val="18"/>
                    </w:rPr>
                    <w:t>214.422</w:t>
                  </w:r>
                </w:p>
              </w:tc>
              <w:tc>
                <w:tcPr>
                  <w:tcW w:w="598" w:type="pct"/>
                  <w:vMerge w:val="continue"/>
                  <w:vAlign w:val="center"/>
                </w:tcPr>
                <w:p>
                  <w:pPr>
                    <w:spacing w:line="320" w:lineRule="exact"/>
                    <w:ind w:firstLine="0" w:firstLineChars="0"/>
                    <w:jc w:val="center"/>
                    <w:rPr>
                      <w:sz w:val="18"/>
                      <w:szCs w:val="18"/>
                    </w:rPr>
                  </w:pPr>
                </w:p>
              </w:tc>
              <w:tc>
                <w:tcPr>
                  <w:tcW w:w="488" w:type="pct"/>
                  <w:vAlign w:val="center"/>
                </w:tcPr>
                <w:p>
                  <w:pPr>
                    <w:autoSpaceDE w:val="0"/>
                    <w:spacing w:line="240" w:lineRule="exact"/>
                    <w:ind w:firstLine="0" w:firstLineChars="0"/>
                    <w:jc w:val="center"/>
                    <w:rPr>
                      <w:sz w:val="18"/>
                      <w:szCs w:val="18"/>
                    </w:rPr>
                  </w:pPr>
                  <w:r>
                    <w:rPr>
                      <w:rFonts w:hint="eastAsia"/>
                      <w:sz w:val="18"/>
                      <w:szCs w:val="18"/>
                    </w:rPr>
                    <w:t>7.48</w:t>
                  </w:r>
                </w:p>
              </w:tc>
              <w:tc>
                <w:tcPr>
                  <w:tcW w:w="388" w:type="pct"/>
                  <w:vAlign w:val="center"/>
                </w:tcPr>
                <w:p>
                  <w:pPr>
                    <w:autoSpaceDE w:val="0"/>
                    <w:spacing w:line="240" w:lineRule="exact"/>
                    <w:ind w:firstLine="0" w:firstLineChars="0"/>
                    <w:jc w:val="center"/>
                    <w:rPr>
                      <w:sz w:val="18"/>
                      <w:szCs w:val="18"/>
                    </w:rPr>
                  </w:pPr>
                  <w:r>
                    <w:rPr>
                      <w:rFonts w:hint="eastAsia"/>
                      <w:sz w:val="18"/>
                      <w:szCs w:val="18"/>
                    </w:rPr>
                    <w:t>4.02</w:t>
                  </w:r>
                </w:p>
              </w:tc>
              <w:tc>
                <w:tcPr>
                  <w:tcW w:w="450" w:type="pct"/>
                  <w:vAlign w:val="center"/>
                </w:tcPr>
                <w:p>
                  <w:pPr>
                    <w:autoSpaceDE w:val="0"/>
                    <w:spacing w:line="240" w:lineRule="exact"/>
                    <w:ind w:firstLine="0" w:firstLineChars="0"/>
                    <w:jc w:val="center"/>
                    <w:rPr>
                      <w:sz w:val="18"/>
                      <w:szCs w:val="18"/>
                    </w:rPr>
                  </w:pPr>
                  <w:r>
                    <w:rPr>
                      <w:rFonts w:hint="eastAsia"/>
                      <w:sz w:val="18"/>
                      <w:szCs w:val="18"/>
                    </w:rPr>
                    <w:t>32.163</w:t>
                  </w:r>
                </w:p>
              </w:tc>
              <w:tc>
                <w:tcPr>
                  <w:tcW w:w="439" w:type="pct"/>
                  <w:vAlign w:val="center"/>
                </w:tcPr>
                <w:p>
                  <w:pPr>
                    <w:autoSpaceDE w:val="0"/>
                    <w:spacing w:line="240" w:lineRule="exact"/>
                    <w:ind w:firstLine="0" w:firstLineChars="0"/>
                    <w:jc w:val="center"/>
                    <w:rPr>
                      <w:sz w:val="18"/>
                      <w:szCs w:val="18"/>
                    </w:rPr>
                  </w:pPr>
                  <w:r>
                    <w:rPr>
                      <w:rFonts w:hint="eastAsia"/>
                      <w:sz w:val="18"/>
                      <w:szCs w:val="18"/>
                    </w:rPr>
                    <w:t>35</w:t>
                  </w:r>
                </w:p>
              </w:tc>
              <w:tc>
                <w:tcPr>
                  <w:tcW w:w="442" w:type="pct"/>
                  <w:vAlign w:val="center"/>
                </w:tcPr>
                <w:p>
                  <w:pPr>
                    <w:autoSpaceDE w:val="0"/>
                    <w:spacing w:line="240" w:lineRule="exact"/>
                    <w:ind w:firstLine="0" w:firstLineChars="0"/>
                    <w:jc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vMerge w:val="continue"/>
                  <w:vAlign w:val="center"/>
                </w:tcPr>
                <w:p>
                  <w:pPr>
                    <w:widowControl/>
                    <w:spacing w:line="320" w:lineRule="exact"/>
                    <w:ind w:firstLine="0" w:firstLineChars="0"/>
                    <w:jc w:val="center"/>
                    <w:rPr>
                      <w:kern w:val="0"/>
                      <w:sz w:val="18"/>
                      <w:szCs w:val="18"/>
                    </w:rPr>
                  </w:pPr>
                </w:p>
              </w:tc>
              <w:tc>
                <w:tcPr>
                  <w:tcW w:w="389" w:type="pct"/>
                  <w:vAlign w:val="center"/>
                </w:tcPr>
                <w:p>
                  <w:pPr>
                    <w:pStyle w:val="128"/>
                    <w:autoSpaceDE w:val="0"/>
                    <w:spacing w:beforeLines="0" w:afterLines="0" w:line="240" w:lineRule="exact"/>
                    <w:ind w:firstLine="0" w:firstLineChars="0"/>
                    <w:rPr>
                      <w:rFonts w:ascii="Times New Roman"/>
                      <w:sz w:val="18"/>
                      <w:szCs w:val="18"/>
                    </w:rPr>
                  </w:pPr>
                  <w:r>
                    <w:rPr>
                      <w:rFonts w:ascii="Times New Roman"/>
                      <w:sz w:val="18"/>
                      <w:szCs w:val="18"/>
                    </w:rPr>
                    <w:t>NO</w:t>
                  </w:r>
                  <w:r>
                    <w:rPr>
                      <w:rFonts w:ascii="Times New Roman"/>
                      <w:sz w:val="18"/>
                      <w:szCs w:val="18"/>
                      <w:vertAlign w:val="subscript"/>
                    </w:rPr>
                    <w:t>X</w:t>
                  </w:r>
                </w:p>
              </w:tc>
              <w:tc>
                <w:tcPr>
                  <w:tcW w:w="492" w:type="pct"/>
                  <w:vAlign w:val="center"/>
                </w:tcPr>
                <w:p>
                  <w:pPr>
                    <w:autoSpaceDE w:val="0"/>
                    <w:spacing w:line="240" w:lineRule="exact"/>
                    <w:ind w:firstLine="0" w:firstLineChars="0"/>
                    <w:jc w:val="center"/>
                    <w:rPr>
                      <w:sz w:val="18"/>
                      <w:szCs w:val="18"/>
                    </w:rPr>
                  </w:pPr>
                  <w:r>
                    <w:rPr>
                      <w:rFonts w:hint="eastAsia"/>
                      <w:sz w:val="18"/>
                      <w:szCs w:val="18"/>
                    </w:rPr>
                    <w:t>35.46</w:t>
                  </w:r>
                </w:p>
              </w:tc>
              <w:tc>
                <w:tcPr>
                  <w:tcW w:w="448" w:type="pct"/>
                  <w:vAlign w:val="center"/>
                </w:tcPr>
                <w:p>
                  <w:pPr>
                    <w:autoSpaceDE w:val="0"/>
                    <w:spacing w:line="240" w:lineRule="exact"/>
                    <w:ind w:firstLine="0" w:firstLineChars="0"/>
                    <w:jc w:val="center"/>
                    <w:rPr>
                      <w:sz w:val="18"/>
                      <w:szCs w:val="18"/>
                    </w:rPr>
                  </w:pPr>
                  <w:r>
                    <w:rPr>
                      <w:rFonts w:hint="eastAsia"/>
                      <w:sz w:val="18"/>
                      <w:szCs w:val="18"/>
                    </w:rPr>
                    <w:t>19.06</w:t>
                  </w:r>
                </w:p>
              </w:tc>
              <w:tc>
                <w:tcPr>
                  <w:tcW w:w="562" w:type="pct"/>
                  <w:vAlign w:val="center"/>
                </w:tcPr>
                <w:p>
                  <w:pPr>
                    <w:autoSpaceDE w:val="0"/>
                    <w:spacing w:line="240" w:lineRule="exact"/>
                    <w:ind w:firstLine="0" w:firstLineChars="0"/>
                    <w:jc w:val="center"/>
                    <w:rPr>
                      <w:sz w:val="18"/>
                      <w:szCs w:val="18"/>
                    </w:rPr>
                  </w:pPr>
                  <w:r>
                    <w:rPr>
                      <w:rFonts w:hint="eastAsia"/>
                      <w:sz w:val="18"/>
                      <w:szCs w:val="18"/>
                    </w:rPr>
                    <w:t>152.478</w:t>
                  </w:r>
                </w:p>
              </w:tc>
              <w:tc>
                <w:tcPr>
                  <w:tcW w:w="598" w:type="pct"/>
                  <w:vMerge w:val="continue"/>
                  <w:vAlign w:val="center"/>
                </w:tcPr>
                <w:p>
                  <w:pPr>
                    <w:spacing w:line="320" w:lineRule="exact"/>
                    <w:ind w:firstLine="0" w:firstLineChars="0"/>
                    <w:jc w:val="center"/>
                    <w:rPr>
                      <w:sz w:val="18"/>
                      <w:szCs w:val="18"/>
                    </w:rPr>
                  </w:pPr>
                </w:p>
              </w:tc>
              <w:tc>
                <w:tcPr>
                  <w:tcW w:w="488" w:type="pct"/>
                  <w:vAlign w:val="center"/>
                </w:tcPr>
                <w:p>
                  <w:pPr>
                    <w:autoSpaceDE w:val="0"/>
                    <w:spacing w:line="240" w:lineRule="exact"/>
                    <w:ind w:firstLine="0" w:firstLineChars="0"/>
                    <w:jc w:val="center"/>
                    <w:rPr>
                      <w:sz w:val="18"/>
                      <w:szCs w:val="18"/>
                    </w:rPr>
                  </w:pPr>
                  <w:r>
                    <w:rPr>
                      <w:rFonts w:hint="eastAsia"/>
                      <w:sz w:val="18"/>
                      <w:szCs w:val="18"/>
                    </w:rPr>
                    <w:t>10.64</w:t>
                  </w:r>
                </w:p>
              </w:tc>
              <w:tc>
                <w:tcPr>
                  <w:tcW w:w="388" w:type="pct"/>
                  <w:vAlign w:val="center"/>
                </w:tcPr>
                <w:p>
                  <w:pPr>
                    <w:autoSpaceDE w:val="0"/>
                    <w:spacing w:line="240" w:lineRule="exact"/>
                    <w:ind w:firstLine="0" w:firstLineChars="0"/>
                    <w:jc w:val="center"/>
                    <w:rPr>
                      <w:sz w:val="18"/>
                      <w:szCs w:val="18"/>
                    </w:rPr>
                  </w:pPr>
                  <w:r>
                    <w:rPr>
                      <w:rFonts w:hint="eastAsia"/>
                      <w:sz w:val="18"/>
                      <w:szCs w:val="18"/>
                    </w:rPr>
                    <w:t>5.718</w:t>
                  </w:r>
                </w:p>
              </w:tc>
              <w:tc>
                <w:tcPr>
                  <w:tcW w:w="450" w:type="pct"/>
                  <w:vAlign w:val="center"/>
                </w:tcPr>
                <w:p>
                  <w:pPr>
                    <w:autoSpaceDE w:val="0"/>
                    <w:spacing w:line="240" w:lineRule="exact"/>
                    <w:ind w:firstLine="0" w:firstLineChars="0"/>
                    <w:jc w:val="center"/>
                    <w:rPr>
                      <w:sz w:val="18"/>
                      <w:szCs w:val="18"/>
                    </w:rPr>
                  </w:pPr>
                  <w:r>
                    <w:rPr>
                      <w:rFonts w:hint="eastAsia"/>
                      <w:sz w:val="18"/>
                      <w:szCs w:val="18"/>
                    </w:rPr>
                    <w:t>45.743</w:t>
                  </w:r>
                </w:p>
              </w:tc>
              <w:tc>
                <w:tcPr>
                  <w:tcW w:w="439" w:type="pct"/>
                  <w:vAlign w:val="center"/>
                </w:tcPr>
                <w:p>
                  <w:pPr>
                    <w:autoSpaceDE w:val="0"/>
                    <w:spacing w:line="240" w:lineRule="exact"/>
                    <w:ind w:firstLine="0" w:firstLineChars="0"/>
                    <w:jc w:val="center"/>
                    <w:rPr>
                      <w:sz w:val="18"/>
                      <w:szCs w:val="18"/>
                    </w:rPr>
                  </w:pPr>
                  <w:r>
                    <w:rPr>
                      <w:rFonts w:hint="eastAsia"/>
                      <w:sz w:val="18"/>
                      <w:szCs w:val="18"/>
                    </w:rPr>
                    <w:t>50</w:t>
                  </w:r>
                </w:p>
              </w:tc>
              <w:tc>
                <w:tcPr>
                  <w:tcW w:w="442" w:type="pct"/>
                  <w:vAlign w:val="center"/>
                </w:tcPr>
                <w:p>
                  <w:pPr>
                    <w:autoSpaceDE w:val="0"/>
                    <w:spacing w:line="240" w:lineRule="exact"/>
                    <w:ind w:firstLine="0" w:firstLineChars="0"/>
                    <w:jc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9" w:type="pct"/>
                  <w:vMerge w:val="continue"/>
                  <w:vAlign w:val="center"/>
                </w:tcPr>
                <w:p>
                  <w:pPr>
                    <w:widowControl/>
                    <w:spacing w:line="320" w:lineRule="exact"/>
                    <w:ind w:firstLine="0" w:firstLineChars="0"/>
                    <w:jc w:val="center"/>
                    <w:rPr>
                      <w:kern w:val="0"/>
                      <w:sz w:val="18"/>
                      <w:szCs w:val="18"/>
                    </w:rPr>
                  </w:pPr>
                </w:p>
              </w:tc>
              <w:tc>
                <w:tcPr>
                  <w:tcW w:w="389" w:type="pct"/>
                  <w:vAlign w:val="center"/>
                </w:tcPr>
                <w:p>
                  <w:pPr>
                    <w:pStyle w:val="128"/>
                    <w:autoSpaceDE w:val="0"/>
                    <w:spacing w:beforeLines="0" w:afterLines="0" w:line="240" w:lineRule="exact"/>
                    <w:ind w:firstLine="0" w:firstLineChars="0"/>
                    <w:rPr>
                      <w:rFonts w:ascii="Times New Roman"/>
                      <w:sz w:val="18"/>
                      <w:szCs w:val="18"/>
                    </w:rPr>
                  </w:pPr>
                  <w:r>
                    <w:rPr>
                      <w:rFonts w:ascii="Times New Roman"/>
                      <w:sz w:val="18"/>
                      <w:szCs w:val="18"/>
                    </w:rPr>
                    <w:t>NH</w:t>
                  </w:r>
                  <w:r>
                    <w:rPr>
                      <w:rFonts w:ascii="Times New Roman"/>
                      <w:sz w:val="18"/>
                      <w:szCs w:val="18"/>
                      <w:vertAlign w:val="subscript"/>
                    </w:rPr>
                    <w:t>3</w:t>
                  </w:r>
                </w:p>
              </w:tc>
              <w:tc>
                <w:tcPr>
                  <w:tcW w:w="492" w:type="pct"/>
                  <w:vAlign w:val="center"/>
                </w:tcPr>
                <w:p>
                  <w:pPr>
                    <w:autoSpaceDE w:val="0"/>
                    <w:spacing w:line="240" w:lineRule="exact"/>
                    <w:ind w:firstLine="0" w:firstLineChars="0"/>
                    <w:jc w:val="center"/>
                    <w:rPr>
                      <w:sz w:val="18"/>
                      <w:szCs w:val="18"/>
                    </w:rPr>
                  </w:pPr>
                  <w:r>
                    <w:rPr>
                      <w:rFonts w:hint="eastAsia"/>
                      <w:sz w:val="18"/>
                      <w:szCs w:val="18"/>
                    </w:rPr>
                    <w:t>/</w:t>
                  </w:r>
                </w:p>
              </w:tc>
              <w:tc>
                <w:tcPr>
                  <w:tcW w:w="448" w:type="pct"/>
                  <w:vAlign w:val="center"/>
                </w:tcPr>
                <w:p>
                  <w:pPr>
                    <w:autoSpaceDE w:val="0"/>
                    <w:spacing w:line="240" w:lineRule="exact"/>
                    <w:ind w:firstLine="0" w:firstLineChars="0"/>
                    <w:jc w:val="center"/>
                    <w:rPr>
                      <w:sz w:val="18"/>
                      <w:szCs w:val="18"/>
                    </w:rPr>
                  </w:pPr>
                  <w:r>
                    <w:rPr>
                      <w:rFonts w:hint="eastAsia"/>
                      <w:sz w:val="18"/>
                      <w:szCs w:val="18"/>
                    </w:rPr>
                    <w:t>/</w:t>
                  </w:r>
                </w:p>
              </w:tc>
              <w:tc>
                <w:tcPr>
                  <w:tcW w:w="562" w:type="pct"/>
                  <w:vAlign w:val="center"/>
                </w:tcPr>
                <w:p>
                  <w:pPr>
                    <w:autoSpaceDE w:val="0"/>
                    <w:spacing w:line="240" w:lineRule="exact"/>
                    <w:ind w:firstLine="0" w:firstLineChars="0"/>
                    <w:jc w:val="center"/>
                    <w:rPr>
                      <w:sz w:val="18"/>
                      <w:szCs w:val="18"/>
                    </w:rPr>
                  </w:pPr>
                  <w:r>
                    <w:rPr>
                      <w:rFonts w:hint="eastAsia"/>
                      <w:sz w:val="18"/>
                      <w:szCs w:val="18"/>
                    </w:rPr>
                    <w:t>/</w:t>
                  </w:r>
                </w:p>
              </w:tc>
              <w:tc>
                <w:tcPr>
                  <w:tcW w:w="598" w:type="pct"/>
                  <w:vMerge w:val="continue"/>
                  <w:vAlign w:val="center"/>
                </w:tcPr>
                <w:p>
                  <w:pPr>
                    <w:autoSpaceDE w:val="0"/>
                    <w:spacing w:line="240" w:lineRule="exact"/>
                    <w:ind w:firstLine="0" w:firstLineChars="0"/>
                    <w:jc w:val="center"/>
                    <w:rPr>
                      <w:sz w:val="18"/>
                      <w:szCs w:val="18"/>
                    </w:rPr>
                  </w:pPr>
                </w:p>
              </w:tc>
              <w:tc>
                <w:tcPr>
                  <w:tcW w:w="488" w:type="pct"/>
                  <w:vAlign w:val="center"/>
                </w:tcPr>
                <w:p>
                  <w:pPr>
                    <w:autoSpaceDE w:val="0"/>
                    <w:spacing w:line="240" w:lineRule="exact"/>
                    <w:ind w:firstLine="0" w:firstLineChars="0"/>
                    <w:jc w:val="center"/>
                    <w:rPr>
                      <w:sz w:val="18"/>
                      <w:szCs w:val="18"/>
                    </w:rPr>
                  </w:pPr>
                  <w:r>
                    <w:rPr>
                      <w:rFonts w:hint="eastAsia"/>
                      <w:sz w:val="18"/>
                      <w:szCs w:val="18"/>
                    </w:rPr>
                    <w:t>/</w:t>
                  </w:r>
                </w:p>
              </w:tc>
              <w:tc>
                <w:tcPr>
                  <w:tcW w:w="388" w:type="pct"/>
                  <w:vAlign w:val="center"/>
                </w:tcPr>
                <w:p>
                  <w:pPr>
                    <w:autoSpaceDE w:val="0"/>
                    <w:spacing w:line="240" w:lineRule="exact"/>
                    <w:ind w:firstLine="0" w:firstLineChars="0"/>
                    <w:jc w:val="center"/>
                    <w:rPr>
                      <w:sz w:val="18"/>
                      <w:szCs w:val="18"/>
                    </w:rPr>
                  </w:pPr>
                  <w:r>
                    <w:rPr>
                      <w:rFonts w:hint="eastAsia"/>
                      <w:sz w:val="18"/>
                      <w:szCs w:val="18"/>
                    </w:rPr>
                    <w:t>≤2.3</w:t>
                  </w:r>
                </w:p>
              </w:tc>
              <w:tc>
                <w:tcPr>
                  <w:tcW w:w="450" w:type="pct"/>
                  <w:vAlign w:val="center"/>
                </w:tcPr>
                <w:p>
                  <w:pPr>
                    <w:autoSpaceDE w:val="0"/>
                    <w:spacing w:line="240" w:lineRule="exact"/>
                    <w:ind w:firstLine="0" w:firstLineChars="0"/>
                    <w:jc w:val="center"/>
                    <w:rPr>
                      <w:sz w:val="18"/>
                      <w:szCs w:val="18"/>
                    </w:rPr>
                  </w:pPr>
                  <w:r>
                    <w:rPr>
                      <w:rFonts w:hint="eastAsia"/>
                      <w:sz w:val="18"/>
                      <w:szCs w:val="18"/>
                    </w:rPr>
                    <w:t>/</w:t>
                  </w:r>
                </w:p>
              </w:tc>
              <w:tc>
                <w:tcPr>
                  <w:tcW w:w="439" w:type="pct"/>
                  <w:vAlign w:val="center"/>
                </w:tcPr>
                <w:p>
                  <w:pPr>
                    <w:autoSpaceDE w:val="0"/>
                    <w:spacing w:line="240" w:lineRule="exact"/>
                    <w:ind w:firstLine="0" w:firstLineChars="0"/>
                    <w:jc w:val="center"/>
                    <w:rPr>
                      <w:sz w:val="18"/>
                      <w:szCs w:val="18"/>
                    </w:rPr>
                  </w:pPr>
                  <w:r>
                    <w:rPr>
                      <w:rFonts w:hint="eastAsia"/>
                      <w:sz w:val="18"/>
                      <w:szCs w:val="18"/>
                    </w:rPr>
                    <w:t>2.5</w:t>
                  </w:r>
                </w:p>
              </w:tc>
              <w:tc>
                <w:tcPr>
                  <w:tcW w:w="442" w:type="pct"/>
                  <w:vAlign w:val="center"/>
                </w:tcPr>
                <w:p>
                  <w:pPr>
                    <w:autoSpaceDE w:val="0"/>
                    <w:spacing w:line="240" w:lineRule="exact"/>
                    <w:ind w:firstLine="0" w:firstLineChars="0"/>
                    <w:jc w:val="center"/>
                    <w:rPr>
                      <w:sz w:val="18"/>
                      <w:szCs w:val="18"/>
                    </w:rPr>
                  </w:pPr>
                  <w:r>
                    <w:rPr>
                      <w:rFonts w:hint="eastAsia"/>
                      <w:sz w:val="18"/>
                      <w:szCs w:val="18"/>
                    </w:rPr>
                    <w:t>达标</w:t>
                  </w:r>
                </w:p>
              </w:tc>
            </w:tr>
          </w:tbl>
          <w:p>
            <w:pPr>
              <w:adjustRightInd w:val="0"/>
              <w:snapToGrid w:val="0"/>
              <w:spacing w:line="480" w:lineRule="exact"/>
              <w:ind w:firstLine="480"/>
              <w:rPr>
                <w:rFonts w:hint="default"/>
                <w:lang w:val="en-US" w:eastAsia="zh-CN"/>
              </w:rPr>
            </w:pPr>
            <w:r>
              <w:rPr>
                <w:rFonts w:hint="eastAsia"/>
                <w:lang w:val="en-US" w:eastAsia="zh-CN"/>
              </w:rPr>
              <w:t>(3)非正常工况分析</w:t>
            </w:r>
          </w:p>
          <w:p>
            <w:pPr>
              <w:adjustRightInd w:val="0"/>
              <w:snapToGrid w:val="0"/>
              <w:spacing w:line="480" w:lineRule="exact"/>
              <w:ind w:firstLine="480"/>
              <w:rPr>
                <w:rFonts w:hint="eastAsia"/>
                <w:lang w:val="en-US" w:eastAsia="zh-CN"/>
              </w:rPr>
            </w:pPr>
            <w:r>
              <w:rPr>
                <w:rFonts w:hint="eastAsia"/>
                <w:lang w:val="en-US" w:eastAsia="zh-CN"/>
              </w:rPr>
              <w:t>本项目可能发生的非正常工况主要为环保设施发生故障。环保设施故障频次按每年发生1次，每次持续10min计。环保设施发生故障后,立即停产,对故障设施进行检修，待故障设施恢复正常后恢复生产。本项目非正常工况污染物排放情况见下表33。</w:t>
            </w:r>
          </w:p>
          <w:p>
            <w:pPr>
              <w:keepNext/>
              <w:keepLines/>
              <w:tabs>
                <w:tab w:val="left" w:pos="0"/>
              </w:tabs>
              <w:adjustRightInd w:val="0"/>
              <w:snapToGrid w:val="0"/>
              <w:spacing w:line="480" w:lineRule="exact"/>
              <w:ind w:firstLine="470" w:firstLineChars="195"/>
              <w:jc w:val="center"/>
              <w:outlineLvl w:val="0"/>
              <w:rPr>
                <w:rFonts w:hint="default" w:eastAsia="宋体"/>
                <w:lang w:val="en-US" w:eastAsia="zh-CN"/>
              </w:rPr>
            </w:pPr>
            <w:r>
              <w:rPr>
                <w:b/>
              </w:rPr>
              <w:t>表</w:t>
            </w:r>
            <w:r>
              <w:rPr>
                <w:rFonts w:hint="eastAsia"/>
                <w:b/>
                <w:lang w:val="en-US" w:eastAsia="zh-CN"/>
              </w:rPr>
              <w:t>33</w:t>
            </w:r>
            <w:r>
              <w:rPr>
                <w:rFonts w:hint="eastAsia"/>
                <w:b/>
              </w:rPr>
              <w:t xml:space="preserve">  </w:t>
            </w:r>
            <w:r>
              <w:rPr>
                <w:b/>
              </w:rPr>
              <w:t xml:space="preserve">  </w:t>
            </w:r>
            <w:r>
              <w:rPr>
                <w:rFonts w:hint="eastAsia"/>
                <w:b/>
                <w:lang w:val="en-US" w:eastAsia="zh-CN"/>
              </w:rPr>
              <w:t>非正常排放</w:t>
            </w:r>
            <w:r>
              <w:rPr>
                <w:b/>
              </w:rPr>
              <w:t>情况一览表</w:t>
            </w:r>
          </w:p>
          <w:tbl>
            <w:tblPr>
              <w:tblStyle w:val="7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608"/>
              <w:gridCol w:w="946"/>
              <w:gridCol w:w="1424"/>
              <w:gridCol w:w="1390"/>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Align w:val="center"/>
                </w:tcPr>
                <w:p>
                  <w:pPr>
                    <w:widowControl/>
                    <w:spacing w:line="320" w:lineRule="exact"/>
                    <w:ind w:firstLine="0" w:firstLineChars="0"/>
                    <w:jc w:val="center"/>
                    <w:rPr>
                      <w:rFonts w:hint="default" w:eastAsia="宋体"/>
                      <w:kern w:val="0"/>
                      <w:sz w:val="18"/>
                      <w:szCs w:val="18"/>
                      <w:lang w:val="en-US" w:eastAsia="zh-CN"/>
                    </w:rPr>
                  </w:pPr>
                  <w:r>
                    <w:rPr>
                      <w:rFonts w:hint="eastAsia"/>
                      <w:kern w:val="0"/>
                      <w:sz w:val="18"/>
                      <w:szCs w:val="18"/>
                      <w:lang w:val="en-US" w:eastAsia="zh-CN"/>
                    </w:rPr>
                    <w:t>非正常排放源</w:t>
                  </w:r>
                </w:p>
              </w:tc>
              <w:tc>
                <w:tcPr>
                  <w:tcW w:w="383" w:type="pct"/>
                  <w:vAlign w:val="center"/>
                </w:tcPr>
                <w:p>
                  <w:pPr>
                    <w:pStyle w:val="128"/>
                    <w:autoSpaceDE w:val="0"/>
                    <w:spacing w:beforeLines="0" w:afterLines="0" w:line="240" w:lineRule="exact"/>
                    <w:ind w:firstLine="0" w:firstLineChars="0"/>
                    <w:jc w:val="center"/>
                    <w:rPr>
                      <w:rFonts w:hint="default" w:ascii="Times New Roman" w:eastAsia="宋体"/>
                      <w:sz w:val="18"/>
                      <w:szCs w:val="18"/>
                      <w:lang w:val="en-US" w:eastAsia="zh-CN"/>
                    </w:rPr>
                  </w:pPr>
                  <w:r>
                    <w:rPr>
                      <w:rFonts w:hint="eastAsia" w:ascii="Times New Roman"/>
                      <w:sz w:val="18"/>
                      <w:szCs w:val="18"/>
                      <w:lang w:val="en-US" w:eastAsia="zh-CN"/>
                    </w:rPr>
                    <w:t>频次</w:t>
                  </w:r>
                </w:p>
              </w:tc>
              <w:tc>
                <w:tcPr>
                  <w:tcW w:w="596" w:type="pct"/>
                  <w:vAlign w:val="center"/>
                </w:tcPr>
                <w:p>
                  <w:pPr>
                    <w:widowControl/>
                    <w:spacing w:line="320" w:lineRule="exact"/>
                    <w:ind w:firstLine="0" w:firstLineChars="0"/>
                    <w:jc w:val="center"/>
                    <w:rPr>
                      <w:rFonts w:ascii="Times New Roman"/>
                      <w:sz w:val="18"/>
                      <w:szCs w:val="18"/>
                    </w:rPr>
                  </w:pPr>
                  <w:r>
                    <w:rPr>
                      <w:kern w:val="0"/>
                      <w:sz w:val="18"/>
                      <w:szCs w:val="18"/>
                    </w:rPr>
                    <w:t>污染物</w:t>
                  </w:r>
                </w:p>
              </w:tc>
              <w:tc>
                <w:tcPr>
                  <w:tcW w:w="897" w:type="pct"/>
                  <w:vAlign w:val="center"/>
                </w:tcPr>
                <w:p>
                  <w:pPr>
                    <w:pStyle w:val="128"/>
                    <w:autoSpaceDE w:val="0"/>
                    <w:spacing w:beforeLines="0" w:afterLines="0" w:line="240" w:lineRule="exact"/>
                    <w:ind w:firstLine="0" w:firstLineChars="0"/>
                    <w:jc w:val="center"/>
                    <w:rPr>
                      <w:sz w:val="18"/>
                      <w:szCs w:val="18"/>
                    </w:rPr>
                  </w:pPr>
                  <w:r>
                    <w:rPr>
                      <w:rFonts w:hint="eastAsia" w:ascii="Times New Roman"/>
                      <w:sz w:val="18"/>
                      <w:szCs w:val="18"/>
                      <w:lang w:val="en-US" w:eastAsia="zh-CN"/>
                    </w:rPr>
                    <w:t>排放</w:t>
                  </w:r>
                  <w:r>
                    <w:rPr>
                      <w:rFonts w:ascii="Times New Roman"/>
                      <w:sz w:val="18"/>
                      <w:szCs w:val="18"/>
                    </w:rPr>
                    <w:t>浓度mg/m³</w:t>
                  </w:r>
                </w:p>
              </w:tc>
              <w:tc>
                <w:tcPr>
                  <w:tcW w:w="876" w:type="pct"/>
                  <w:vAlign w:val="center"/>
                </w:tcPr>
                <w:p>
                  <w:pPr>
                    <w:pStyle w:val="128"/>
                    <w:autoSpaceDE w:val="0"/>
                    <w:spacing w:beforeLines="0" w:afterLines="0" w:line="240" w:lineRule="exact"/>
                    <w:ind w:firstLine="0" w:firstLineChars="0"/>
                    <w:jc w:val="center"/>
                    <w:rPr>
                      <w:sz w:val="18"/>
                      <w:szCs w:val="18"/>
                    </w:rPr>
                  </w:pPr>
                  <w:r>
                    <w:rPr>
                      <w:rFonts w:hint="eastAsia" w:ascii="Times New Roman"/>
                      <w:sz w:val="18"/>
                      <w:szCs w:val="18"/>
                      <w:lang w:val="en-US" w:eastAsia="zh-CN"/>
                    </w:rPr>
                    <w:t>排放</w:t>
                  </w:r>
                  <w:r>
                    <w:rPr>
                      <w:rFonts w:ascii="Times New Roman"/>
                      <w:sz w:val="18"/>
                      <w:szCs w:val="18"/>
                    </w:rPr>
                    <w:t>速率kg/h</w:t>
                  </w:r>
                </w:p>
              </w:tc>
              <w:tc>
                <w:tcPr>
                  <w:tcW w:w="1364" w:type="pct"/>
                  <w:vAlign w:val="center"/>
                </w:tcPr>
                <w:p>
                  <w:pPr>
                    <w:spacing w:line="320" w:lineRule="exact"/>
                    <w:ind w:firstLine="0" w:firstLineChars="0"/>
                    <w:jc w:val="center"/>
                    <w:rPr>
                      <w:rFonts w:hint="eastAsia" w:eastAsia="宋体"/>
                      <w:kern w:val="0"/>
                      <w:sz w:val="18"/>
                      <w:szCs w:val="18"/>
                      <w:lang w:eastAsia="zh-CN"/>
                    </w:rPr>
                  </w:pPr>
                  <w:r>
                    <w:rPr>
                      <w:rFonts w:hint="eastAsia"/>
                      <w:kern w:val="0"/>
                      <w:sz w:val="18"/>
                      <w:szCs w:val="18"/>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restart"/>
                  <w:vAlign w:val="center"/>
                </w:tcPr>
                <w:p>
                  <w:pPr>
                    <w:widowControl/>
                    <w:spacing w:line="320" w:lineRule="exact"/>
                    <w:ind w:firstLine="0" w:firstLineChars="0"/>
                    <w:jc w:val="center"/>
                    <w:rPr>
                      <w:kern w:val="0"/>
                      <w:sz w:val="18"/>
                      <w:szCs w:val="18"/>
                    </w:rPr>
                  </w:pPr>
                  <w:r>
                    <w:rPr>
                      <w:sz w:val="18"/>
                      <w:szCs w:val="18"/>
                    </w:rPr>
                    <w:t>煤气锅炉</w:t>
                  </w:r>
                </w:p>
              </w:tc>
              <w:tc>
                <w:tcPr>
                  <w:tcW w:w="383" w:type="pct"/>
                  <w:vMerge w:val="restart"/>
                  <w:vAlign w:val="center"/>
                </w:tcPr>
                <w:p>
                  <w:pPr>
                    <w:autoSpaceDE w:val="0"/>
                    <w:spacing w:line="240" w:lineRule="exact"/>
                    <w:ind w:firstLine="0" w:firstLineChars="0"/>
                    <w:jc w:val="center"/>
                    <w:rPr>
                      <w:rFonts w:hint="default" w:eastAsia="宋体"/>
                      <w:sz w:val="18"/>
                      <w:szCs w:val="18"/>
                      <w:lang w:val="en-US" w:eastAsia="zh-CN"/>
                    </w:rPr>
                  </w:pPr>
                  <w:r>
                    <w:rPr>
                      <w:rFonts w:hint="eastAsia"/>
                      <w:sz w:val="18"/>
                      <w:szCs w:val="18"/>
                      <w:lang w:val="en-US" w:eastAsia="zh-CN"/>
                    </w:rPr>
                    <w:t>1次/a</w:t>
                  </w:r>
                </w:p>
              </w:tc>
              <w:tc>
                <w:tcPr>
                  <w:tcW w:w="596" w:type="pct"/>
                  <w:vAlign w:val="center"/>
                </w:tcPr>
                <w:p>
                  <w:pPr>
                    <w:pStyle w:val="128"/>
                    <w:autoSpaceDE w:val="0"/>
                    <w:spacing w:beforeLines="0" w:afterLines="0" w:line="240" w:lineRule="exact"/>
                    <w:ind w:firstLine="0" w:firstLineChars="0"/>
                    <w:jc w:val="center"/>
                    <w:rPr>
                      <w:sz w:val="18"/>
                      <w:szCs w:val="18"/>
                    </w:rPr>
                  </w:pPr>
                  <w:r>
                    <w:rPr>
                      <w:rFonts w:ascii="Times New Roman"/>
                      <w:sz w:val="18"/>
                      <w:szCs w:val="18"/>
                    </w:rPr>
                    <w:t>颗粒物</w:t>
                  </w:r>
                </w:p>
              </w:tc>
              <w:tc>
                <w:tcPr>
                  <w:tcW w:w="897" w:type="pct"/>
                  <w:vAlign w:val="center"/>
                </w:tcPr>
                <w:p>
                  <w:pPr>
                    <w:autoSpaceDE w:val="0"/>
                    <w:spacing w:line="240" w:lineRule="exact"/>
                    <w:ind w:firstLine="0" w:firstLineChars="0"/>
                    <w:jc w:val="center"/>
                    <w:rPr>
                      <w:sz w:val="18"/>
                      <w:szCs w:val="18"/>
                    </w:rPr>
                  </w:pPr>
                  <w:r>
                    <w:rPr>
                      <w:sz w:val="18"/>
                      <w:szCs w:val="18"/>
                    </w:rPr>
                    <w:t>350</w:t>
                  </w:r>
                </w:p>
              </w:tc>
              <w:tc>
                <w:tcPr>
                  <w:tcW w:w="876" w:type="pct"/>
                  <w:vAlign w:val="center"/>
                </w:tcPr>
                <w:p>
                  <w:pPr>
                    <w:autoSpaceDE w:val="0"/>
                    <w:spacing w:line="240" w:lineRule="exact"/>
                    <w:ind w:firstLine="0" w:firstLineChars="0"/>
                    <w:jc w:val="center"/>
                    <w:rPr>
                      <w:sz w:val="18"/>
                      <w:szCs w:val="18"/>
                    </w:rPr>
                  </w:pPr>
                  <w:r>
                    <w:rPr>
                      <w:rFonts w:hint="eastAsia"/>
                      <w:sz w:val="18"/>
                      <w:szCs w:val="18"/>
                    </w:rPr>
                    <w:t>188.11</w:t>
                  </w:r>
                </w:p>
              </w:tc>
              <w:tc>
                <w:tcPr>
                  <w:tcW w:w="1364" w:type="pct"/>
                  <w:vMerge w:val="restart"/>
                  <w:vAlign w:val="center"/>
                </w:tcPr>
                <w:p>
                  <w:pPr>
                    <w:autoSpaceDE w:val="0"/>
                    <w:spacing w:line="240" w:lineRule="exact"/>
                    <w:ind w:firstLine="0" w:firstLineChars="0"/>
                    <w:jc w:val="center"/>
                    <w:rPr>
                      <w:rFonts w:hint="eastAsia" w:eastAsia="宋体"/>
                      <w:sz w:val="18"/>
                      <w:szCs w:val="18"/>
                      <w:lang w:eastAsia="zh-CN"/>
                    </w:rPr>
                  </w:pPr>
                  <w:r>
                    <w:rPr>
                      <w:rFonts w:hint="eastAsia"/>
                      <w:sz w:val="18"/>
                      <w:szCs w:val="18"/>
                    </w:rPr>
                    <w:t>停止生产，修复废气治理设备</w:t>
                  </w:r>
                  <w:r>
                    <w:rPr>
                      <w:rFonts w:hint="eastAsia"/>
                      <w:sz w:val="18"/>
                      <w:szCs w:val="18"/>
                      <w:lang w:eastAsia="zh-CN"/>
                    </w:rPr>
                    <w:t>；</w:t>
                  </w:r>
                  <w:r>
                    <w:rPr>
                      <w:rFonts w:hint="eastAsia"/>
                      <w:sz w:val="18"/>
                      <w:szCs w:val="18"/>
                    </w:rPr>
                    <w:t>待废气治理设备恢复后尚能启动生产</w:t>
                  </w:r>
                  <w:r>
                    <w:rPr>
                      <w:rFonts w:hint="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vAlign w:val="center"/>
                </w:tcPr>
                <w:p>
                  <w:pPr>
                    <w:widowControl/>
                    <w:spacing w:line="320" w:lineRule="exact"/>
                    <w:ind w:firstLine="0" w:firstLineChars="0"/>
                    <w:jc w:val="center"/>
                    <w:rPr>
                      <w:kern w:val="0"/>
                      <w:sz w:val="18"/>
                      <w:szCs w:val="18"/>
                    </w:rPr>
                  </w:pPr>
                </w:p>
              </w:tc>
              <w:tc>
                <w:tcPr>
                  <w:tcW w:w="383" w:type="pct"/>
                  <w:vMerge w:val="continue"/>
                  <w:vAlign w:val="center"/>
                </w:tcPr>
                <w:p>
                  <w:pPr>
                    <w:autoSpaceDE w:val="0"/>
                    <w:spacing w:line="240" w:lineRule="exact"/>
                    <w:ind w:firstLine="0" w:firstLineChars="0"/>
                    <w:jc w:val="center"/>
                    <w:rPr>
                      <w:rFonts w:hint="eastAsia"/>
                      <w:sz w:val="18"/>
                      <w:szCs w:val="18"/>
                    </w:rPr>
                  </w:pPr>
                </w:p>
              </w:tc>
              <w:tc>
                <w:tcPr>
                  <w:tcW w:w="596" w:type="pct"/>
                  <w:vAlign w:val="center"/>
                </w:tcPr>
                <w:p>
                  <w:pPr>
                    <w:pStyle w:val="128"/>
                    <w:autoSpaceDE w:val="0"/>
                    <w:spacing w:beforeLines="0" w:afterLines="0" w:line="240" w:lineRule="exact"/>
                    <w:ind w:firstLine="0" w:firstLineChars="0"/>
                    <w:jc w:val="center"/>
                    <w:rPr>
                      <w:rFonts w:hint="eastAsia"/>
                      <w:sz w:val="18"/>
                      <w:szCs w:val="18"/>
                    </w:rPr>
                  </w:pPr>
                  <w:r>
                    <w:rPr>
                      <w:rFonts w:ascii="Times New Roman"/>
                      <w:sz w:val="18"/>
                      <w:szCs w:val="18"/>
                    </w:rPr>
                    <w:t>SO</w:t>
                  </w:r>
                  <w:r>
                    <w:rPr>
                      <w:rFonts w:ascii="Times New Roman"/>
                      <w:sz w:val="18"/>
                      <w:szCs w:val="18"/>
                      <w:vertAlign w:val="subscript"/>
                    </w:rPr>
                    <w:t>2</w:t>
                  </w:r>
                </w:p>
              </w:tc>
              <w:tc>
                <w:tcPr>
                  <w:tcW w:w="897" w:type="pct"/>
                  <w:vAlign w:val="center"/>
                </w:tcPr>
                <w:p>
                  <w:pPr>
                    <w:autoSpaceDE w:val="0"/>
                    <w:spacing w:line="240" w:lineRule="exact"/>
                    <w:ind w:firstLine="0" w:firstLineChars="0"/>
                    <w:jc w:val="center"/>
                    <w:rPr>
                      <w:sz w:val="18"/>
                      <w:szCs w:val="18"/>
                    </w:rPr>
                  </w:pPr>
                  <w:r>
                    <w:rPr>
                      <w:rFonts w:hint="eastAsia"/>
                      <w:sz w:val="18"/>
                      <w:szCs w:val="18"/>
                    </w:rPr>
                    <w:t>199.48</w:t>
                  </w:r>
                </w:p>
              </w:tc>
              <w:tc>
                <w:tcPr>
                  <w:tcW w:w="876" w:type="pct"/>
                  <w:vAlign w:val="center"/>
                </w:tcPr>
                <w:p>
                  <w:pPr>
                    <w:autoSpaceDE w:val="0"/>
                    <w:spacing w:line="240" w:lineRule="exact"/>
                    <w:ind w:firstLine="0" w:firstLineChars="0"/>
                    <w:jc w:val="center"/>
                    <w:rPr>
                      <w:sz w:val="18"/>
                      <w:szCs w:val="18"/>
                    </w:rPr>
                  </w:pPr>
                  <w:r>
                    <w:rPr>
                      <w:rFonts w:hint="eastAsia"/>
                      <w:sz w:val="18"/>
                      <w:szCs w:val="18"/>
                    </w:rPr>
                    <w:t>26.8</w:t>
                  </w:r>
                </w:p>
              </w:tc>
              <w:tc>
                <w:tcPr>
                  <w:tcW w:w="1364" w:type="pct"/>
                  <w:vMerge w:val="continue"/>
                  <w:vAlign w:val="center"/>
                </w:tcPr>
                <w:p>
                  <w:pPr>
                    <w:autoSpaceDE w:val="0"/>
                    <w:spacing w:line="240" w:lineRule="exact"/>
                    <w:ind w:firstLine="0" w:firstLineChars="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vAlign w:val="center"/>
                </w:tcPr>
                <w:p>
                  <w:pPr>
                    <w:widowControl/>
                    <w:spacing w:line="320" w:lineRule="exact"/>
                    <w:ind w:firstLine="0" w:firstLineChars="0"/>
                    <w:jc w:val="center"/>
                    <w:rPr>
                      <w:kern w:val="0"/>
                      <w:sz w:val="18"/>
                      <w:szCs w:val="18"/>
                    </w:rPr>
                  </w:pPr>
                </w:p>
              </w:tc>
              <w:tc>
                <w:tcPr>
                  <w:tcW w:w="383" w:type="pct"/>
                  <w:vMerge w:val="continue"/>
                  <w:vAlign w:val="center"/>
                </w:tcPr>
                <w:p>
                  <w:pPr>
                    <w:autoSpaceDE w:val="0"/>
                    <w:spacing w:line="240" w:lineRule="exact"/>
                    <w:ind w:firstLine="0" w:firstLineChars="0"/>
                    <w:jc w:val="center"/>
                    <w:rPr>
                      <w:rFonts w:hint="eastAsia"/>
                      <w:sz w:val="18"/>
                      <w:szCs w:val="18"/>
                    </w:rPr>
                  </w:pPr>
                </w:p>
              </w:tc>
              <w:tc>
                <w:tcPr>
                  <w:tcW w:w="596" w:type="pct"/>
                  <w:vAlign w:val="center"/>
                </w:tcPr>
                <w:p>
                  <w:pPr>
                    <w:pStyle w:val="128"/>
                    <w:autoSpaceDE w:val="0"/>
                    <w:spacing w:beforeLines="0" w:afterLines="0" w:line="240" w:lineRule="exact"/>
                    <w:ind w:firstLine="0" w:firstLineChars="0"/>
                    <w:jc w:val="center"/>
                    <w:rPr>
                      <w:rFonts w:hint="eastAsia"/>
                      <w:sz w:val="18"/>
                      <w:szCs w:val="18"/>
                    </w:rPr>
                  </w:pPr>
                  <w:r>
                    <w:rPr>
                      <w:rFonts w:ascii="Times New Roman"/>
                      <w:sz w:val="18"/>
                      <w:szCs w:val="18"/>
                    </w:rPr>
                    <w:t>NO</w:t>
                  </w:r>
                  <w:r>
                    <w:rPr>
                      <w:rFonts w:ascii="Times New Roman"/>
                      <w:sz w:val="18"/>
                      <w:szCs w:val="18"/>
                      <w:vertAlign w:val="subscript"/>
                    </w:rPr>
                    <w:t>X</w:t>
                  </w:r>
                </w:p>
              </w:tc>
              <w:tc>
                <w:tcPr>
                  <w:tcW w:w="897" w:type="pct"/>
                  <w:vAlign w:val="center"/>
                </w:tcPr>
                <w:p>
                  <w:pPr>
                    <w:autoSpaceDE w:val="0"/>
                    <w:spacing w:line="240" w:lineRule="exact"/>
                    <w:ind w:firstLine="0" w:firstLineChars="0"/>
                    <w:jc w:val="center"/>
                    <w:rPr>
                      <w:sz w:val="18"/>
                      <w:szCs w:val="18"/>
                    </w:rPr>
                  </w:pPr>
                  <w:r>
                    <w:rPr>
                      <w:rFonts w:hint="eastAsia"/>
                      <w:sz w:val="18"/>
                      <w:szCs w:val="18"/>
                    </w:rPr>
                    <w:t>35.46</w:t>
                  </w:r>
                </w:p>
              </w:tc>
              <w:tc>
                <w:tcPr>
                  <w:tcW w:w="876" w:type="pct"/>
                  <w:vAlign w:val="center"/>
                </w:tcPr>
                <w:p>
                  <w:pPr>
                    <w:autoSpaceDE w:val="0"/>
                    <w:spacing w:line="240" w:lineRule="exact"/>
                    <w:ind w:firstLine="0" w:firstLineChars="0"/>
                    <w:jc w:val="center"/>
                    <w:rPr>
                      <w:sz w:val="18"/>
                      <w:szCs w:val="18"/>
                    </w:rPr>
                  </w:pPr>
                  <w:r>
                    <w:rPr>
                      <w:rFonts w:hint="eastAsia"/>
                      <w:sz w:val="18"/>
                      <w:szCs w:val="18"/>
                    </w:rPr>
                    <w:t>19.06</w:t>
                  </w:r>
                </w:p>
              </w:tc>
              <w:tc>
                <w:tcPr>
                  <w:tcW w:w="1364" w:type="pct"/>
                  <w:vMerge w:val="continue"/>
                  <w:vAlign w:val="center"/>
                </w:tcPr>
                <w:p>
                  <w:pPr>
                    <w:autoSpaceDE w:val="0"/>
                    <w:spacing w:line="240" w:lineRule="exact"/>
                    <w:ind w:firstLine="0" w:firstLineChars="0"/>
                    <w:jc w:val="center"/>
                    <w:rPr>
                      <w:sz w:val="18"/>
                      <w:szCs w:val="18"/>
                    </w:rPr>
                  </w:pPr>
                </w:p>
              </w:tc>
            </w:tr>
          </w:tbl>
          <w:p>
            <w:pPr>
              <w:adjustRightInd w:val="0"/>
              <w:snapToGrid w:val="0"/>
              <w:spacing w:line="480" w:lineRule="exact"/>
              <w:ind w:firstLine="480"/>
              <w:rPr>
                <w:rFonts w:hint="eastAsia"/>
              </w:rPr>
            </w:pPr>
            <w:r>
              <w:rPr>
                <w:rFonts w:hint="eastAsia"/>
              </w:rPr>
              <w:t>(</w:t>
            </w:r>
            <w:r>
              <w:rPr>
                <w:rFonts w:hint="eastAsia"/>
                <w:lang w:val="en-US" w:eastAsia="zh-CN"/>
              </w:rPr>
              <w:t>4</w:t>
            </w:r>
            <w:r>
              <w:rPr>
                <w:rFonts w:hint="eastAsia"/>
              </w:rPr>
              <w:t>)排放口基本情况及排放标准</w:t>
            </w:r>
          </w:p>
          <w:p>
            <w:pPr>
              <w:spacing w:line="480" w:lineRule="exact"/>
              <w:ind w:firstLine="480"/>
              <w:rPr>
                <w:rFonts w:hAnsi="宋体"/>
              </w:rPr>
            </w:pPr>
            <w:r>
              <w:rPr>
                <w:rFonts w:hint="eastAsia" w:hAnsi="宋体"/>
              </w:rPr>
              <w:t>本项目排放口基本情况见下表。</w:t>
            </w:r>
          </w:p>
          <w:p>
            <w:pPr>
              <w:pStyle w:val="1728"/>
              <w:tabs>
                <w:tab w:val="left" w:pos="240"/>
              </w:tabs>
              <w:adjustRightInd w:val="0"/>
              <w:snapToGrid w:val="0"/>
              <w:spacing w:line="480" w:lineRule="exact"/>
              <w:ind w:firstLine="0" w:firstLineChars="0"/>
              <w:jc w:val="center"/>
              <w:rPr>
                <w:b/>
                <w:bCs/>
                <w:szCs w:val="24"/>
              </w:rPr>
            </w:pPr>
          </w:p>
          <w:p>
            <w:pPr>
              <w:pStyle w:val="1728"/>
              <w:tabs>
                <w:tab w:val="left" w:pos="240"/>
              </w:tabs>
              <w:adjustRightInd w:val="0"/>
              <w:snapToGrid w:val="0"/>
              <w:spacing w:line="480" w:lineRule="exact"/>
              <w:ind w:firstLine="0" w:firstLineChars="0"/>
              <w:jc w:val="center"/>
              <w:rPr>
                <w:b/>
                <w:bCs/>
                <w:szCs w:val="24"/>
              </w:rPr>
            </w:pPr>
          </w:p>
          <w:p>
            <w:pPr>
              <w:pStyle w:val="1728"/>
              <w:tabs>
                <w:tab w:val="left" w:pos="240"/>
              </w:tabs>
              <w:adjustRightInd w:val="0"/>
              <w:snapToGrid w:val="0"/>
              <w:spacing w:line="480" w:lineRule="exact"/>
              <w:ind w:firstLine="0" w:firstLineChars="0"/>
              <w:jc w:val="center"/>
              <w:rPr>
                <w:b/>
                <w:bCs/>
                <w:szCs w:val="24"/>
              </w:rPr>
            </w:pPr>
            <w:r>
              <w:rPr>
                <w:b/>
                <w:bCs/>
                <w:szCs w:val="24"/>
              </w:rPr>
              <w:t>表</w:t>
            </w:r>
            <w:r>
              <w:rPr>
                <w:rFonts w:hint="eastAsia"/>
                <w:b/>
                <w:bCs/>
                <w:szCs w:val="24"/>
              </w:rPr>
              <w:t>3</w:t>
            </w:r>
            <w:r>
              <w:rPr>
                <w:rFonts w:hint="eastAsia"/>
                <w:b/>
                <w:bCs/>
                <w:szCs w:val="24"/>
                <w:lang w:val="en-US" w:eastAsia="zh-CN"/>
              </w:rPr>
              <w:t>4</w:t>
            </w:r>
            <w:r>
              <w:rPr>
                <w:rFonts w:hint="eastAsia"/>
                <w:b/>
                <w:bCs/>
                <w:szCs w:val="24"/>
              </w:rPr>
              <w:t xml:space="preserve">  </w:t>
            </w:r>
            <w:r>
              <w:rPr>
                <w:b/>
                <w:bCs/>
                <w:szCs w:val="24"/>
              </w:rPr>
              <w:t xml:space="preserve">  本项目排放口基本情况</w:t>
            </w:r>
            <w:r>
              <w:rPr>
                <w:rFonts w:hint="eastAsia"/>
                <w:b/>
                <w:bCs/>
                <w:szCs w:val="24"/>
              </w:rPr>
              <w:t>表</w:t>
            </w:r>
          </w:p>
          <w:tbl>
            <w:tblPr>
              <w:tblStyle w:val="7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916"/>
              <w:gridCol w:w="1617"/>
              <w:gridCol w:w="1495"/>
              <w:gridCol w:w="665"/>
              <w:gridCol w:w="829"/>
              <w:gridCol w:w="662"/>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571" w:type="pct"/>
                  <w:vMerge w:val="restar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排放口名称</w:t>
                  </w:r>
                </w:p>
              </w:tc>
              <w:tc>
                <w:tcPr>
                  <w:tcW w:w="577" w:type="pct"/>
                  <w:vMerge w:val="restar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污染物种类</w:t>
                  </w:r>
                </w:p>
              </w:tc>
              <w:tc>
                <w:tcPr>
                  <w:tcW w:w="1961" w:type="pct"/>
                  <w:gridSpan w:val="2"/>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排放口地理坐标</w:t>
                  </w:r>
                </w:p>
              </w:tc>
              <w:tc>
                <w:tcPr>
                  <w:tcW w:w="419" w:type="pct"/>
                  <w:vMerge w:val="restar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排气筒高度m</w:t>
                  </w:r>
                </w:p>
              </w:tc>
              <w:tc>
                <w:tcPr>
                  <w:tcW w:w="522" w:type="pct"/>
                  <w:vMerge w:val="restar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排气筒出口内径m</w:t>
                  </w:r>
                </w:p>
              </w:tc>
              <w:tc>
                <w:tcPr>
                  <w:tcW w:w="417" w:type="pct"/>
                  <w:vMerge w:val="restar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排气温度℃</w:t>
                  </w:r>
                </w:p>
              </w:tc>
              <w:tc>
                <w:tcPr>
                  <w:tcW w:w="530" w:type="pct"/>
                  <w:vMerge w:val="restar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571" w:type="pct"/>
                  <w:vMerge w:val="continue"/>
                  <w:vAlign w:val="center"/>
                </w:tcPr>
                <w:p>
                  <w:pPr>
                    <w:widowControl/>
                    <w:tabs>
                      <w:tab w:val="left" w:pos="240"/>
                    </w:tabs>
                    <w:spacing w:line="320" w:lineRule="exact"/>
                    <w:ind w:firstLine="0" w:firstLineChars="0"/>
                    <w:jc w:val="center"/>
                    <w:rPr>
                      <w:kern w:val="0"/>
                      <w:sz w:val="18"/>
                      <w:szCs w:val="18"/>
                      <w:lang w:val="en-GB"/>
                    </w:rPr>
                  </w:pPr>
                </w:p>
              </w:tc>
              <w:tc>
                <w:tcPr>
                  <w:tcW w:w="577" w:type="pct"/>
                  <w:vMerge w:val="continue"/>
                  <w:vAlign w:val="center"/>
                </w:tcPr>
                <w:p>
                  <w:pPr>
                    <w:widowControl/>
                    <w:tabs>
                      <w:tab w:val="left" w:pos="240"/>
                    </w:tabs>
                    <w:spacing w:line="320" w:lineRule="exact"/>
                    <w:ind w:firstLine="0" w:firstLineChars="0"/>
                    <w:jc w:val="center"/>
                    <w:rPr>
                      <w:kern w:val="0"/>
                      <w:sz w:val="18"/>
                      <w:szCs w:val="18"/>
                      <w:lang w:val="en-GB"/>
                    </w:rPr>
                  </w:pPr>
                </w:p>
              </w:tc>
              <w:tc>
                <w:tcPr>
                  <w:tcW w:w="1019" w:type="pc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经度</w:t>
                  </w:r>
                </w:p>
              </w:tc>
              <w:tc>
                <w:tcPr>
                  <w:tcW w:w="941" w:type="pc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纬度</w:t>
                  </w:r>
                </w:p>
              </w:tc>
              <w:tc>
                <w:tcPr>
                  <w:tcW w:w="419" w:type="pct"/>
                  <w:vMerge w:val="continue"/>
                  <w:vAlign w:val="center"/>
                </w:tcPr>
                <w:p>
                  <w:pPr>
                    <w:widowControl/>
                    <w:tabs>
                      <w:tab w:val="left" w:pos="240"/>
                    </w:tabs>
                    <w:spacing w:line="320" w:lineRule="exact"/>
                    <w:ind w:firstLine="0" w:firstLineChars="0"/>
                    <w:jc w:val="center"/>
                    <w:rPr>
                      <w:kern w:val="0"/>
                      <w:sz w:val="18"/>
                      <w:szCs w:val="18"/>
                      <w:lang w:val="en-GB"/>
                    </w:rPr>
                  </w:pPr>
                </w:p>
              </w:tc>
              <w:tc>
                <w:tcPr>
                  <w:tcW w:w="522" w:type="pct"/>
                  <w:vMerge w:val="continue"/>
                  <w:vAlign w:val="center"/>
                </w:tcPr>
                <w:p>
                  <w:pPr>
                    <w:widowControl/>
                    <w:tabs>
                      <w:tab w:val="left" w:pos="240"/>
                    </w:tabs>
                    <w:spacing w:line="320" w:lineRule="exact"/>
                    <w:ind w:firstLine="0" w:firstLineChars="0"/>
                    <w:jc w:val="center"/>
                    <w:rPr>
                      <w:kern w:val="0"/>
                      <w:sz w:val="18"/>
                      <w:szCs w:val="18"/>
                      <w:lang w:val="en-GB"/>
                    </w:rPr>
                  </w:pPr>
                </w:p>
              </w:tc>
              <w:tc>
                <w:tcPr>
                  <w:tcW w:w="417" w:type="pct"/>
                  <w:vMerge w:val="continue"/>
                  <w:vAlign w:val="center"/>
                </w:tcPr>
                <w:p>
                  <w:pPr>
                    <w:widowControl/>
                    <w:tabs>
                      <w:tab w:val="left" w:pos="240"/>
                    </w:tabs>
                    <w:spacing w:line="320" w:lineRule="exact"/>
                    <w:ind w:firstLine="0" w:firstLineChars="0"/>
                    <w:jc w:val="center"/>
                    <w:rPr>
                      <w:kern w:val="0"/>
                      <w:sz w:val="18"/>
                      <w:szCs w:val="18"/>
                      <w:lang w:val="en-GB"/>
                    </w:rPr>
                  </w:pPr>
                </w:p>
              </w:tc>
              <w:tc>
                <w:tcPr>
                  <w:tcW w:w="530" w:type="pct"/>
                  <w:vMerge w:val="continue"/>
                  <w:vAlign w:val="center"/>
                </w:tcPr>
                <w:p>
                  <w:pPr>
                    <w:widowControl/>
                    <w:tabs>
                      <w:tab w:val="left" w:pos="240"/>
                    </w:tabs>
                    <w:spacing w:line="320" w:lineRule="exact"/>
                    <w:ind w:firstLine="0" w:firstLineChars="0"/>
                    <w:jc w:val="center"/>
                    <w:rPr>
                      <w:kern w:val="0"/>
                      <w:sz w:val="18"/>
                      <w:szCs w:val="1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71" w:type="pct"/>
                  <w:vAlign w:val="center"/>
                </w:tcPr>
                <w:p>
                  <w:pPr>
                    <w:widowControl/>
                    <w:tabs>
                      <w:tab w:val="left" w:pos="240"/>
                    </w:tabs>
                    <w:spacing w:line="320" w:lineRule="exact"/>
                    <w:ind w:firstLine="0" w:firstLineChars="0"/>
                    <w:jc w:val="center"/>
                  </w:pPr>
                  <w:r>
                    <w:rPr>
                      <w:rFonts w:hint="eastAsia"/>
                      <w:kern w:val="0"/>
                      <w:sz w:val="18"/>
                      <w:szCs w:val="18"/>
                    </w:rPr>
                    <w:t>燃气锅炉排放口P1</w:t>
                  </w:r>
                </w:p>
              </w:tc>
              <w:tc>
                <w:tcPr>
                  <w:tcW w:w="577" w:type="pct"/>
                  <w:vAlign w:val="center"/>
                </w:tcPr>
                <w:p>
                  <w:pPr>
                    <w:widowControl/>
                    <w:tabs>
                      <w:tab w:val="left" w:pos="240"/>
                    </w:tabs>
                    <w:spacing w:line="320" w:lineRule="exact"/>
                    <w:ind w:firstLine="0" w:firstLineChars="0"/>
                    <w:jc w:val="center"/>
                    <w:rPr>
                      <w:kern w:val="0"/>
                      <w:sz w:val="18"/>
                      <w:szCs w:val="18"/>
                    </w:rPr>
                  </w:pPr>
                  <w:r>
                    <w:rPr>
                      <w:kern w:val="0"/>
                      <w:sz w:val="18"/>
                      <w:szCs w:val="18"/>
                    </w:rPr>
                    <w:t>颗粒物、SO</w:t>
                  </w:r>
                  <w:r>
                    <w:rPr>
                      <w:kern w:val="0"/>
                      <w:sz w:val="18"/>
                      <w:szCs w:val="18"/>
                      <w:vertAlign w:val="subscript"/>
                    </w:rPr>
                    <w:t>2</w:t>
                  </w:r>
                  <w:r>
                    <w:rPr>
                      <w:kern w:val="0"/>
                      <w:sz w:val="18"/>
                      <w:szCs w:val="18"/>
                    </w:rPr>
                    <w:t>、NO</w:t>
                  </w:r>
                  <w:r>
                    <w:rPr>
                      <w:kern w:val="0"/>
                      <w:sz w:val="18"/>
                      <w:szCs w:val="18"/>
                      <w:vertAlign w:val="subscript"/>
                    </w:rPr>
                    <w:t>X</w:t>
                  </w:r>
                  <w:r>
                    <w:rPr>
                      <w:kern w:val="0"/>
                      <w:sz w:val="18"/>
                      <w:szCs w:val="18"/>
                    </w:rPr>
                    <w:t>、NH</w:t>
                  </w:r>
                  <w:r>
                    <w:rPr>
                      <w:kern w:val="0"/>
                      <w:sz w:val="18"/>
                      <w:szCs w:val="18"/>
                      <w:vertAlign w:val="subscript"/>
                    </w:rPr>
                    <w:t>3</w:t>
                  </w:r>
                </w:p>
              </w:tc>
              <w:tc>
                <w:tcPr>
                  <w:tcW w:w="1019" w:type="pct"/>
                  <w:vAlign w:val="center"/>
                </w:tcPr>
                <w:p>
                  <w:pPr>
                    <w:widowControl/>
                    <w:tabs>
                      <w:tab w:val="left" w:pos="240"/>
                    </w:tabs>
                    <w:spacing w:line="320" w:lineRule="exact"/>
                    <w:ind w:firstLine="0" w:firstLineChars="0"/>
                    <w:jc w:val="center"/>
                    <w:rPr>
                      <w:kern w:val="0"/>
                      <w:sz w:val="18"/>
                      <w:szCs w:val="18"/>
                      <w:lang w:val="en-GB"/>
                    </w:rPr>
                  </w:pPr>
                  <w:r>
                    <w:rPr>
                      <w:rFonts w:hint="eastAsia"/>
                      <w:kern w:val="0"/>
                      <w:sz w:val="18"/>
                      <w:szCs w:val="18"/>
                      <w:lang w:val="en-GB"/>
                    </w:rPr>
                    <w:t>118.563753</w:t>
                  </w:r>
                </w:p>
              </w:tc>
              <w:tc>
                <w:tcPr>
                  <w:tcW w:w="941" w:type="pct"/>
                  <w:vAlign w:val="center"/>
                </w:tcPr>
                <w:p>
                  <w:pPr>
                    <w:widowControl/>
                    <w:tabs>
                      <w:tab w:val="left" w:pos="240"/>
                    </w:tabs>
                    <w:spacing w:line="320" w:lineRule="exact"/>
                    <w:ind w:firstLine="0" w:firstLineChars="0"/>
                    <w:jc w:val="center"/>
                    <w:rPr>
                      <w:kern w:val="0"/>
                      <w:sz w:val="18"/>
                      <w:szCs w:val="18"/>
                      <w:lang w:val="en-GB"/>
                    </w:rPr>
                  </w:pPr>
                  <w:r>
                    <w:rPr>
                      <w:rFonts w:hint="eastAsia"/>
                      <w:kern w:val="0"/>
                      <w:sz w:val="18"/>
                      <w:szCs w:val="18"/>
                      <w:lang w:val="en-GB"/>
                    </w:rPr>
                    <w:t>39.949201</w:t>
                  </w:r>
                </w:p>
              </w:tc>
              <w:tc>
                <w:tcPr>
                  <w:tcW w:w="419" w:type="pct"/>
                  <w:vAlign w:val="center"/>
                </w:tcPr>
                <w:p>
                  <w:pPr>
                    <w:widowControl/>
                    <w:tabs>
                      <w:tab w:val="left" w:pos="240"/>
                    </w:tabs>
                    <w:spacing w:line="320" w:lineRule="exact"/>
                    <w:ind w:firstLine="0" w:firstLineChars="0"/>
                    <w:jc w:val="center"/>
                    <w:rPr>
                      <w:kern w:val="0"/>
                      <w:sz w:val="18"/>
                      <w:szCs w:val="18"/>
                    </w:rPr>
                  </w:pPr>
                  <w:r>
                    <w:rPr>
                      <w:rFonts w:hint="eastAsia"/>
                      <w:kern w:val="0"/>
                      <w:sz w:val="18"/>
                      <w:szCs w:val="18"/>
                    </w:rPr>
                    <w:t>100</w:t>
                  </w:r>
                </w:p>
              </w:tc>
              <w:tc>
                <w:tcPr>
                  <w:tcW w:w="522" w:type="pct"/>
                  <w:vAlign w:val="center"/>
                </w:tcPr>
                <w:p>
                  <w:pPr>
                    <w:widowControl/>
                    <w:tabs>
                      <w:tab w:val="left" w:pos="240"/>
                    </w:tabs>
                    <w:spacing w:line="320" w:lineRule="exact"/>
                    <w:ind w:firstLine="0" w:firstLineChars="0"/>
                    <w:jc w:val="center"/>
                    <w:rPr>
                      <w:kern w:val="0"/>
                      <w:sz w:val="18"/>
                      <w:szCs w:val="18"/>
                    </w:rPr>
                  </w:pPr>
                  <w:r>
                    <w:rPr>
                      <w:rFonts w:hint="eastAsia"/>
                      <w:kern w:val="0"/>
                      <w:sz w:val="18"/>
                      <w:szCs w:val="18"/>
                    </w:rPr>
                    <w:t>4.2</w:t>
                  </w:r>
                </w:p>
              </w:tc>
              <w:tc>
                <w:tcPr>
                  <w:tcW w:w="417" w:type="pc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150</w:t>
                  </w:r>
                </w:p>
              </w:tc>
              <w:tc>
                <w:tcPr>
                  <w:tcW w:w="530" w:type="pct"/>
                  <w:vAlign w:val="center"/>
                </w:tcPr>
                <w:p>
                  <w:pPr>
                    <w:widowControl/>
                    <w:tabs>
                      <w:tab w:val="left" w:pos="240"/>
                    </w:tabs>
                    <w:spacing w:line="320" w:lineRule="exact"/>
                    <w:ind w:firstLine="0" w:firstLineChars="0"/>
                    <w:jc w:val="center"/>
                    <w:rPr>
                      <w:kern w:val="0"/>
                      <w:sz w:val="18"/>
                      <w:szCs w:val="18"/>
                      <w:lang w:val="en-GB"/>
                    </w:rPr>
                  </w:pPr>
                  <w:r>
                    <w:rPr>
                      <w:kern w:val="0"/>
                      <w:sz w:val="18"/>
                      <w:szCs w:val="18"/>
                      <w:lang w:val="en-GB"/>
                    </w:rPr>
                    <w:t>有组织</w:t>
                  </w:r>
                </w:p>
              </w:tc>
            </w:tr>
          </w:tbl>
          <w:p>
            <w:pPr>
              <w:spacing w:line="480" w:lineRule="exact"/>
              <w:ind w:firstLine="480"/>
              <w:rPr>
                <w:rFonts w:hAnsi="宋体"/>
              </w:rPr>
            </w:pPr>
            <w:r>
              <w:rPr>
                <w:rFonts w:hint="eastAsia" w:hAnsi="宋体"/>
              </w:rPr>
              <w:t>本项目废气排放标准见下表。</w:t>
            </w:r>
          </w:p>
          <w:p>
            <w:pPr>
              <w:adjustRightInd w:val="0"/>
              <w:snapToGrid w:val="0"/>
              <w:spacing w:line="480" w:lineRule="exact"/>
              <w:ind w:firstLine="482"/>
              <w:jc w:val="center"/>
              <w:rPr>
                <w:lang w:val="en-GB"/>
              </w:rPr>
            </w:pPr>
            <w:r>
              <w:rPr>
                <w:b/>
              </w:rPr>
              <w:t>表</w:t>
            </w:r>
            <w:r>
              <w:rPr>
                <w:rFonts w:hint="eastAsia"/>
                <w:b/>
              </w:rPr>
              <w:t>3</w:t>
            </w:r>
            <w:r>
              <w:rPr>
                <w:rFonts w:hint="eastAsia"/>
                <w:b/>
                <w:lang w:val="en-US" w:eastAsia="zh-CN"/>
              </w:rPr>
              <w:t>5</w:t>
            </w:r>
            <w:r>
              <w:rPr>
                <w:rFonts w:hint="eastAsia"/>
                <w:b/>
              </w:rPr>
              <w:t xml:space="preserve">  </w:t>
            </w:r>
            <w:r>
              <w:rPr>
                <w:b/>
              </w:rPr>
              <w:t xml:space="preserve">  </w:t>
            </w:r>
            <w:r>
              <w:rPr>
                <w:rFonts w:hint="eastAsia"/>
                <w:b/>
              </w:rPr>
              <w:t>废气污染物排放执行标准信息表</w:t>
            </w:r>
          </w:p>
          <w:tbl>
            <w:tblPr>
              <w:tblStyle w:val="7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951"/>
              <w:gridCol w:w="1057"/>
              <w:gridCol w:w="3074"/>
              <w:gridCol w:w="967"/>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06" w:type="pct"/>
                  <w:vMerge w:val="restar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排放口编号</w:t>
                  </w:r>
                </w:p>
              </w:tc>
              <w:tc>
                <w:tcPr>
                  <w:tcW w:w="599" w:type="pct"/>
                  <w:vMerge w:val="restar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排放口</w:t>
                  </w:r>
                </w:p>
                <w:p>
                  <w:pPr>
                    <w:widowControl/>
                    <w:spacing w:line="320" w:lineRule="exact"/>
                    <w:ind w:firstLine="0" w:firstLineChars="0"/>
                    <w:jc w:val="center"/>
                    <w:rPr>
                      <w:kern w:val="0"/>
                      <w:sz w:val="18"/>
                      <w:szCs w:val="18"/>
                      <w:lang w:val="en-GB"/>
                    </w:rPr>
                  </w:pPr>
                  <w:r>
                    <w:rPr>
                      <w:rFonts w:hint="eastAsia"/>
                      <w:kern w:val="0"/>
                      <w:sz w:val="18"/>
                      <w:szCs w:val="18"/>
                      <w:lang w:val="en-GB"/>
                    </w:rPr>
                    <w:t>名称</w:t>
                  </w:r>
                </w:p>
              </w:tc>
              <w:tc>
                <w:tcPr>
                  <w:tcW w:w="666" w:type="pct"/>
                  <w:vMerge w:val="restar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污染物种类</w:t>
                  </w:r>
                </w:p>
              </w:tc>
              <w:tc>
                <w:tcPr>
                  <w:tcW w:w="3128" w:type="pct"/>
                  <w:gridSpan w:val="3"/>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国家或地方污染物排放标准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06" w:type="pct"/>
                  <w:vMerge w:val="continue"/>
                  <w:vAlign w:val="center"/>
                </w:tcPr>
                <w:p>
                  <w:pPr>
                    <w:widowControl/>
                    <w:spacing w:line="320" w:lineRule="exact"/>
                    <w:ind w:firstLine="0" w:firstLineChars="0"/>
                    <w:jc w:val="center"/>
                    <w:rPr>
                      <w:kern w:val="0"/>
                      <w:sz w:val="18"/>
                      <w:szCs w:val="18"/>
                      <w:lang w:val="en-GB"/>
                    </w:rPr>
                  </w:pPr>
                </w:p>
              </w:tc>
              <w:tc>
                <w:tcPr>
                  <w:tcW w:w="599" w:type="pct"/>
                  <w:vMerge w:val="continue"/>
                  <w:vAlign w:val="center"/>
                </w:tcPr>
                <w:p>
                  <w:pPr>
                    <w:widowControl/>
                    <w:spacing w:line="320" w:lineRule="exact"/>
                    <w:ind w:firstLine="0" w:firstLineChars="0"/>
                    <w:jc w:val="center"/>
                    <w:rPr>
                      <w:kern w:val="0"/>
                      <w:sz w:val="18"/>
                      <w:szCs w:val="18"/>
                      <w:lang w:val="en-GB"/>
                    </w:rPr>
                  </w:pPr>
                </w:p>
              </w:tc>
              <w:tc>
                <w:tcPr>
                  <w:tcW w:w="666" w:type="pct"/>
                  <w:vMerge w:val="continue"/>
                  <w:vAlign w:val="center"/>
                </w:tcPr>
                <w:p>
                  <w:pPr>
                    <w:widowControl/>
                    <w:spacing w:line="320" w:lineRule="exact"/>
                    <w:ind w:firstLine="0" w:firstLineChars="0"/>
                    <w:jc w:val="center"/>
                    <w:rPr>
                      <w:kern w:val="0"/>
                      <w:sz w:val="18"/>
                      <w:szCs w:val="18"/>
                      <w:lang w:val="en-GB"/>
                    </w:rPr>
                  </w:pPr>
                </w:p>
              </w:tc>
              <w:tc>
                <w:tcPr>
                  <w:tcW w:w="1936" w:type="pc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名称</w:t>
                  </w:r>
                </w:p>
              </w:tc>
              <w:tc>
                <w:tcPr>
                  <w:tcW w:w="609" w:type="pc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浓度</w:t>
                  </w:r>
                </w:p>
                <w:p>
                  <w:pPr>
                    <w:widowControl/>
                    <w:spacing w:line="320" w:lineRule="exact"/>
                    <w:ind w:firstLine="0" w:firstLineChars="0"/>
                    <w:jc w:val="center"/>
                    <w:rPr>
                      <w:kern w:val="0"/>
                      <w:sz w:val="18"/>
                      <w:szCs w:val="18"/>
                      <w:lang w:val="en-GB"/>
                    </w:rPr>
                  </w:pPr>
                  <w:r>
                    <w:rPr>
                      <w:rFonts w:hint="eastAsia"/>
                      <w:kern w:val="0"/>
                      <w:sz w:val="18"/>
                      <w:szCs w:val="18"/>
                    </w:rPr>
                    <w:t>mg/Nm</w:t>
                  </w:r>
                  <w:r>
                    <w:rPr>
                      <w:rFonts w:hint="eastAsia"/>
                      <w:kern w:val="0"/>
                      <w:sz w:val="18"/>
                      <w:szCs w:val="18"/>
                      <w:vertAlign w:val="superscript"/>
                    </w:rPr>
                    <w:t>3</w:t>
                  </w:r>
                </w:p>
              </w:tc>
              <w:tc>
                <w:tcPr>
                  <w:tcW w:w="582" w:type="pc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速率限值kg/h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06" w:type="pct"/>
                  <w:vMerge w:val="restar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DA001</w:t>
                  </w:r>
                </w:p>
              </w:tc>
              <w:tc>
                <w:tcPr>
                  <w:tcW w:w="599" w:type="pct"/>
                  <w:vMerge w:val="restar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排气筒P1</w:t>
                  </w:r>
                </w:p>
              </w:tc>
              <w:tc>
                <w:tcPr>
                  <w:tcW w:w="666" w:type="pct"/>
                  <w:vAlign w:val="center"/>
                </w:tcPr>
                <w:p>
                  <w:pPr>
                    <w:widowControl/>
                    <w:spacing w:line="320" w:lineRule="exact"/>
                    <w:ind w:firstLine="0" w:firstLineChars="0"/>
                    <w:jc w:val="center"/>
                    <w:rPr>
                      <w:kern w:val="0"/>
                      <w:sz w:val="18"/>
                      <w:szCs w:val="18"/>
                    </w:rPr>
                  </w:pPr>
                  <w:r>
                    <w:rPr>
                      <w:rFonts w:hint="eastAsia"/>
                      <w:kern w:val="0"/>
                      <w:sz w:val="18"/>
                      <w:szCs w:val="18"/>
                    </w:rPr>
                    <w:t>颗粒物</w:t>
                  </w:r>
                </w:p>
              </w:tc>
              <w:tc>
                <w:tcPr>
                  <w:tcW w:w="1936" w:type="pct"/>
                  <w:vMerge w:val="restart"/>
                  <w:vAlign w:val="center"/>
                </w:tcPr>
                <w:p>
                  <w:pPr>
                    <w:widowControl/>
                    <w:spacing w:line="320" w:lineRule="exact"/>
                    <w:ind w:firstLine="0" w:firstLineChars="0"/>
                    <w:jc w:val="center"/>
                    <w:rPr>
                      <w:kern w:val="0"/>
                      <w:sz w:val="18"/>
                      <w:szCs w:val="18"/>
                    </w:rPr>
                  </w:pPr>
                  <w:r>
                    <w:rPr>
                      <w:rFonts w:hint="eastAsia"/>
                      <w:kern w:val="0"/>
                      <w:sz w:val="18"/>
                      <w:szCs w:val="18"/>
                    </w:rPr>
                    <w:t>《火电厂大气污染物排放标准》(GB13223-2011)表2大气污染物特别排放限值，同时满足唐山市钢铁、焦化超低排放和燃煤电厂深度减排实施方案》唐气领办2018(38)号钢铁企业自备电厂超低排放要求</w:t>
                  </w:r>
                </w:p>
              </w:tc>
              <w:tc>
                <w:tcPr>
                  <w:tcW w:w="609" w:type="pct"/>
                  <w:vAlign w:val="center"/>
                </w:tcPr>
                <w:p>
                  <w:pPr>
                    <w:widowControl/>
                    <w:spacing w:line="320" w:lineRule="exact"/>
                    <w:ind w:firstLine="0" w:firstLineChars="0"/>
                    <w:jc w:val="center"/>
                    <w:rPr>
                      <w:kern w:val="0"/>
                      <w:sz w:val="18"/>
                      <w:szCs w:val="18"/>
                    </w:rPr>
                  </w:pPr>
                  <w:r>
                    <w:rPr>
                      <w:rFonts w:hint="eastAsia"/>
                      <w:kern w:val="0"/>
                      <w:sz w:val="18"/>
                      <w:szCs w:val="18"/>
                    </w:rPr>
                    <w:t>5</w:t>
                  </w:r>
                </w:p>
              </w:tc>
              <w:tc>
                <w:tcPr>
                  <w:tcW w:w="582" w:type="pc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06" w:type="pct"/>
                  <w:vMerge w:val="continue"/>
                  <w:vAlign w:val="center"/>
                </w:tcPr>
                <w:p>
                  <w:pPr>
                    <w:widowControl/>
                    <w:spacing w:line="320" w:lineRule="exact"/>
                    <w:ind w:firstLine="0" w:firstLineChars="0"/>
                    <w:jc w:val="center"/>
                    <w:rPr>
                      <w:kern w:val="0"/>
                      <w:sz w:val="18"/>
                      <w:szCs w:val="18"/>
                      <w:lang w:val="en-GB"/>
                    </w:rPr>
                  </w:pPr>
                </w:p>
              </w:tc>
              <w:tc>
                <w:tcPr>
                  <w:tcW w:w="599" w:type="pct"/>
                  <w:vMerge w:val="continue"/>
                  <w:vAlign w:val="center"/>
                </w:tcPr>
                <w:p>
                  <w:pPr>
                    <w:widowControl/>
                    <w:spacing w:line="320" w:lineRule="exact"/>
                    <w:ind w:firstLine="0" w:firstLineChars="0"/>
                    <w:jc w:val="center"/>
                    <w:rPr>
                      <w:kern w:val="0"/>
                      <w:sz w:val="18"/>
                      <w:szCs w:val="18"/>
                      <w:lang w:val="en-GB"/>
                    </w:rPr>
                  </w:pPr>
                </w:p>
              </w:tc>
              <w:tc>
                <w:tcPr>
                  <w:tcW w:w="666" w:type="pct"/>
                  <w:vAlign w:val="center"/>
                </w:tcPr>
                <w:p>
                  <w:pPr>
                    <w:widowControl/>
                    <w:spacing w:line="320" w:lineRule="exact"/>
                    <w:ind w:firstLine="0" w:firstLineChars="0"/>
                    <w:jc w:val="center"/>
                    <w:rPr>
                      <w:kern w:val="0"/>
                      <w:sz w:val="18"/>
                      <w:szCs w:val="18"/>
                    </w:rPr>
                  </w:pPr>
                  <w:r>
                    <w:rPr>
                      <w:rFonts w:hint="eastAsia"/>
                      <w:kern w:val="0"/>
                      <w:sz w:val="18"/>
                      <w:szCs w:val="18"/>
                    </w:rPr>
                    <w:t>SO</w:t>
                  </w:r>
                  <w:r>
                    <w:rPr>
                      <w:rFonts w:hint="eastAsia"/>
                      <w:kern w:val="0"/>
                      <w:sz w:val="18"/>
                      <w:szCs w:val="18"/>
                      <w:vertAlign w:val="subscript"/>
                    </w:rPr>
                    <w:t>2</w:t>
                  </w:r>
                </w:p>
              </w:tc>
              <w:tc>
                <w:tcPr>
                  <w:tcW w:w="1936" w:type="pct"/>
                  <w:vMerge w:val="continue"/>
                  <w:vAlign w:val="center"/>
                </w:tcPr>
                <w:p>
                  <w:pPr>
                    <w:widowControl/>
                    <w:spacing w:line="320" w:lineRule="exact"/>
                    <w:ind w:firstLine="0" w:firstLineChars="0"/>
                    <w:jc w:val="center"/>
                    <w:rPr>
                      <w:kern w:val="0"/>
                      <w:sz w:val="18"/>
                      <w:szCs w:val="18"/>
                    </w:rPr>
                  </w:pPr>
                </w:p>
              </w:tc>
              <w:tc>
                <w:tcPr>
                  <w:tcW w:w="609" w:type="pct"/>
                  <w:vAlign w:val="center"/>
                </w:tcPr>
                <w:p>
                  <w:pPr>
                    <w:widowControl/>
                    <w:spacing w:line="320" w:lineRule="exact"/>
                    <w:ind w:firstLine="0" w:firstLineChars="0"/>
                    <w:jc w:val="center"/>
                    <w:rPr>
                      <w:kern w:val="0"/>
                      <w:sz w:val="18"/>
                      <w:szCs w:val="18"/>
                    </w:rPr>
                  </w:pPr>
                  <w:r>
                    <w:rPr>
                      <w:rFonts w:hint="eastAsia"/>
                      <w:kern w:val="0"/>
                      <w:sz w:val="18"/>
                      <w:szCs w:val="18"/>
                    </w:rPr>
                    <w:t>35</w:t>
                  </w:r>
                </w:p>
              </w:tc>
              <w:tc>
                <w:tcPr>
                  <w:tcW w:w="582" w:type="pc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06" w:type="pct"/>
                  <w:vMerge w:val="continue"/>
                  <w:vAlign w:val="center"/>
                </w:tcPr>
                <w:p>
                  <w:pPr>
                    <w:widowControl/>
                    <w:spacing w:line="320" w:lineRule="exact"/>
                    <w:ind w:firstLine="0" w:firstLineChars="0"/>
                    <w:jc w:val="center"/>
                    <w:rPr>
                      <w:kern w:val="0"/>
                      <w:sz w:val="18"/>
                      <w:szCs w:val="18"/>
                      <w:lang w:val="en-GB"/>
                    </w:rPr>
                  </w:pPr>
                </w:p>
              </w:tc>
              <w:tc>
                <w:tcPr>
                  <w:tcW w:w="599" w:type="pct"/>
                  <w:vMerge w:val="continue"/>
                  <w:vAlign w:val="center"/>
                </w:tcPr>
                <w:p>
                  <w:pPr>
                    <w:widowControl/>
                    <w:spacing w:line="320" w:lineRule="exact"/>
                    <w:ind w:firstLine="0" w:firstLineChars="0"/>
                    <w:jc w:val="center"/>
                    <w:rPr>
                      <w:kern w:val="0"/>
                      <w:sz w:val="18"/>
                      <w:szCs w:val="18"/>
                      <w:lang w:val="en-GB"/>
                    </w:rPr>
                  </w:pPr>
                </w:p>
              </w:tc>
              <w:tc>
                <w:tcPr>
                  <w:tcW w:w="666" w:type="pct"/>
                  <w:vAlign w:val="center"/>
                </w:tcPr>
                <w:p>
                  <w:pPr>
                    <w:widowControl/>
                    <w:spacing w:line="320" w:lineRule="exact"/>
                    <w:ind w:firstLine="0" w:firstLineChars="0"/>
                    <w:jc w:val="center"/>
                    <w:rPr>
                      <w:kern w:val="0"/>
                      <w:sz w:val="18"/>
                      <w:szCs w:val="18"/>
                    </w:rPr>
                  </w:pPr>
                  <w:r>
                    <w:rPr>
                      <w:rFonts w:hint="eastAsia"/>
                      <w:kern w:val="0"/>
                      <w:sz w:val="18"/>
                      <w:szCs w:val="18"/>
                    </w:rPr>
                    <w:t>NOx</w:t>
                  </w:r>
                </w:p>
              </w:tc>
              <w:tc>
                <w:tcPr>
                  <w:tcW w:w="1936" w:type="pct"/>
                  <w:vMerge w:val="continue"/>
                  <w:vAlign w:val="center"/>
                </w:tcPr>
                <w:p>
                  <w:pPr>
                    <w:widowControl/>
                    <w:spacing w:line="320" w:lineRule="exact"/>
                    <w:ind w:firstLine="0" w:firstLineChars="0"/>
                    <w:jc w:val="center"/>
                    <w:rPr>
                      <w:kern w:val="0"/>
                      <w:sz w:val="18"/>
                      <w:szCs w:val="18"/>
                    </w:rPr>
                  </w:pPr>
                </w:p>
              </w:tc>
              <w:tc>
                <w:tcPr>
                  <w:tcW w:w="609" w:type="pct"/>
                  <w:vAlign w:val="center"/>
                </w:tcPr>
                <w:p>
                  <w:pPr>
                    <w:widowControl/>
                    <w:spacing w:line="320" w:lineRule="exact"/>
                    <w:ind w:firstLine="0" w:firstLineChars="0"/>
                    <w:jc w:val="center"/>
                    <w:rPr>
                      <w:kern w:val="0"/>
                      <w:sz w:val="18"/>
                      <w:szCs w:val="18"/>
                    </w:rPr>
                  </w:pPr>
                  <w:r>
                    <w:rPr>
                      <w:rFonts w:hint="eastAsia"/>
                      <w:kern w:val="0"/>
                      <w:sz w:val="18"/>
                      <w:szCs w:val="18"/>
                    </w:rPr>
                    <w:t>50</w:t>
                  </w:r>
                </w:p>
              </w:tc>
              <w:tc>
                <w:tcPr>
                  <w:tcW w:w="582" w:type="pct"/>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06" w:type="pct"/>
                  <w:vMerge w:val="continue"/>
                  <w:vAlign w:val="center"/>
                </w:tcPr>
                <w:p>
                  <w:pPr>
                    <w:widowControl/>
                    <w:spacing w:line="320" w:lineRule="exact"/>
                    <w:ind w:firstLine="0" w:firstLineChars="0"/>
                    <w:jc w:val="center"/>
                    <w:rPr>
                      <w:kern w:val="0"/>
                      <w:sz w:val="18"/>
                      <w:szCs w:val="18"/>
                      <w:lang w:val="en-GB"/>
                    </w:rPr>
                  </w:pPr>
                </w:p>
              </w:tc>
              <w:tc>
                <w:tcPr>
                  <w:tcW w:w="599" w:type="pct"/>
                  <w:vMerge w:val="continue"/>
                  <w:vAlign w:val="center"/>
                </w:tcPr>
                <w:p>
                  <w:pPr>
                    <w:widowControl/>
                    <w:spacing w:line="320" w:lineRule="exact"/>
                    <w:ind w:firstLine="0" w:firstLineChars="0"/>
                    <w:jc w:val="center"/>
                    <w:rPr>
                      <w:kern w:val="0"/>
                      <w:sz w:val="18"/>
                      <w:szCs w:val="18"/>
                      <w:lang w:val="en-GB"/>
                    </w:rPr>
                  </w:pPr>
                </w:p>
              </w:tc>
              <w:tc>
                <w:tcPr>
                  <w:tcW w:w="666" w:type="pct"/>
                  <w:vAlign w:val="center"/>
                </w:tcPr>
                <w:p>
                  <w:pPr>
                    <w:widowControl/>
                    <w:spacing w:line="320" w:lineRule="exact"/>
                    <w:ind w:firstLine="0" w:firstLineChars="0"/>
                    <w:jc w:val="center"/>
                    <w:rPr>
                      <w:kern w:val="0"/>
                      <w:sz w:val="18"/>
                      <w:szCs w:val="18"/>
                    </w:rPr>
                  </w:pPr>
                  <w:r>
                    <w:rPr>
                      <w:rFonts w:hint="eastAsia"/>
                      <w:kern w:val="0"/>
                      <w:sz w:val="18"/>
                      <w:szCs w:val="18"/>
                    </w:rPr>
                    <w:t>NH</w:t>
                  </w:r>
                  <w:r>
                    <w:rPr>
                      <w:rFonts w:hint="eastAsia"/>
                      <w:kern w:val="0"/>
                      <w:sz w:val="18"/>
                      <w:szCs w:val="18"/>
                      <w:vertAlign w:val="subscript"/>
                    </w:rPr>
                    <w:t>3</w:t>
                  </w:r>
                </w:p>
              </w:tc>
              <w:tc>
                <w:tcPr>
                  <w:tcW w:w="1936" w:type="pct"/>
                  <w:vAlign w:val="center"/>
                </w:tcPr>
                <w:p>
                  <w:pPr>
                    <w:widowControl/>
                    <w:spacing w:line="320" w:lineRule="exact"/>
                    <w:ind w:firstLine="0" w:firstLineChars="0"/>
                    <w:jc w:val="center"/>
                    <w:rPr>
                      <w:kern w:val="0"/>
                      <w:sz w:val="18"/>
                      <w:szCs w:val="18"/>
                    </w:rPr>
                  </w:pPr>
                  <w:r>
                    <w:rPr>
                      <w:rFonts w:hint="eastAsia"/>
                      <w:kern w:val="0"/>
                      <w:sz w:val="18"/>
                      <w:szCs w:val="18"/>
                    </w:rPr>
                    <w:t>《火电厂氮氧化物防治技术政策》(环发[2010]10号)</w:t>
                  </w:r>
                </w:p>
              </w:tc>
              <w:tc>
                <w:tcPr>
                  <w:tcW w:w="609" w:type="pct"/>
                  <w:vAlign w:val="center"/>
                </w:tcPr>
                <w:p>
                  <w:pPr>
                    <w:widowControl/>
                    <w:spacing w:line="320" w:lineRule="exact"/>
                    <w:ind w:firstLine="0" w:firstLineChars="0"/>
                    <w:jc w:val="center"/>
                    <w:rPr>
                      <w:kern w:val="0"/>
                      <w:sz w:val="18"/>
                      <w:szCs w:val="18"/>
                    </w:rPr>
                  </w:pPr>
                  <w:r>
                    <w:rPr>
                      <w:rFonts w:hint="eastAsia"/>
                      <w:kern w:val="0"/>
                      <w:sz w:val="18"/>
                      <w:szCs w:val="18"/>
                    </w:rPr>
                    <w:t>2.5</w:t>
                  </w:r>
                </w:p>
              </w:tc>
              <w:tc>
                <w:tcPr>
                  <w:tcW w:w="582" w:type="pct"/>
                  <w:vAlign w:val="center"/>
                </w:tcPr>
                <w:p>
                  <w:pPr>
                    <w:widowControl/>
                    <w:spacing w:line="320" w:lineRule="exact"/>
                    <w:ind w:firstLine="0" w:firstLineChars="0"/>
                    <w:jc w:val="center"/>
                    <w:rPr>
                      <w:kern w:val="0"/>
                      <w:sz w:val="18"/>
                      <w:szCs w:val="18"/>
                      <w:lang w:val="en-GB"/>
                    </w:rPr>
                  </w:pPr>
                  <w:r>
                    <w:rPr>
                      <w:rFonts w:hint="eastAsia"/>
                      <w:kern w:val="0"/>
                      <w:sz w:val="18"/>
                      <w:szCs w:val="18"/>
                    </w:rPr>
                    <w:t>-</w:t>
                  </w:r>
                </w:p>
              </w:tc>
            </w:tr>
          </w:tbl>
          <w:p>
            <w:pPr>
              <w:ind w:firstLine="480"/>
              <w:rPr>
                <w:lang w:val="en-GB"/>
              </w:rPr>
            </w:pPr>
            <w:r>
              <w:t>(</w:t>
            </w:r>
            <w:r>
              <w:rPr>
                <w:rFonts w:hint="eastAsia"/>
                <w:lang w:val="en-US" w:eastAsia="zh-CN"/>
              </w:rPr>
              <w:t>5</w:t>
            </w:r>
            <w:r>
              <w:t>)</w:t>
            </w:r>
            <w:r>
              <w:rPr>
                <w:lang w:val="en-GB"/>
              </w:rPr>
              <w:t>废气监测方案</w:t>
            </w:r>
          </w:p>
          <w:p>
            <w:pPr>
              <w:ind w:firstLine="480"/>
              <w:rPr>
                <w:lang w:val="en-GB"/>
              </w:rPr>
            </w:pPr>
            <w:r>
              <w:rPr>
                <w:lang w:val="en-GB"/>
              </w:rPr>
              <w:t>根据《火电行业排污许可证申请与核发技术规范》，建设单位营运期应进行常规自行监测，监测项目及频次可按照下表或更为严格的要求执行。</w:t>
            </w:r>
          </w:p>
          <w:p>
            <w:pPr>
              <w:adjustRightInd w:val="0"/>
              <w:snapToGrid w:val="0"/>
              <w:ind w:firstLine="482"/>
              <w:jc w:val="center"/>
              <w:rPr>
                <w:b/>
              </w:rPr>
            </w:pPr>
            <w:r>
              <w:rPr>
                <w:b/>
              </w:rPr>
              <w:t>表</w:t>
            </w:r>
            <w:r>
              <w:rPr>
                <w:rFonts w:hint="eastAsia"/>
                <w:b/>
              </w:rPr>
              <w:t>3</w:t>
            </w:r>
            <w:r>
              <w:rPr>
                <w:rFonts w:hint="eastAsia"/>
                <w:b/>
                <w:lang w:val="en-US" w:eastAsia="zh-CN"/>
              </w:rPr>
              <w:t>6</w:t>
            </w:r>
            <w:r>
              <w:rPr>
                <w:b/>
              </w:rPr>
              <w:t xml:space="preserve">    本项目废气监测方案一览表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4"/>
              <w:gridCol w:w="600"/>
              <w:gridCol w:w="1469"/>
              <w:gridCol w:w="1327"/>
              <w:gridCol w:w="2550"/>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序号</w:t>
                  </w:r>
                </w:p>
              </w:tc>
              <w:tc>
                <w:tcPr>
                  <w:tcW w:w="1303" w:type="pct"/>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污染源</w:t>
                  </w:r>
                </w:p>
              </w:tc>
              <w:tc>
                <w:tcPr>
                  <w:tcW w:w="8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监测因子</w:t>
                  </w:r>
                </w:p>
              </w:tc>
              <w:tc>
                <w:tcPr>
                  <w:tcW w:w="160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监测点位</w:t>
                  </w:r>
                </w:p>
              </w:tc>
              <w:tc>
                <w:tcPr>
                  <w:tcW w:w="79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pct"/>
                  <w:vMerge w:val="restart"/>
                  <w:tcBorders>
                    <w:top w:val="nil"/>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1</w:t>
                  </w:r>
                </w:p>
              </w:tc>
              <w:tc>
                <w:tcPr>
                  <w:tcW w:w="378" w:type="pct"/>
                  <w:vMerge w:val="restart"/>
                  <w:tcBorders>
                    <w:top w:val="nil"/>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有组织</w:t>
                  </w:r>
                </w:p>
              </w:tc>
              <w:tc>
                <w:tcPr>
                  <w:tcW w:w="925" w:type="pct"/>
                  <w:vMerge w:val="restart"/>
                  <w:tcBorders>
                    <w:top w:val="nil"/>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锅炉排气筒</w:t>
                  </w:r>
                </w:p>
              </w:tc>
              <w:tc>
                <w:tcPr>
                  <w:tcW w:w="8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颗粒物</w:t>
                  </w:r>
                </w:p>
              </w:tc>
              <w:tc>
                <w:tcPr>
                  <w:tcW w:w="160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排气筒监测口</w:t>
                  </w:r>
                </w:p>
              </w:tc>
              <w:tc>
                <w:tcPr>
                  <w:tcW w:w="796"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378"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925"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SO</w:t>
                  </w:r>
                  <w:r>
                    <w:rPr>
                      <w:rFonts w:hint="eastAsia"/>
                      <w:kern w:val="0"/>
                      <w:sz w:val="18"/>
                      <w:szCs w:val="18"/>
                      <w:vertAlign w:val="subscript"/>
                      <w:lang w:val="en-GB"/>
                    </w:rPr>
                    <w:t>2</w:t>
                  </w:r>
                </w:p>
              </w:tc>
              <w:tc>
                <w:tcPr>
                  <w:tcW w:w="160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排气筒监测口</w:t>
                  </w:r>
                </w:p>
              </w:tc>
              <w:tc>
                <w:tcPr>
                  <w:tcW w:w="79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378"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925"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NO</w:t>
                  </w:r>
                  <w:r>
                    <w:rPr>
                      <w:rFonts w:hint="eastAsia"/>
                      <w:kern w:val="0"/>
                      <w:sz w:val="18"/>
                      <w:szCs w:val="18"/>
                    </w:rPr>
                    <w:t>x</w:t>
                  </w:r>
                </w:p>
              </w:tc>
              <w:tc>
                <w:tcPr>
                  <w:tcW w:w="160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排气筒监测口</w:t>
                  </w:r>
                </w:p>
              </w:tc>
              <w:tc>
                <w:tcPr>
                  <w:tcW w:w="796" w:type="pct"/>
                  <w:vMerge w:val="restart"/>
                  <w:tcBorders>
                    <w:top w:val="single" w:color="auto" w:sz="4" w:space="0"/>
                    <w:left w:val="single" w:color="auto" w:sz="4" w:space="0"/>
                    <w:right w:val="single" w:color="auto" w:sz="4" w:space="0"/>
                  </w:tcBorders>
                  <w:vAlign w:val="center"/>
                </w:tcPr>
                <w:p>
                  <w:pPr>
                    <w:widowControl/>
                    <w:spacing w:line="320" w:lineRule="exact"/>
                    <w:ind w:firstLine="0" w:firstLineChars="0"/>
                    <w:jc w:val="center"/>
                    <w:rPr>
                      <w:rFonts w:hint="default" w:eastAsia="宋体"/>
                      <w:kern w:val="0"/>
                      <w:sz w:val="18"/>
                      <w:szCs w:val="18"/>
                      <w:lang w:val="en-US" w:eastAsia="zh-CN"/>
                    </w:rPr>
                  </w:pPr>
                  <w:r>
                    <w:rPr>
                      <w:rFonts w:hint="eastAsia"/>
                      <w:kern w:val="0"/>
                      <w:sz w:val="18"/>
                      <w:szCs w:val="18"/>
                      <w:lang w:val="en-US" w:eastAsia="zh-CN"/>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378"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925"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NH</w:t>
                  </w:r>
                  <w:r>
                    <w:rPr>
                      <w:rFonts w:hint="eastAsia"/>
                      <w:kern w:val="0"/>
                      <w:sz w:val="18"/>
                      <w:szCs w:val="18"/>
                      <w:vertAlign w:val="subscript"/>
                      <w:lang w:val="en-GB"/>
                    </w:rPr>
                    <w:t>3</w:t>
                  </w:r>
                </w:p>
              </w:tc>
              <w:tc>
                <w:tcPr>
                  <w:tcW w:w="160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排气筒监测口</w:t>
                  </w:r>
                </w:p>
              </w:tc>
              <w:tc>
                <w:tcPr>
                  <w:tcW w:w="796" w:type="pct"/>
                  <w:vMerge w:val="continue"/>
                  <w:tcBorders>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378"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925" w:type="pct"/>
                  <w:vMerge w:val="continue"/>
                  <w:tcBorders>
                    <w:left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p>
              </w:tc>
              <w:tc>
                <w:tcPr>
                  <w:tcW w:w="8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林格曼黑度</w:t>
                  </w:r>
                </w:p>
              </w:tc>
              <w:tc>
                <w:tcPr>
                  <w:tcW w:w="160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排气筒监测口</w:t>
                  </w:r>
                </w:p>
              </w:tc>
              <w:tc>
                <w:tcPr>
                  <w:tcW w:w="79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2</w:t>
                  </w:r>
                </w:p>
              </w:tc>
              <w:tc>
                <w:tcPr>
                  <w:tcW w:w="378"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无组织</w:t>
                  </w:r>
                </w:p>
              </w:tc>
              <w:tc>
                <w:tcPr>
                  <w:tcW w:w="925"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厂界</w:t>
                  </w:r>
                </w:p>
              </w:tc>
              <w:tc>
                <w:tcPr>
                  <w:tcW w:w="8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rFonts w:hint="default" w:eastAsia="宋体"/>
                      <w:kern w:val="0"/>
                      <w:sz w:val="18"/>
                      <w:szCs w:val="18"/>
                      <w:lang w:val="en-US" w:eastAsia="zh-CN"/>
                    </w:rPr>
                  </w:pPr>
                  <w:r>
                    <w:rPr>
                      <w:rFonts w:hint="eastAsia"/>
                      <w:kern w:val="0"/>
                      <w:sz w:val="18"/>
                      <w:szCs w:val="18"/>
                      <w:lang w:val="en-GB"/>
                    </w:rPr>
                    <w:t>NH</w:t>
                  </w:r>
                  <w:r>
                    <w:rPr>
                      <w:rFonts w:hint="eastAsia"/>
                      <w:kern w:val="0"/>
                      <w:sz w:val="18"/>
                      <w:szCs w:val="18"/>
                      <w:vertAlign w:val="subscript"/>
                      <w:lang w:val="en-GB"/>
                    </w:rPr>
                    <w:t>3</w:t>
                  </w:r>
                  <w:r>
                    <w:rPr>
                      <w:rFonts w:hint="eastAsia"/>
                      <w:kern w:val="0"/>
                      <w:sz w:val="18"/>
                      <w:szCs w:val="18"/>
                      <w:vertAlign w:val="baseline"/>
                      <w:lang w:val="en-GB" w:eastAsia="zh-CN"/>
                    </w:rPr>
                    <w:t>、</w:t>
                  </w:r>
                  <w:r>
                    <w:rPr>
                      <w:rFonts w:hint="eastAsia"/>
                      <w:kern w:val="0"/>
                      <w:sz w:val="18"/>
                      <w:szCs w:val="18"/>
                      <w:vertAlign w:val="baseline"/>
                      <w:lang w:val="en-US" w:eastAsia="zh-CN"/>
                    </w:rPr>
                    <w:t>氯化氢</w:t>
                  </w:r>
                </w:p>
              </w:tc>
              <w:tc>
                <w:tcPr>
                  <w:tcW w:w="160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上风向1个参照点，下风向3个监测点</w:t>
                  </w:r>
                </w:p>
              </w:tc>
              <w:tc>
                <w:tcPr>
                  <w:tcW w:w="79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18"/>
                      <w:szCs w:val="18"/>
                      <w:lang w:val="en-GB"/>
                    </w:rPr>
                  </w:pPr>
                  <w:r>
                    <w:rPr>
                      <w:rFonts w:hint="eastAsia"/>
                      <w:kern w:val="0"/>
                      <w:sz w:val="18"/>
                      <w:szCs w:val="18"/>
                      <w:lang w:val="en-GB"/>
                    </w:rPr>
                    <w:t>1次/季</w:t>
                  </w:r>
                </w:p>
              </w:tc>
            </w:tr>
          </w:tbl>
          <w:p>
            <w:pPr>
              <w:adjustRightInd w:val="0"/>
              <w:snapToGrid w:val="0"/>
              <w:ind w:firstLine="480"/>
            </w:pPr>
            <w:r>
              <w:t>(</w:t>
            </w:r>
            <w:r>
              <w:rPr>
                <w:rFonts w:hint="eastAsia"/>
                <w:lang w:val="en-US" w:eastAsia="zh-CN"/>
              </w:rPr>
              <w:t>6</w:t>
            </w:r>
            <w:r>
              <w:t>)大气环境影响结论</w:t>
            </w:r>
          </w:p>
          <w:p>
            <w:pPr>
              <w:ind w:firstLine="480"/>
              <w:rPr>
                <w:b/>
              </w:rPr>
            </w:pPr>
            <w:r>
              <w:t>本项目</w:t>
            </w:r>
            <w:r>
              <w:rPr>
                <w:rFonts w:hint="eastAsia"/>
              </w:rPr>
              <w:t>位于河北迁安经济开发区</w:t>
            </w:r>
            <w:r>
              <w:t>，</w:t>
            </w:r>
            <w:r>
              <w:rPr>
                <w:rFonts w:hint="eastAsia"/>
              </w:rPr>
              <w:t>公司</w:t>
            </w:r>
            <w:r>
              <w:t>现有</w:t>
            </w:r>
            <w:r>
              <w:rPr>
                <w:rFonts w:hint="eastAsia"/>
              </w:rPr>
              <w:t>厂区</w:t>
            </w:r>
            <w:r>
              <w:t>内</w:t>
            </w:r>
            <w:r>
              <w:rPr>
                <w:rFonts w:hint="eastAsia"/>
              </w:rPr>
              <w:t>，</w:t>
            </w:r>
            <w:r>
              <w:t>项目所在地为环境空气质量不达标区。经工程分析及源强核算可知各污染物经相应治理措施治理后均能做到达标排放。营运期，建设单位在加强各废气处理装置运营维护、定期按要求进行日常监测，确保各装置正常使用的情况下，本项目排放的废气不会对周边空气质量产生明显不利影响</w:t>
            </w:r>
            <w:r>
              <w:rPr>
                <w:snapToGrid w:val="0"/>
                <w:kern w:val="0"/>
              </w:rPr>
              <w:t>。</w:t>
            </w:r>
          </w:p>
          <w:p>
            <w:pPr>
              <w:ind w:firstLine="480"/>
            </w:pPr>
            <w:r>
              <w:t>2、地表水治理措施及影响分析</w:t>
            </w:r>
          </w:p>
          <w:p>
            <w:pPr>
              <w:ind w:firstLine="480"/>
              <w:jc w:val="both"/>
            </w:pPr>
            <w:r>
              <w:rPr>
                <w:rFonts w:hint="eastAsia"/>
              </w:rPr>
              <w:t>(</w:t>
            </w:r>
            <w:r>
              <w:t>1</w:t>
            </w:r>
            <w:r>
              <w:rPr>
                <w:rFonts w:hint="eastAsia"/>
              </w:rPr>
              <w:t>)员工生活污水</w:t>
            </w:r>
          </w:p>
          <w:p>
            <w:pPr>
              <w:ind w:firstLine="480"/>
              <w:jc w:val="both"/>
            </w:pPr>
            <w:r>
              <w:rPr>
                <w:rFonts w:hint="eastAsia"/>
              </w:rPr>
              <w:t>项目不新增劳动定员，不新增生活</w:t>
            </w:r>
            <w:r>
              <w:rPr>
                <w:rFonts w:hint="eastAsia" w:ascii="Times New Roman" w:hAnsi="Times New Roman" w:eastAsia="宋体" w:cs="Times New Roman"/>
              </w:rPr>
              <w:t>污水产生</w:t>
            </w:r>
            <w:r>
              <w:rPr>
                <w:rFonts w:hint="eastAsia"/>
              </w:rPr>
              <w:t>量。</w:t>
            </w:r>
          </w:p>
          <w:p>
            <w:pPr>
              <w:ind w:firstLine="480"/>
              <w:jc w:val="both"/>
            </w:pPr>
            <w:r>
              <w:rPr>
                <w:rFonts w:hint="eastAsia"/>
              </w:rPr>
              <w:t>(</w:t>
            </w:r>
            <w:r>
              <w:t>2</w:t>
            </w:r>
            <w:r>
              <w:rPr>
                <w:rFonts w:hint="eastAsia"/>
              </w:rPr>
              <w:t>)生产废水</w:t>
            </w:r>
          </w:p>
          <w:p>
            <w:pPr>
              <w:ind w:firstLine="480"/>
              <w:jc w:val="both"/>
            </w:pPr>
            <w:r>
              <w:rPr>
                <w:rFonts w:hint="eastAsia"/>
              </w:rPr>
              <w:t>项目生产废水包括循环冷却水系统产生的系统排污水、锅炉启动系统排水、混床再生排水和</w:t>
            </w:r>
            <w:r>
              <w:t>除盐水制备工序产生的浓盐水</w:t>
            </w:r>
            <w:r>
              <w:rPr>
                <w:rFonts w:hint="eastAsia"/>
              </w:rPr>
              <w:t>，冷却塔循环冷却水系统产生的系统排污水量为126.4</w:t>
            </w:r>
            <w:r>
              <w:t>m</w:t>
            </w:r>
            <w:r>
              <w:rPr>
                <w:vertAlign w:val="superscript"/>
              </w:rPr>
              <w:t>3</w:t>
            </w:r>
            <w:r>
              <w:t>/</w:t>
            </w:r>
            <w:r>
              <w:rPr>
                <w:rFonts w:hint="eastAsia"/>
              </w:rPr>
              <w:t>h(夏季为130m</w:t>
            </w:r>
            <w:r>
              <w:rPr>
                <w:rFonts w:hint="eastAsia"/>
                <w:vertAlign w:val="superscript"/>
              </w:rPr>
              <w:t>3</w:t>
            </w:r>
            <w:r>
              <w:rPr>
                <w:rFonts w:hint="eastAsia"/>
              </w:rPr>
              <w:t>/h)，</w:t>
            </w:r>
            <w:r>
              <w:t>除盐水制备工序产生的浓盐水</w:t>
            </w:r>
            <w:r>
              <w:rPr>
                <w:rFonts w:hint="eastAsia"/>
              </w:rPr>
              <w:t>量为5.14m</w:t>
            </w:r>
            <w:r>
              <w:rPr>
                <w:rFonts w:hint="eastAsia"/>
                <w:vertAlign w:val="superscript"/>
              </w:rPr>
              <w:t>3</w:t>
            </w:r>
            <w:r>
              <w:rPr>
                <w:rFonts w:hint="eastAsia"/>
              </w:rPr>
              <w:t>/h，锅炉启动系统排水量为5m</w:t>
            </w:r>
            <w:r>
              <w:rPr>
                <w:rFonts w:hint="eastAsia"/>
                <w:vertAlign w:val="superscript"/>
              </w:rPr>
              <w:t>3</w:t>
            </w:r>
            <w:r>
              <w:rPr>
                <w:rFonts w:hint="eastAsia"/>
              </w:rPr>
              <w:t>/h，混床再生排水量为1m</w:t>
            </w:r>
            <w:r>
              <w:rPr>
                <w:rFonts w:hint="eastAsia"/>
                <w:vertAlign w:val="superscript"/>
              </w:rPr>
              <w:t>3</w:t>
            </w:r>
            <w:r>
              <w:rPr>
                <w:rFonts w:hint="eastAsia"/>
              </w:rPr>
              <w:t>/h，混床再生产生的酸、碱废水经地沟排至机组排水槽内，并加入少量酸、碱进行调节后与其他生产废水排入</w:t>
            </w:r>
            <w:r>
              <w:rPr>
                <w:rFonts w:hint="eastAsia" w:eastAsiaTheme="minorEastAsia"/>
                <w:kern w:val="0"/>
              </w:rPr>
              <w:t>迁安市九江线材有限责任公司</w:t>
            </w:r>
            <w:r>
              <w:rPr>
                <w:rFonts w:hint="eastAsia" w:ascii="宋体" w:hAnsi="宋体" w:cs="宋体"/>
                <w:color w:val="000000"/>
                <w:kern w:val="0"/>
                <w:lang w:bidi="ar"/>
              </w:rPr>
              <w:t>厂区综合污水处理站</w:t>
            </w:r>
            <w:r>
              <w:rPr>
                <w:rFonts w:hint="eastAsia" w:cs="宋体"/>
                <w:kern w:val="0"/>
              </w:rPr>
              <w:t>，处理后回用于生产。</w:t>
            </w:r>
          </w:p>
          <w:p>
            <w:pPr>
              <w:widowControl/>
              <w:ind w:firstLine="480"/>
              <w:jc w:val="both"/>
            </w:pPr>
            <w:r>
              <w:rPr>
                <w:rFonts w:hint="eastAsia" w:eastAsiaTheme="minorEastAsia"/>
                <w:kern w:val="0"/>
              </w:rPr>
              <w:t>迁安市九江线材有限责任公司</w:t>
            </w:r>
            <w:r>
              <w:rPr>
                <w:rFonts w:hint="eastAsia" w:ascii="宋体" w:hAnsi="宋体" w:cs="宋体"/>
                <w:color w:val="000000"/>
                <w:kern w:val="0"/>
                <w:lang w:bidi="ar"/>
              </w:rPr>
              <w:t>自有综合污水处理站</w:t>
            </w:r>
            <w:r>
              <w:rPr>
                <w:color w:val="000000"/>
                <w:kern w:val="0"/>
                <w:lang w:bidi="ar"/>
              </w:rPr>
              <w:t>1</w:t>
            </w:r>
            <w:r>
              <w:rPr>
                <w:rFonts w:hint="eastAsia" w:ascii="宋体" w:hAnsi="宋体" w:cs="宋体"/>
                <w:color w:val="000000"/>
                <w:kern w:val="0"/>
                <w:lang w:bidi="ar"/>
              </w:rPr>
              <w:t>座，处理规模</w:t>
            </w:r>
            <w:r>
              <w:rPr>
                <w:color w:val="000000"/>
                <w:kern w:val="0"/>
                <w:lang w:bidi="ar"/>
              </w:rPr>
              <w:t>24000m</w:t>
            </w:r>
            <w:r>
              <w:rPr>
                <w:rFonts w:hint="eastAsia"/>
                <w:color w:val="000000"/>
                <w:kern w:val="0"/>
                <w:vertAlign w:val="superscript"/>
                <w:lang w:bidi="ar"/>
              </w:rPr>
              <w:t>3</w:t>
            </w:r>
            <w:r>
              <w:rPr>
                <w:color w:val="000000"/>
                <w:kern w:val="0"/>
                <w:lang w:bidi="ar"/>
              </w:rPr>
              <w:t>/d</w:t>
            </w:r>
            <w:r>
              <w:rPr>
                <w:rFonts w:hint="eastAsia" w:ascii="宋体" w:hAnsi="宋体" w:cs="宋体"/>
                <w:color w:val="000000"/>
                <w:kern w:val="0"/>
                <w:lang w:bidi="ar"/>
              </w:rPr>
              <w:t>，污水处理工艺采用</w:t>
            </w:r>
            <w:r>
              <w:rPr>
                <w:color w:val="000000"/>
                <w:kern w:val="0"/>
                <w:lang w:bidi="ar"/>
              </w:rPr>
              <w:t>“</w:t>
            </w:r>
            <w:r>
              <w:rPr>
                <w:rFonts w:hint="eastAsia" w:ascii="宋体" w:hAnsi="宋体" w:cs="宋体"/>
                <w:color w:val="000000"/>
                <w:kern w:val="0"/>
                <w:lang w:bidi="ar"/>
              </w:rPr>
              <w:t>混凝</w:t>
            </w:r>
            <w:r>
              <w:rPr>
                <w:color w:val="000000"/>
                <w:kern w:val="0"/>
                <w:lang w:bidi="ar"/>
              </w:rPr>
              <w:t>+</w:t>
            </w:r>
            <w:r>
              <w:rPr>
                <w:rFonts w:hint="eastAsia" w:ascii="宋体" w:hAnsi="宋体" w:cs="宋体"/>
                <w:color w:val="000000"/>
                <w:kern w:val="0"/>
                <w:lang w:bidi="ar"/>
              </w:rPr>
              <w:t>沉淀</w:t>
            </w:r>
            <w:r>
              <w:rPr>
                <w:color w:val="000000"/>
                <w:kern w:val="0"/>
                <w:lang w:bidi="ar"/>
              </w:rPr>
              <w:t>+</w:t>
            </w:r>
            <w:r>
              <w:rPr>
                <w:rFonts w:hint="eastAsia" w:ascii="宋体" w:hAnsi="宋体" w:cs="宋体"/>
                <w:color w:val="000000"/>
                <w:kern w:val="0"/>
                <w:lang w:bidi="ar"/>
              </w:rPr>
              <w:t>超滤</w:t>
            </w:r>
            <w:r>
              <w:rPr>
                <w:color w:val="000000"/>
                <w:kern w:val="0"/>
                <w:lang w:bidi="ar"/>
              </w:rPr>
              <w:t>+</w:t>
            </w:r>
            <w:r>
              <w:rPr>
                <w:rFonts w:hint="eastAsia" w:ascii="宋体" w:hAnsi="宋体" w:cs="宋体"/>
                <w:color w:val="000000"/>
                <w:kern w:val="0"/>
                <w:lang w:bidi="ar"/>
              </w:rPr>
              <w:t>反渗透</w:t>
            </w:r>
            <w:r>
              <w:rPr>
                <w:color w:val="000000"/>
                <w:kern w:val="0"/>
                <w:lang w:bidi="ar"/>
              </w:rPr>
              <w:t>”</w:t>
            </w:r>
            <w:r>
              <w:rPr>
                <w:rFonts w:hint="eastAsia" w:ascii="宋体" w:hAnsi="宋体" w:cs="宋体"/>
                <w:color w:val="000000"/>
                <w:kern w:val="0"/>
                <w:lang w:bidi="ar"/>
              </w:rPr>
              <w:t>，各工序排污水经污水处理站处理后全部回用，无废水外排。</w:t>
            </w:r>
          </w:p>
          <w:p>
            <w:pPr>
              <w:ind w:firstLine="480"/>
            </w:pPr>
            <w:r>
              <w:t>3、噪声治理措施及影响分析</w:t>
            </w:r>
          </w:p>
          <w:p>
            <w:pPr>
              <w:ind w:firstLine="480"/>
            </w:pPr>
            <w:r>
              <w:rPr>
                <w:rFonts w:hint="eastAsia"/>
              </w:rPr>
              <w:t>(1)</w:t>
            </w:r>
            <w:r>
              <w:t>噪声源强及降噪措施</w:t>
            </w:r>
          </w:p>
          <w:p>
            <w:pPr>
              <w:ind w:firstLine="480"/>
            </w:pPr>
            <w:r>
              <w:t>本项目主要产噪设备为</w:t>
            </w:r>
            <w:r>
              <w:rPr>
                <w:rFonts w:hint="eastAsia"/>
              </w:rPr>
              <w:t>锅炉风机、汽轮机</w:t>
            </w:r>
            <w:r>
              <w:t>、</w:t>
            </w:r>
            <w:r>
              <w:rPr>
                <w:rFonts w:hint="eastAsia"/>
              </w:rPr>
              <w:t>发电机、冷却塔、锅炉排气等设备</w:t>
            </w:r>
            <w:r>
              <w:t>，源强为</w:t>
            </w:r>
            <w:r>
              <w:rPr>
                <w:rFonts w:hint="eastAsia"/>
              </w:rPr>
              <w:t>80</w:t>
            </w:r>
            <w:r>
              <w:t>-</w:t>
            </w:r>
            <w:r>
              <w:rPr>
                <w:rFonts w:hint="eastAsia"/>
              </w:rPr>
              <w:t>110</w:t>
            </w:r>
            <w:r>
              <w:t>dB(A)。</w:t>
            </w:r>
          </w:p>
          <w:p>
            <w:pPr>
              <w:ind w:firstLine="0" w:firstLineChars="0"/>
              <w:jc w:val="center"/>
              <w:rPr>
                <w:b/>
                <w:bCs/>
              </w:rPr>
            </w:pPr>
            <w:r>
              <w:rPr>
                <w:rFonts w:hint="eastAsia"/>
                <w:b/>
                <w:bCs/>
              </w:rPr>
              <w:t>表</w:t>
            </w:r>
            <w:r>
              <w:rPr>
                <w:rFonts w:hint="eastAsia"/>
                <w:b/>
                <w:bCs/>
                <w:lang w:val="en-US" w:eastAsia="zh-CN"/>
              </w:rPr>
              <w:t>37</w:t>
            </w:r>
            <w:r>
              <w:rPr>
                <w:rFonts w:hint="eastAsia"/>
                <w:b/>
                <w:bCs/>
              </w:rPr>
              <w:t xml:space="preserve">    项目噪声排放及处理措施一览表</w:t>
            </w:r>
          </w:p>
          <w:tbl>
            <w:tblPr>
              <w:tblStyle w:val="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932"/>
              <w:gridCol w:w="1089"/>
              <w:gridCol w:w="932"/>
              <w:gridCol w:w="2650"/>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Mar>
                    <w:left w:w="28" w:type="dxa"/>
                    <w:right w:w="28" w:type="dxa"/>
                  </w:tcMar>
                  <w:vAlign w:val="center"/>
                </w:tcPr>
                <w:p>
                  <w:pPr>
                    <w:spacing w:line="360" w:lineRule="exact"/>
                    <w:ind w:firstLine="0" w:firstLineChars="0"/>
                    <w:jc w:val="center"/>
                    <w:rPr>
                      <w:bCs/>
                      <w:sz w:val="18"/>
                      <w:szCs w:val="18"/>
                    </w:rPr>
                  </w:pPr>
                  <w:r>
                    <w:rPr>
                      <w:bCs/>
                      <w:sz w:val="18"/>
                      <w:szCs w:val="18"/>
                    </w:rPr>
                    <w:t>设备名称</w:t>
                  </w:r>
                </w:p>
              </w:tc>
              <w:tc>
                <w:tcPr>
                  <w:tcW w:w="587" w:type="pct"/>
                  <w:tcMar>
                    <w:left w:w="28" w:type="dxa"/>
                    <w:right w:w="28" w:type="dxa"/>
                  </w:tcMar>
                  <w:vAlign w:val="center"/>
                </w:tcPr>
                <w:p>
                  <w:pPr>
                    <w:spacing w:line="360" w:lineRule="exact"/>
                    <w:ind w:firstLine="0" w:firstLineChars="0"/>
                    <w:jc w:val="center"/>
                    <w:rPr>
                      <w:bCs/>
                      <w:sz w:val="18"/>
                      <w:szCs w:val="18"/>
                    </w:rPr>
                  </w:pPr>
                  <w:r>
                    <w:rPr>
                      <w:bCs/>
                      <w:sz w:val="18"/>
                      <w:szCs w:val="18"/>
                    </w:rPr>
                    <w:t>数量</w:t>
                  </w:r>
                </w:p>
                <w:p>
                  <w:pPr>
                    <w:spacing w:line="360" w:lineRule="exact"/>
                    <w:ind w:firstLine="0" w:firstLineChars="0"/>
                    <w:jc w:val="center"/>
                    <w:rPr>
                      <w:bCs/>
                      <w:spacing w:val="-4"/>
                      <w:sz w:val="18"/>
                      <w:szCs w:val="18"/>
                    </w:rPr>
                  </w:pPr>
                  <w:r>
                    <w:rPr>
                      <w:bCs/>
                      <w:spacing w:val="-4"/>
                      <w:sz w:val="18"/>
                      <w:szCs w:val="18"/>
                    </w:rPr>
                    <w:t>(台/套)</w:t>
                  </w:r>
                </w:p>
              </w:tc>
              <w:tc>
                <w:tcPr>
                  <w:tcW w:w="686" w:type="pct"/>
                  <w:tcMar>
                    <w:left w:w="28" w:type="dxa"/>
                    <w:right w:w="28" w:type="dxa"/>
                  </w:tcMar>
                  <w:vAlign w:val="center"/>
                </w:tcPr>
                <w:p>
                  <w:pPr>
                    <w:spacing w:line="360" w:lineRule="exact"/>
                    <w:ind w:firstLine="0" w:firstLineChars="0"/>
                    <w:jc w:val="center"/>
                    <w:rPr>
                      <w:bCs/>
                      <w:sz w:val="18"/>
                      <w:szCs w:val="18"/>
                    </w:rPr>
                  </w:pPr>
                  <w:r>
                    <w:rPr>
                      <w:bCs/>
                      <w:sz w:val="18"/>
                      <w:szCs w:val="18"/>
                    </w:rPr>
                    <w:t>单台声级</w:t>
                  </w:r>
                </w:p>
                <w:p>
                  <w:pPr>
                    <w:spacing w:line="360" w:lineRule="exact"/>
                    <w:ind w:firstLine="0" w:firstLineChars="0"/>
                    <w:jc w:val="center"/>
                    <w:rPr>
                      <w:bCs/>
                      <w:sz w:val="18"/>
                      <w:szCs w:val="18"/>
                    </w:rPr>
                  </w:pPr>
                  <w:r>
                    <w:rPr>
                      <w:bCs/>
                      <w:sz w:val="18"/>
                      <w:szCs w:val="18"/>
                    </w:rPr>
                    <w:t>dB(A)</w:t>
                  </w:r>
                </w:p>
              </w:tc>
              <w:tc>
                <w:tcPr>
                  <w:tcW w:w="587" w:type="pct"/>
                  <w:tcMar>
                    <w:left w:w="28" w:type="dxa"/>
                    <w:right w:w="28" w:type="dxa"/>
                  </w:tcMar>
                  <w:vAlign w:val="center"/>
                </w:tcPr>
                <w:p>
                  <w:pPr>
                    <w:spacing w:line="360" w:lineRule="exact"/>
                    <w:ind w:firstLine="0" w:firstLineChars="0"/>
                    <w:jc w:val="center"/>
                    <w:rPr>
                      <w:bCs/>
                      <w:sz w:val="18"/>
                      <w:szCs w:val="18"/>
                    </w:rPr>
                  </w:pPr>
                  <w:r>
                    <w:rPr>
                      <w:bCs/>
                      <w:sz w:val="18"/>
                      <w:szCs w:val="18"/>
                    </w:rPr>
                    <w:t>排放规律</w:t>
                  </w:r>
                </w:p>
              </w:tc>
              <w:tc>
                <w:tcPr>
                  <w:tcW w:w="1669" w:type="pct"/>
                  <w:tcMar>
                    <w:left w:w="28" w:type="dxa"/>
                    <w:right w:w="28" w:type="dxa"/>
                  </w:tcMar>
                  <w:vAlign w:val="center"/>
                </w:tcPr>
                <w:p>
                  <w:pPr>
                    <w:spacing w:line="360" w:lineRule="exact"/>
                    <w:ind w:firstLine="0" w:firstLineChars="0"/>
                    <w:jc w:val="center"/>
                    <w:rPr>
                      <w:bCs/>
                      <w:sz w:val="18"/>
                      <w:szCs w:val="18"/>
                    </w:rPr>
                  </w:pPr>
                  <w:r>
                    <w:rPr>
                      <w:bCs/>
                      <w:sz w:val="18"/>
                      <w:szCs w:val="18"/>
                    </w:rPr>
                    <w:t>治理措施</w:t>
                  </w:r>
                </w:p>
              </w:tc>
              <w:tc>
                <w:tcPr>
                  <w:tcW w:w="686" w:type="pct"/>
                  <w:tcMar>
                    <w:left w:w="28" w:type="dxa"/>
                    <w:right w:w="28" w:type="dxa"/>
                  </w:tcMar>
                  <w:vAlign w:val="center"/>
                </w:tcPr>
                <w:p>
                  <w:pPr>
                    <w:spacing w:line="360" w:lineRule="exact"/>
                    <w:ind w:firstLine="0" w:firstLineChars="0"/>
                    <w:jc w:val="both"/>
                    <w:rPr>
                      <w:bCs/>
                      <w:sz w:val="18"/>
                      <w:szCs w:val="18"/>
                    </w:rPr>
                  </w:pPr>
                  <w:r>
                    <w:rPr>
                      <w:rFonts w:hint="eastAsia"/>
                      <w:bCs/>
                      <w:sz w:val="18"/>
                      <w:szCs w:val="18"/>
                    </w:rPr>
                    <w:t>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2" w:type="pct"/>
                  <w:tcMar>
                    <w:left w:w="28" w:type="dxa"/>
                    <w:right w:w="28" w:type="dxa"/>
                  </w:tcMar>
                  <w:vAlign w:val="center"/>
                </w:tcPr>
                <w:p>
                  <w:pPr>
                    <w:spacing w:line="360" w:lineRule="exact"/>
                    <w:ind w:firstLine="0" w:firstLineChars="0"/>
                    <w:jc w:val="center"/>
                    <w:rPr>
                      <w:bCs/>
                      <w:sz w:val="18"/>
                      <w:szCs w:val="18"/>
                    </w:rPr>
                  </w:pPr>
                  <w:r>
                    <w:rPr>
                      <w:bCs/>
                      <w:sz w:val="18"/>
                      <w:szCs w:val="18"/>
                    </w:rPr>
                    <w:t>锅炉风机</w:t>
                  </w:r>
                </w:p>
              </w:tc>
              <w:tc>
                <w:tcPr>
                  <w:tcW w:w="587" w:type="pct"/>
                  <w:tcMar>
                    <w:left w:w="28" w:type="dxa"/>
                    <w:right w:w="28" w:type="dxa"/>
                  </w:tcMar>
                  <w:vAlign w:val="center"/>
                </w:tcPr>
                <w:p>
                  <w:pPr>
                    <w:spacing w:line="360" w:lineRule="exact"/>
                    <w:ind w:firstLine="0" w:firstLineChars="0"/>
                    <w:jc w:val="center"/>
                    <w:rPr>
                      <w:bCs/>
                      <w:sz w:val="18"/>
                      <w:szCs w:val="18"/>
                    </w:rPr>
                  </w:pPr>
                  <w:r>
                    <w:rPr>
                      <w:rFonts w:hint="eastAsia"/>
                      <w:bCs/>
                      <w:sz w:val="18"/>
                      <w:szCs w:val="18"/>
                    </w:rPr>
                    <w:t>1</w:t>
                  </w:r>
                </w:p>
              </w:tc>
              <w:tc>
                <w:tcPr>
                  <w:tcW w:w="686" w:type="pct"/>
                  <w:tcMar>
                    <w:left w:w="28" w:type="dxa"/>
                    <w:right w:w="28" w:type="dxa"/>
                  </w:tcMar>
                  <w:vAlign w:val="center"/>
                </w:tcPr>
                <w:p>
                  <w:pPr>
                    <w:spacing w:line="360" w:lineRule="exact"/>
                    <w:ind w:firstLine="0" w:firstLineChars="0"/>
                    <w:jc w:val="center"/>
                    <w:rPr>
                      <w:rFonts w:hint="default" w:eastAsia="宋体"/>
                      <w:sz w:val="18"/>
                      <w:szCs w:val="18"/>
                      <w:lang w:val="en-US" w:eastAsia="zh-CN"/>
                    </w:rPr>
                  </w:pPr>
                  <w:r>
                    <w:rPr>
                      <w:rFonts w:hint="eastAsia"/>
                      <w:sz w:val="18"/>
                      <w:szCs w:val="18"/>
                      <w:lang w:val="en-US" w:eastAsia="zh-CN"/>
                    </w:rPr>
                    <w:t>90</w:t>
                  </w:r>
                </w:p>
              </w:tc>
              <w:tc>
                <w:tcPr>
                  <w:tcW w:w="587" w:type="pct"/>
                  <w:tcMar>
                    <w:left w:w="28" w:type="dxa"/>
                    <w:right w:w="28" w:type="dxa"/>
                  </w:tcMar>
                  <w:vAlign w:val="center"/>
                </w:tcPr>
                <w:p>
                  <w:pPr>
                    <w:snapToGrid w:val="0"/>
                    <w:spacing w:line="360" w:lineRule="exact"/>
                    <w:ind w:firstLine="0" w:firstLineChars="0"/>
                    <w:jc w:val="center"/>
                    <w:rPr>
                      <w:bCs/>
                      <w:sz w:val="18"/>
                      <w:szCs w:val="18"/>
                    </w:rPr>
                  </w:pPr>
                  <w:r>
                    <w:rPr>
                      <w:bCs/>
                      <w:sz w:val="18"/>
                      <w:szCs w:val="18"/>
                    </w:rPr>
                    <w:t>连续</w:t>
                  </w:r>
                </w:p>
              </w:tc>
              <w:tc>
                <w:tcPr>
                  <w:tcW w:w="1669" w:type="pct"/>
                  <w:tcMar>
                    <w:left w:w="28" w:type="dxa"/>
                    <w:right w:w="28" w:type="dxa"/>
                  </w:tcMar>
                  <w:vAlign w:val="center"/>
                </w:tcPr>
                <w:p>
                  <w:pPr>
                    <w:spacing w:line="360" w:lineRule="exact"/>
                    <w:ind w:firstLine="0" w:firstLineChars="0"/>
                    <w:jc w:val="center"/>
                    <w:rPr>
                      <w:bCs/>
                      <w:sz w:val="18"/>
                      <w:szCs w:val="18"/>
                    </w:rPr>
                  </w:pPr>
                  <w:r>
                    <w:rPr>
                      <w:bCs/>
                      <w:sz w:val="18"/>
                      <w:szCs w:val="18"/>
                    </w:rPr>
                    <w:t>厂房隔声+消声器</w:t>
                  </w:r>
                </w:p>
              </w:tc>
              <w:tc>
                <w:tcPr>
                  <w:tcW w:w="686" w:type="pct"/>
                  <w:tcMar>
                    <w:left w:w="28" w:type="dxa"/>
                    <w:right w:w="28" w:type="dxa"/>
                  </w:tcMar>
                  <w:vAlign w:val="center"/>
                </w:tcPr>
                <w:p>
                  <w:pPr>
                    <w:spacing w:line="360" w:lineRule="exact"/>
                    <w:ind w:firstLine="0" w:firstLineChars="0"/>
                    <w:jc w:val="center"/>
                    <w:rPr>
                      <w:sz w:val="18"/>
                      <w:szCs w:val="18"/>
                    </w:rPr>
                  </w:pPr>
                  <w:r>
                    <w:rPr>
                      <w:rFonts w:hint="eastAsia"/>
                      <w:sz w:val="18"/>
                      <w:szCs w:val="18"/>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Mar>
                    <w:left w:w="28" w:type="dxa"/>
                    <w:right w:w="28" w:type="dxa"/>
                  </w:tcMar>
                  <w:vAlign w:val="center"/>
                </w:tcPr>
                <w:p>
                  <w:pPr>
                    <w:spacing w:line="360" w:lineRule="exact"/>
                    <w:ind w:firstLine="0" w:firstLineChars="0"/>
                    <w:jc w:val="center"/>
                    <w:rPr>
                      <w:bCs/>
                      <w:sz w:val="18"/>
                      <w:szCs w:val="18"/>
                    </w:rPr>
                  </w:pPr>
                  <w:r>
                    <w:rPr>
                      <w:bCs/>
                      <w:sz w:val="18"/>
                      <w:szCs w:val="18"/>
                    </w:rPr>
                    <w:t>汽轮机</w:t>
                  </w:r>
                </w:p>
              </w:tc>
              <w:tc>
                <w:tcPr>
                  <w:tcW w:w="587" w:type="pct"/>
                  <w:tcMar>
                    <w:left w:w="28" w:type="dxa"/>
                    <w:right w:w="28" w:type="dxa"/>
                  </w:tcMar>
                  <w:vAlign w:val="center"/>
                </w:tcPr>
                <w:p>
                  <w:pPr>
                    <w:spacing w:line="360" w:lineRule="exact"/>
                    <w:ind w:firstLine="0" w:firstLineChars="0"/>
                    <w:jc w:val="center"/>
                    <w:rPr>
                      <w:bCs/>
                      <w:sz w:val="18"/>
                      <w:szCs w:val="18"/>
                    </w:rPr>
                  </w:pPr>
                  <w:r>
                    <w:rPr>
                      <w:bCs/>
                      <w:sz w:val="18"/>
                      <w:szCs w:val="18"/>
                    </w:rPr>
                    <w:t>1</w:t>
                  </w:r>
                </w:p>
              </w:tc>
              <w:tc>
                <w:tcPr>
                  <w:tcW w:w="686" w:type="pct"/>
                  <w:tcMar>
                    <w:left w:w="28" w:type="dxa"/>
                    <w:right w:w="28" w:type="dxa"/>
                  </w:tcMar>
                  <w:vAlign w:val="center"/>
                </w:tcPr>
                <w:p>
                  <w:pPr>
                    <w:spacing w:line="360" w:lineRule="exact"/>
                    <w:ind w:firstLine="0" w:firstLineChars="0"/>
                    <w:jc w:val="center"/>
                    <w:rPr>
                      <w:rFonts w:hint="default" w:eastAsia="宋体"/>
                      <w:sz w:val="18"/>
                      <w:szCs w:val="18"/>
                      <w:lang w:val="en-US" w:eastAsia="zh-CN"/>
                    </w:rPr>
                  </w:pPr>
                  <w:r>
                    <w:rPr>
                      <w:rFonts w:hint="eastAsia"/>
                      <w:sz w:val="18"/>
                      <w:szCs w:val="18"/>
                      <w:lang w:val="en-US" w:eastAsia="zh-CN"/>
                    </w:rPr>
                    <w:t>100</w:t>
                  </w:r>
                </w:p>
              </w:tc>
              <w:tc>
                <w:tcPr>
                  <w:tcW w:w="587" w:type="pct"/>
                  <w:tcMar>
                    <w:left w:w="28" w:type="dxa"/>
                    <w:right w:w="28" w:type="dxa"/>
                  </w:tcMar>
                  <w:vAlign w:val="center"/>
                </w:tcPr>
                <w:p>
                  <w:pPr>
                    <w:snapToGrid w:val="0"/>
                    <w:spacing w:line="360" w:lineRule="exact"/>
                    <w:ind w:firstLine="0" w:firstLineChars="0"/>
                    <w:jc w:val="center"/>
                    <w:rPr>
                      <w:bCs/>
                      <w:sz w:val="18"/>
                      <w:szCs w:val="18"/>
                    </w:rPr>
                  </w:pPr>
                  <w:r>
                    <w:rPr>
                      <w:bCs/>
                      <w:sz w:val="18"/>
                      <w:szCs w:val="18"/>
                    </w:rPr>
                    <w:t>连续</w:t>
                  </w:r>
                </w:p>
              </w:tc>
              <w:tc>
                <w:tcPr>
                  <w:tcW w:w="1669" w:type="pct"/>
                  <w:tcMar>
                    <w:left w:w="28" w:type="dxa"/>
                    <w:right w:w="28" w:type="dxa"/>
                  </w:tcMar>
                  <w:vAlign w:val="center"/>
                </w:tcPr>
                <w:p>
                  <w:pPr>
                    <w:spacing w:line="360" w:lineRule="exact"/>
                    <w:ind w:firstLine="0" w:firstLineChars="0"/>
                    <w:jc w:val="center"/>
                    <w:rPr>
                      <w:rFonts w:hint="default"/>
                      <w:bCs/>
                      <w:sz w:val="18"/>
                      <w:szCs w:val="18"/>
                      <w:lang w:val="en-US"/>
                    </w:rPr>
                  </w:pPr>
                  <w:r>
                    <w:rPr>
                      <w:rFonts w:hint="eastAsia"/>
                      <w:bCs/>
                      <w:color w:val="000000"/>
                      <w:sz w:val="18"/>
                      <w:szCs w:val="18"/>
                    </w:rPr>
                    <w:t>隔声罩+</w:t>
                  </w:r>
                  <w:r>
                    <w:rPr>
                      <w:bCs/>
                      <w:color w:val="000000"/>
                      <w:sz w:val="18"/>
                      <w:szCs w:val="18"/>
                    </w:rPr>
                    <w:t>厂房隔声</w:t>
                  </w:r>
                  <w:r>
                    <w:rPr>
                      <w:rFonts w:hint="eastAsia"/>
                      <w:bCs/>
                      <w:color w:val="000000"/>
                      <w:sz w:val="18"/>
                      <w:szCs w:val="18"/>
                      <w:lang w:val="en-US" w:eastAsia="zh-CN"/>
                    </w:rPr>
                    <w:t>+</w:t>
                  </w:r>
                  <w:r>
                    <w:rPr>
                      <w:bCs/>
                      <w:color w:val="000000"/>
                      <w:sz w:val="18"/>
                      <w:szCs w:val="18"/>
                    </w:rPr>
                    <w:t>基础减振</w:t>
                  </w:r>
                  <w:r>
                    <w:rPr>
                      <w:rFonts w:hint="eastAsia"/>
                      <w:bCs/>
                      <w:color w:val="000000"/>
                      <w:sz w:val="18"/>
                      <w:szCs w:val="18"/>
                      <w:lang w:val="en-US" w:eastAsia="zh-CN"/>
                    </w:rPr>
                    <w:t>+小型风机进行排风散热+通道口安装消声材料</w:t>
                  </w:r>
                </w:p>
              </w:tc>
              <w:tc>
                <w:tcPr>
                  <w:tcW w:w="686" w:type="pct"/>
                  <w:tcMar>
                    <w:left w:w="28" w:type="dxa"/>
                    <w:right w:w="28" w:type="dxa"/>
                  </w:tcMar>
                  <w:vAlign w:val="center"/>
                </w:tcPr>
                <w:p>
                  <w:pPr>
                    <w:spacing w:line="360" w:lineRule="exact"/>
                    <w:ind w:firstLine="0" w:firstLineChars="0"/>
                    <w:jc w:val="center"/>
                    <w:rPr>
                      <w:sz w:val="18"/>
                      <w:szCs w:val="18"/>
                    </w:rPr>
                  </w:pPr>
                  <w:r>
                    <w:rPr>
                      <w:rFonts w:hint="eastAsia"/>
                      <w:sz w:val="18"/>
                      <w:szCs w:val="18"/>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Mar>
                    <w:left w:w="28" w:type="dxa"/>
                    <w:right w:w="28" w:type="dxa"/>
                  </w:tcMar>
                  <w:vAlign w:val="center"/>
                </w:tcPr>
                <w:p>
                  <w:pPr>
                    <w:spacing w:line="360" w:lineRule="exact"/>
                    <w:ind w:firstLine="0" w:firstLineChars="0"/>
                    <w:jc w:val="center"/>
                    <w:rPr>
                      <w:bCs/>
                      <w:sz w:val="18"/>
                      <w:szCs w:val="18"/>
                    </w:rPr>
                  </w:pPr>
                  <w:r>
                    <w:rPr>
                      <w:bCs/>
                      <w:sz w:val="18"/>
                      <w:szCs w:val="18"/>
                    </w:rPr>
                    <w:t>发电机</w:t>
                  </w:r>
                </w:p>
              </w:tc>
              <w:tc>
                <w:tcPr>
                  <w:tcW w:w="587" w:type="pct"/>
                  <w:tcMar>
                    <w:left w:w="28" w:type="dxa"/>
                    <w:right w:w="28" w:type="dxa"/>
                  </w:tcMar>
                  <w:vAlign w:val="center"/>
                </w:tcPr>
                <w:p>
                  <w:pPr>
                    <w:spacing w:line="360" w:lineRule="exact"/>
                    <w:ind w:firstLine="0" w:firstLineChars="0"/>
                    <w:jc w:val="center"/>
                    <w:rPr>
                      <w:bCs/>
                      <w:sz w:val="18"/>
                      <w:szCs w:val="18"/>
                    </w:rPr>
                  </w:pPr>
                  <w:r>
                    <w:rPr>
                      <w:bCs/>
                      <w:sz w:val="18"/>
                      <w:szCs w:val="18"/>
                    </w:rPr>
                    <w:t>1</w:t>
                  </w:r>
                </w:p>
              </w:tc>
              <w:tc>
                <w:tcPr>
                  <w:tcW w:w="686" w:type="pct"/>
                  <w:tcMar>
                    <w:left w:w="28" w:type="dxa"/>
                    <w:right w:w="28" w:type="dxa"/>
                  </w:tcMar>
                  <w:vAlign w:val="center"/>
                </w:tcPr>
                <w:p>
                  <w:pPr>
                    <w:spacing w:line="360" w:lineRule="exact"/>
                    <w:ind w:firstLine="0" w:firstLineChars="0"/>
                    <w:jc w:val="center"/>
                    <w:rPr>
                      <w:sz w:val="18"/>
                      <w:szCs w:val="18"/>
                    </w:rPr>
                  </w:pPr>
                  <w:r>
                    <w:rPr>
                      <w:sz w:val="18"/>
                      <w:szCs w:val="18"/>
                    </w:rPr>
                    <w:t>85</w:t>
                  </w:r>
                </w:p>
              </w:tc>
              <w:tc>
                <w:tcPr>
                  <w:tcW w:w="587" w:type="pct"/>
                  <w:tcMar>
                    <w:left w:w="28" w:type="dxa"/>
                    <w:right w:w="28" w:type="dxa"/>
                  </w:tcMar>
                  <w:vAlign w:val="center"/>
                </w:tcPr>
                <w:p>
                  <w:pPr>
                    <w:snapToGrid w:val="0"/>
                    <w:spacing w:line="360" w:lineRule="exact"/>
                    <w:ind w:firstLine="0" w:firstLineChars="0"/>
                    <w:jc w:val="center"/>
                    <w:rPr>
                      <w:bCs/>
                      <w:sz w:val="18"/>
                      <w:szCs w:val="18"/>
                    </w:rPr>
                  </w:pPr>
                  <w:r>
                    <w:rPr>
                      <w:bCs/>
                      <w:sz w:val="18"/>
                      <w:szCs w:val="18"/>
                    </w:rPr>
                    <w:t>连续</w:t>
                  </w:r>
                </w:p>
              </w:tc>
              <w:tc>
                <w:tcPr>
                  <w:tcW w:w="1669" w:type="pct"/>
                  <w:tcMar>
                    <w:left w:w="28" w:type="dxa"/>
                    <w:right w:w="28" w:type="dxa"/>
                  </w:tcMar>
                  <w:vAlign w:val="center"/>
                </w:tcPr>
                <w:p>
                  <w:pPr>
                    <w:spacing w:line="360" w:lineRule="exact"/>
                    <w:ind w:firstLine="0" w:firstLineChars="0"/>
                    <w:jc w:val="center"/>
                    <w:rPr>
                      <w:bCs/>
                      <w:sz w:val="18"/>
                      <w:szCs w:val="18"/>
                    </w:rPr>
                  </w:pPr>
                  <w:r>
                    <w:rPr>
                      <w:bCs/>
                      <w:sz w:val="18"/>
                      <w:szCs w:val="18"/>
                    </w:rPr>
                    <w:t>厂房隔声</w:t>
                  </w:r>
                </w:p>
              </w:tc>
              <w:tc>
                <w:tcPr>
                  <w:tcW w:w="686" w:type="pct"/>
                  <w:tcMar>
                    <w:left w:w="28" w:type="dxa"/>
                    <w:right w:w="28" w:type="dxa"/>
                  </w:tcMar>
                  <w:vAlign w:val="center"/>
                </w:tcPr>
                <w:p>
                  <w:pPr>
                    <w:spacing w:line="360" w:lineRule="exact"/>
                    <w:ind w:firstLine="0" w:firstLineChars="0"/>
                    <w:jc w:val="center"/>
                    <w:rPr>
                      <w:sz w:val="18"/>
                      <w:szCs w:val="18"/>
                    </w:rPr>
                  </w:pPr>
                  <w:r>
                    <w:rPr>
                      <w:rFonts w:hint="eastAsia"/>
                      <w:sz w:val="18"/>
                      <w:szCs w:val="18"/>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Mar>
                    <w:left w:w="28" w:type="dxa"/>
                    <w:right w:w="28" w:type="dxa"/>
                  </w:tcMar>
                  <w:vAlign w:val="center"/>
                </w:tcPr>
                <w:p>
                  <w:pPr>
                    <w:spacing w:line="360" w:lineRule="exact"/>
                    <w:ind w:firstLine="0" w:firstLineChars="0"/>
                    <w:jc w:val="center"/>
                    <w:rPr>
                      <w:bCs/>
                      <w:sz w:val="18"/>
                      <w:szCs w:val="18"/>
                    </w:rPr>
                  </w:pPr>
                  <w:r>
                    <w:rPr>
                      <w:bCs/>
                      <w:sz w:val="18"/>
                      <w:szCs w:val="18"/>
                    </w:rPr>
                    <w:t>冷却塔</w:t>
                  </w:r>
                </w:p>
              </w:tc>
              <w:tc>
                <w:tcPr>
                  <w:tcW w:w="587" w:type="pct"/>
                  <w:tcMar>
                    <w:left w:w="28" w:type="dxa"/>
                    <w:right w:w="28" w:type="dxa"/>
                  </w:tcMar>
                  <w:vAlign w:val="center"/>
                </w:tcPr>
                <w:p>
                  <w:pPr>
                    <w:spacing w:line="360" w:lineRule="exact"/>
                    <w:ind w:firstLine="0" w:firstLineChars="0"/>
                    <w:jc w:val="center"/>
                    <w:rPr>
                      <w:bCs/>
                      <w:sz w:val="18"/>
                      <w:szCs w:val="18"/>
                    </w:rPr>
                  </w:pPr>
                  <w:r>
                    <w:rPr>
                      <w:rFonts w:hint="eastAsia"/>
                      <w:bCs/>
                      <w:sz w:val="18"/>
                      <w:szCs w:val="18"/>
                    </w:rPr>
                    <w:t>2</w:t>
                  </w:r>
                </w:p>
              </w:tc>
              <w:tc>
                <w:tcPr>
                  <w:tcW w:w="686" w:type="pct"/>
                  <w:tcMar>
                    <w:left w:w="28" w:type="dxa"/>
                    <w:right w:w="28" w:type="dxa"/>
                  </w:tcMar>
                  <w:vAlign w:val="center"/>
                </w:tcPr>
                <w:p>
                  <w:pPr>
                    <w:spacing w:line="360" w:lineRule="exact"/>
                    <w:ind w:firstLine="0" w:firstLineChars="0"/>
                    <w:jc w:val="center"/>
                    <w:rPr>
                      <w:sz w:val="18"/>
                      <w:szCs w:val="18"/>
                    </w:rPr>
                  </w:pPr>
                  <w:r>
                    <w:rPr>
                      <w:rFonts w:hint="eastAsia"/>
                      <w:sz w:val="18"/>
                      <w:szCs w:val="18"/>
                    </w:rPr>
                    <w:t>80</w:t>
                  </w:r>
                </w:p>
              </w:tc>
              <w:tc>
                <w:tcPr>
                  <w:tcW w:w="587" w:type="pct"/>
                  <w:tcMar>
                    <w:left w:w="28" w:type="dxa"/>
                    <w:right w:w="28" w:type="dxa"/>
                  </w:tcMar>
                  <w:vAlign w:val="center"/>
                </w:tcPr>
                <w:p>
                  <w:pPr>
                    <w:snapToGrid w:val="0"/>
                    <w:spacing w:line="360" w:lineRule="exact"/>
                    <w:ind w:firstLine="0" w:firstLineChars="0"/>
                    <w:jc w:val="center"/>
                    <w:rPr>
                      <w:bCs/>
                      <w:sz w:val="18"/>
                      <w:szCs w:val="18"/>
                    </w:rPr>
                  </w:pPr>
                  <w:r>
                    <w:rPr>
                      <w:bCs/>
                      <w:sz w:val="18"/>
                      <w:szCs w:val="18"/>
                    </w:rPr>
                    <w:t>连续</w:t>
                  </w:r>
                </w:p>
              </w:tc>
              <w:tc>
                <w:tcPr>
                  <w:tcW w:w="1669" w:type="pct"/>
                  <w:tcMar>
                    <w:left w:w="28" w:type="dxa"/>
                    <w:right w:w="28" w:type="dxa"/>
                  </w:tcMar>
                  <w:vAlign w:val="center"/>
                </w:tcPr>
                <w:p>
                  <w:pPr>
                    <w:spacing w:line="360" w:lineRule="exact"/>
                    <w:ind w:firstLine="0" w:firstLineChars="0"/>
                    <w:jc w:val="center"/>
                    <w:rPr>
                      <w:bCs/>
                      <w:sz w:val="18"/>
                      <w:szCs w:val="18"/>
                    </w:rPr>
                  </w:pPr>
                  <w:r>
                    <w:rPr>
                      <w:rFonts w:hint="eastAsia"/>
                      <w:sz w:val="18"/>
                      <w:szCs w:val="18"/>
                    </w:rPr>
                    <w:t>—</w:t>
                  </w:r>
                </w:p>
              </w:tc>
              <w:tc>
                <w:tcPr>
                  <w:tcW w:w="686" w:type="pct"/>
                  <w:tcMar>
                    <w:left w:w="28" w:type="dxa"/>
                    <w:right w:w="28" w:type="dxa"/>
                  </w:tcMar>
                  <w:vAlign w:val="center"/>
                </w:tcPr>
                <w:p>
                  <w:pPr>
                    <w:spacing w:line="360" w:lineRule="exact"/>
                    <w:ind w:firstLine="0" w:firstLineChars="0"/>
                    <w:jc w:val="center"/>
                    <w:rPr>
                      <w:sz w:val="18"/>
                      <w:szCs w:val="18"/>
                    </w:rPr>
                  </w:pPr>
                  <w:r>
                    <w:rPr>
                      <w:rFonts w:hint="eastAsia"/>
                      <w:sz w:val="18"/>
                      <w:szCs w:val="18"/>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tcMar>
                    <w:left w:w="28" w:type="dxa"/>
                    <w:right w:w="28" w:type="dxa"/>
                  </w:tcMar>
                  <w:vAlign w:val="center"/>
                </w:tcPr>
                <w:p>
                  <w:pPr>
                    <w:spacing w:line="360" w:lineRule="exact"/>
                    <w:ind w:firstLine="0" w:firstLineChars="0"/>
                    <w:jc w:val="center"/>
                    <w:rPr>
                      <w:bCs/>
                      <w:sz w:val="18"/>
                      <w:szCs w:val="18"/>
                    </w:rPr>
                  </w:pPr>
                  <w:r>
                    <w:rPr>
                      <w:bCs/>
                      <w:sz w:val="18"/>
                      <w:szCs w:val="18"/>
                    </w:rPr>
                    <w:t>锅炉排汽</w:t>
                  </w:r>
                </w:p>
              </w:tc>
              <w:tc>
                <w:tcPr>
                  <w:tcW w:w="587" w:type="pct"/>
                  <w:tcMar>
                    <w:left w:w="28" w:type="dxa"/>
                    <w:right w:w="28" w:type="dxa"/>
                  </w:tcMar>
                  <w:vAlign w:val="center"/>
                </w:tcPr>
                <w:p>
                  <w:pPr>
                    <w:spacing w:line="360" w:lineRule="exact"/>
                    <w:ind w:firstLine="0" w:firstLineChars="0"/>
                    <w:jc w:val="center"/>
                    <w:rPr>
                      <w:bCs/>
                      <w:sz w:val="18"/>
                      <w:szCs w:val="18"/>
                    </w:rPr>
                  </w:pPr>
                  <w:r>
                    <w:rPr>
                      <w:bCs/>
                      <w:sz w:val="18"/>
                      <w:szCs w:val="18"/>
                    </w:rPr>
                    <w:t>1</w:t>
                  </w:r>
                </w:p>
              </w:tc>
              <w:tc>
                <w:tcPr>
                  <w:tcW w:w="686" w:type="pct"/>
                  <w:tcMar>
                    <w:left w:w="28" w:type="dxa"/>
                    <w:right w:w="28" w:type="dxa"/>
                  </w:tcMar>
                  <w:vAlign w:val="center"/>
                </w:tcPr>
                <w:p>
                  <w:pPr>
                    <w:spacing w:line="360" w:lineRule="exact"/>
                    <w:ind w:firstLine="0" w:firstLineChars="0"/>
                    <w:jc w:val="center"/>
                    <w:rPr>
                      <w:sz w:val="18"/>
                      <w:szCs w:val="18"/>
                    </w:rPr>
                  </w:pPr>
                  <w:r>
                    <w:rPr>
                      <w:sz w:val="18"/>
                      <w:szCs w:val="18"/>
                    </w:rPr>
                    <w:t>110</w:t>
                  </w:r>
                </w:p>
              </w:tc>
              <w:tc>
                <w:tcPr>
                  <w:tcW w:w="587" w:type="pct"/>
                  <w:tcMar>
                    <w:left w:w="28" w:type="dxa"/>
                    <w:right w:w="28" w:type="dxa"/>
                  </w:tcMar>
                  <w:vAlign w:val="center"/>
                </w:tcPr>
                <w:p>
                  <w:pPr>
                    <w:spacing w:line="360" w:lineRule="exact"/>
                    <w:ind w:firstLine="0" w:firstLineChars="0"/>
                    <w:jc w:val="center"/>
                    <w:rPr>
                      <w:bCs/>
                      <w:sz w:val="18"/>
                      <w:szCs w:val="18"/>
                    </w:rPr>
                  </w:pPr>
                  <w:r>
                    <w:rPr>
                      <w:bCs/>
                      <w:sz w:val="18"/>
                      <w:szCs w:val="18"/>
                    </w:rPr>
                    <w:t>间断偶发</w:t>
                  </w:r>
                </w:p>
              </w:tc>
              <w:tc>
                <w:tcPr>
                  <w:tcW w:w="1669" w:type="pct"/>
                  <w:tcMar>
                    <w:left w:w="28" w:type="dxa"/>
                    <w:right w:w="28" w:type="dxa"/>
                  </w:tcMar>
                  <w:vAlign w:val="center"/>
                </w:tcPr>
                <w:p>
                  <w:pPr>
                    <w:spacing w:line="360" w:lineRule="exact"/>
                    <w:ind w:firstLine="0" w:firstLineChars="0"/>
                    <w:jc w:val="center"/>
                    <w:rPr>
                      <w:bCs/>
                      <w:sz w:val="18"/>
                      <w:szCs w:val="18"/>
                    </w:rPr>
                  </w:pPr>
                  <w:r>
                    <w:rPr>
                      <w:bCs/>
                      <w:sz w:val="18"/>
                      <w:szCs w:val="18"/>
                    </w:rPr>
                    <w:t>排汽孔安装小孔消音器</w:t>
                  </w:r>
                </w:p>
              </w:tc>
              <w:tc>
                <w:tcPr>
                  <w:tcW w:w="686" w:type="pct"/>
                  <w:tcMar>
                    <w:left w:w="28" w:type="dxa"/>
                    <w:right w:w="28" w:type="dxa"/>
                  </w:tcMar>
                  <w:vAlign w:val="center"/>
                </w:tcPr>
                <w:p>
                  <w:pPr>
                    <w:spacing w:line="360" w:lineRule="exact"/>
                    <w:ind w:firstLine="0" w:firstLineChars="0"/>
                    <w:jc w:val="center"/>
                    <w:rPr>
                      <w:sz w:val="18"/>
                      <w:szCs w:val="18"/>
                    </w:rPr>
                  </w:pPr>
                  <w:r>
                    <w:rPr>
                      <w:rFonts w:hint="eastAsia"/>
                      <w:sz w:val="18"/>
                      <w:szCs w:val="18"/>
                    </w:rPr>
                    <w:t>—</w:t>
                  </w:r>
                </w:p>
              </w:tc>
            </w:tr>
          </w:tbl>
          <w:p>
            <w:pPr>
              <w:pStyle w:val="128"/>
              <w:spacing w:beforeLines="0" w:afterLines="0" w:line="360" w:lineRule="auto"/>
              <w:ind w:firstLine="480"/>
              <w:jc w:val="both"/>
              <w:rPr>
                <w:rFonts w:ascii="Times New Roman"/>
                <w:kern w:val="2"/>
                <w:sz w:val="24"/>
                <w:szCs w:val="24"/>
              </w:rPr>
            </w:pPr>
            <w:r>
              <w:rPr>
                <w:rFonts w:ascii="Times New Roman"/>
                <w:kern w:val="2"/>
                <w:sz w:val="24"/>
                <w:szCs w:val="24"/>
              </w:rPr>
              <w:t>(2)预测内容</w:t>
            </w:r>
          </w:p>
          <w:p>
            <w:pPr>
              <w:pStyle w:val="128"/>
              <w:spacing w:beforeLines="0" w:afterLines="0" w:line="360" w:lineRule="auto"/>
              <w:ind w:firstLine="480"/>
              <w:jc w:val="both"/>
              <w:rPr>
                <w:rFonts w:ascii="Times New Roman"/>
                <w:kern w:val="2"/>
                <w:sz w:val="24"/>
                <w:szCs w:val="24"/>
              </w:rPr>
            </w:pPr>
            <w:r>
              <w:rPr>
                <w:rFonts w:ascii="Times New Roman"/>
                <w:kern w:val="2"/>
                <w:sz w:val="24"/>
                <w:szCs w:val="24"/>
              </w:rPr>
              <w:t>1)预测因子：等效连续A声级。</w:t>
            </w:r>
          </w:p>
          <w:p>
            <w:pPr>
              <w:pStyle w:val="128"/>
              <w:spacing w:beforeLines="0" w:afterLines="0" w:line="360" w:lineRule="auto"/>
              <w:ind w:firstLine="480"/>
              <w:jc w:val="both"/>
              <w:rPr>
                <w:rFonts w:ascii="Times New Roman"/>
                <w:kern w:val="2"/>
                <w:sz w:val="24"/>
                <w:szCs w:val="24"/>
              </w:rPr>
            </w:pPr>
            <w:r>
              <w:rPr>
                <w:rFonts w:ascii="Times New Roman"/>
                <w:kern w:val="2"/>
                <w:sz w:val="24"/>
                <w:szCs w:val="24"/>
              </w:rPr>
              <w:t>2)预测点位：预测项目实施后对厂界的噪声贡献值和叠加现状背景值后的预测值。</w:t>
            </w:r>
          </w:p>
          <w:p>
            <w:pPr>
              <w:pStyle w:val="128"/>
              <w:spacing w:beforeLines="0" w:afterLines="0" w:line="360" w:lineRule="auto"/>
              <w:ind w:firstLine="480"/>
              <w:jc w:val="both"/>
              <w:rPr>
                <w:rFonts w:ascii="Times New Roman"/>
                <w:kern w:val="2"/>
                <w:sz w:val="24"/>
                <w:szCs w:val="24"/>
              </w:rPr>
            </w:pPr>
            <w:r>
              <w:rPr>
                <w:rFonts w:ascii="Times New Roman"/>
                <w:kern w:val="2"/>
                <w:sz w:val="24"/>
                <w:szCs w:val="24"/>
              </w:rPr>
              <w:t>(3)预测模式</w:t>
            </w:r>
          </w:p>
          <w:p>
            <w:pPr>
              <w:pStyle w:val="128"/>
              <w:spacing w:beforeLines="0" w:afterLines="0" w:line="360" w:lineRule="auto"/>
              <w:ind w:firstLine="480"/>
              <w:jc w:val="both"/>
              <w:rPr>
                <w:rFonts w:ascii="Times New Roman"/>
                <w:sz w:val="24"/>
              </w:rPr>
            </w:pPr>
            <w:r>
              <w:rPr>
                <w:rFonts w:ascii="Times New Roman"/>
                <w:kern w:val="2"/>
                <w:sz w:val="24"/>
                <w:szCs w:val="24"/>
              </w:rPr>
              <w:t>1)室外点声源对厂界噪声预</w:t>
            </w:r>
            <w:r>
              <w:rPr>
                <w:rFonts w:ascii="Times New Roman"/>
                <w:sz w:val="24"/>
              </w:rPr>
              <w:t>测点贡献值预测模式</w:t>
            </w:r>
          </w:p>
          <w:p>
            <w:pPr>
              <w:pStyle w:val="128"/>
              <w:adjustRightInd/>
              <w:snapToGrid/>
              <w:spacing w:before="24" w:after="24" w:line="360" w:lineRule="auto"/>
              <w:ind w:firstLine="480"/>
              <w:rPr>
                <w:rFonts w:ascii="Times New Roman"/>
                <w:sz w:val="24"/>
              </w:rPr>
            </w:pPr>
            <w:r>
              <w:rPr>
                <w:rFonts w:ascii="Times New Roman"/>
                <w:sz w:val="24"/>
              </w:rPr>
              <w:t>L</w:t>
            </w:r>
            <w:r>
              <w:rPr>
                <w:rFonts w:ascii="Times New Roman"/>
                <w:sz w:val="24"/>
                <w:vertAlign w:val="subscript"/>
              </w:rPr>
              <w:t>A(r)</w:t>
            </w:r>
            <w:r>
              <w:rPr>
                <w:rFonts w:ascii="Times New Roman"/>
                <w:sz w:val="24"/>
              </w:rPr>
              <w:t>=L</w:t>
            </w:r>
            <w:r>
              <w:rPr>
                <w:rFonts w:ascii="Times New Roman"/>
                <w:sz w:val="24"/>
                <w:vertAlign w:val="subscript"/>
              </w:rPr>
              <w:t>A</w:t>
            </w:r>
            <w:r>
              <w:rPr>
                <w:rFonts w:ascii="Times New Roman"/>
                <w:sz w:val="24"/>
              </w:rPr>
              <w:t>ref</w:t>
            </w:r>
            <w:r>
              <w:rPr>
                <w:rFonts w:ascii="Times New Roman"/>
                <w:sz w:val="24"/>
                <w:vertAlign w:val="subscript"/>
              </w:rPr>
              <w:t>(r0)</w:t>
            </w:r>
            <w:r>
              <w:rPr>
                <w:rFonts w:ascii="Times New Roman"/>
                <w:sz w:val="24"/>
              </w:rPr>
              <w:t>－(A</w:t>
            </w:r>
            <w:r>
              <w:rPr>
                <w:rFonts w:ascii="Times New Roman"/>
                <w:sz w:val="24"/>
                <w:vertAlign w:val="subscript"/>
              </w:rPr>
              <w:t>div</w:t>
            </w:r>
            <w:r>
              <w:rPr>
                <w:rFonts w:ascii="Times New Roman"/>
                <w:sz w:val="24"/>
              </w:rPr>
              <w:t>+A</w:t>
            </w:r>
            <w:r>
              <w:rPr>
                <w:rFonts w:ascii="Times New Roman"/>
                <w:sz w:val="24"/>
                <w:vertAlign w:val="subscript"/>
              </w:rPr>
              <w:t>bar</w:t>
            </w:r>
            <w:r>
              <w:rPr>
                <w:rFonts w:ascii="Times New Roman"/>
                <w:sz w:val="24"/>
              </w:rPr>
              <w:t>+A</w:t>
            </w:r>
            <w:r>
              <w:rPr>
                <w:rFonts w:ascii="Times New Roman"/>
                <w:sz w:val="24"/>
                <w:vertAlign w:val="subscript"/>
              </w:rPr>
              <w:t>atm</w:t>
            </w:r>
            <w:r>
              <w:rPr>
                <w:rFonts w:ascii="Times New Roman"/>
                <w:sz w:val="24"/>
              </w:rPr>
              <w:t>+A</w:t>
            </w:r>
            <w:r>
              <w:rPr>
                <w:rFonts w:ascii="Times New Roman"/>
                <w:sz w:val="24"/>
                <w:vertAlign w:val="subscript"/>
              </w:rPr>
              <w:t>exc</w:t>
            </w:r>
            <w:r>
              <w:rPr>
                <w:rFonts w:ascii="Times New Roman"/>
                <w:sz w:val="24"/>
              </w:rPr>
              <w:t>)</w:t>
            </w:r>
          </w:p>
          <w:p>
            <w:pPr>
              <w:pStyle w:val="128"/>
              <w:adjustRightInd/>
              <w:snapToGrid/>
              <w:spacing w:before="24" w:after="24" w:line="360" w:lineRule="auto"/>
              <w:ind w:firstLine="480"/>
              <w:jc w:val="both"/>
              <w:rPr>
                <w:rFonts w:ascii="Times New Roman"/>
                <w:sz w:val="24"/>
              </w:rPr>
            </w:pPr>
            <w:r>
              <w:rPr>
                <w:rFonts w:ascii="Times New Roman"/>
                <w:sz w:val="24"/>
              </w:rPr>
              <w:t>式中：L</w:t>
            </w:r>
            <w:r>
              <w:rPr>
                <w:rFonts w:ascii="Times New Roman"/>
                <w:sz w:val="24"/>
                <w:vertAlign w:val="subscript"/>
              </w:rPr>
              <w:t>A(r)</w:t>
            </w:r>
            <w:r>
              <w:rPr>
                <w:rFonts w:ascii="Times New Roman"/>
                <w:sz w:val="24"/>
              </w:rPr>
              <w:t>──距声源r米处的A声级；</w:t>
            </w:r>
          </w:p>
          <w:p>
            <w:pPr>
              <w:pStyle w:val="128"/>
              <w:adjustRightInd/>
              <w:snapToGrid/>
              <w:spacing w:before="24" w:after="24" w:line="360" w:lineRule="auto"/>
              <w:ind w:firstLine="480"/>
              <w:jc w:val="both"/>
              <w:rPr>
                <w:rFonts w:ascii="Times New Roman"/>
                <w:sz w:val="24"/>
              </w:rPr>
            </w:pPr>
            <w:r>
              <w:rPr>
                <w:rFonts w:ascii="Times New Roman"/>
                <w:sz w:val="24"/>
              </w:rPr>
              <w:t>L</w:t>
            </w:r>
            <w:r>
              <w:rPr>
                <w:rFonts w:ascii="Times New Roman"/>
                <w:sz w:val="24"/>
                <w:vertAlign w:val="subscript"/>
              </w:rPr>
              <w:t>A</w:t>
            </w:r>
            <w:r>
              <w:rPr>
                <w:rFonts w:ascii="Times New Roman"/>
                <w:sz w:val="24"/>
              </w:rPr>
              <w:t>ref</w:t>
            </w:r>
            <w:r>
              <w:rPr>
                <w:rFonts w:ascii="Times New Roman"/>
                <w:sz w:val="24"/>
                <w:vertAlign w:val="subscript"/>
              </w:rPr>
              <w:t>(r0)</w:t>
            </w:r>
            <w:r>
              <w:rPr>
                <w:rFonts w:ascii="Times New Roman"/>
                <w:sz w:val="24"/>
              </w:rPr>
              <w:t>—参考位置r</w:t>
            </w:r>
            <w:r>
              <w:rPr>
                <w:rFonts w:ascii="Times New Roman"/>
                <w:sz w:val="24"/>
                <w:vertAlign w:val="subscript"/>
              </w:rPr>
              <w:t>0</w:t>
            </w:r>
            <w:r>
              <w:rPr>
                <w:rFonts w:ascii="Times New Roman"/>
                <w:sz w:val="24"/>
              </w:rPr>
              <w:t>米处的A声级；</w:t>
            </w:r>
          </w:p>
          <w:p>
            <w:pPr>
              <w:pStyle w:val="128"/>
              <w:adjustRightInd/>
              <w:snapToGrid/>
              <w:spacing w:before="24" w:after="24" w:line="360" w:lineRule="auto"/>
              <w:ind w:firstLine="480"/>
              <w:jc w:val="both"/>
              <w:rPr>
                <w:rFonts w:ascii="Times New Roman"/>
                <w:sz w:val="24"/>
              </w:rPr>
            </w:pPr>
            <w:r>
              <w:rPr>
                <w:rFonts w:ascii="Times New Roman"/>
                <w:sz w:val="24"/>
              </w:rPr>
              <w:t>A</w:t>
            </w:r>
            <w:r>
              <w:rPr>
                <w:rFonts w:ascii="Times New Roman"/>
                <w:sz w:val="24"/>
                <w:vertAlign w:val="subscript"/>
              </w:rPr>
              <w:t>div</w:t>
            </w:r>
            <w:r>
              <w:rPr>
                <w:rFonts w:ascii="Times New Roman"/>
                <w:sz w:val="24"/>
              </w:rPr>
              <w:t>──声波几何发散引起的A声级衰减量；</w:t>
            </w:r>
          </w:p>
          <w:p>
            <w:pPr>
              <w:pStyle w:val="128"/>
              <w:adjustRightInd/>
              <w:snapToGrid/>
              <w:spacing w:before="24" w:after="24" w:line="360" w:lineRule="auto"/>
              <w:ind w:firstLine="480"/>
              <w:jc w:val="both"/>
              <w:rPr>
                <w:rFonts w:ascii="Times New Roman"/>
                <w:sz w:val="24"/>
              </w:rPr>
            </w:pPr>
            <w:r>
              <w:rPr>
                <w:rFonts w:ascii="Times New Roman"/>
                <w:sz w:val="24"/>
              </w:rPr>
              <w:t>A</w:t>
            </w:r>
            <w:r>
              <w:rPr>
                <w:rFonts w:ascii="Times New Roman"/>
                <w:sz w:val="24"/>
                <w:vertAlign w:val="subscript"/>
              </w:rPr>
              <w:t>bar</w:t>
            </w:r>
            <w:r>
              <w:rPr>
                <w:rFonts w:ascii="Times New Roman"/>
                <w:sz w:val="24"/>
              </w:rPr>
              <w:t>──声屏障引起的A声级衰减量；</w:t>
            </w:r>
          </w:p>
          <w:p>
            <w:pPr>
              <w:pStyle w:val="128"/>
              <w:adjustRightInd/>
              <w:snapToGrid/>
              <w:spacing w:before="24" w:after="24" w:line="360" w:lineRule="auto"/>
              <w:ind w:firstLine="480"/>
              <w:jc w:val="both"/>
              <w:rPr>
                <w:rFonts w:ascii="Times New Roman"/>
                <w:sz w:val="24"/>
              </w:rPr>
            </w:pPr>
            <w:r>
              <w:rPr>
                <w:rFonts w:ascii="Times New Roman"/>
                <w:sz w:val="24"/>
              </w:rPr>
              <w:t>A</w:t>
            </w:r>
            <w:r>
              <w:rPr>
                <w:rFonts w:ascii="Times New Roman"/>
                <w:sz w:val="24"/>
                <w:vertAlign w:val="subscript"/>
              </w:rPr>
              <w:t>atm</w:t>
            </w:r>
            <w:r>
              <w:rPr>
                <w:rFonts w:ascii="Times New Roman"/>
                <w:sz w:val="24"/>
              </w:rPr>
              <w:t>──空气吸收引起的A声级衰减量；</w:t>
            </w:r>
          </w:p>
          <w:p>
            <w:pPr>
              <w:pStyle w:val="128"/>
              <w:adjustRightInd/>
              <w:snapToGrid/>
              <w:spacing w:before="24" w:after="24" w:line="360" w:lineRule="auto"/>
              <w:ind w:firstLine="480"/>
              <w:jc w:val="both"/>
              <w:rPr>
                <w:rFonts w:ascii="Times New Roman"/>
                <w:sz w:val="24"/>
              </w:rPr>
            </w:pPr>
            <w:r>
              <w:rPr>
                <w:rFonts w:ascii="Times New Roman"/>
                <w:sz w:val="24"/>
              </w:rPr>
              <w:t>A</w:t>
            </w:r>
            <w:r>
              <w:rPr>
                <w:rFonts w:ascii="Times New Roman"/>
                <w:sz w:val="24"/>
                <w:vertAlign w:val="subscript"/>
              </w:rPr>
              <w:t>exc</w:t>
            </w:r>
            <w:r>
              <w:rPr>
                <w:rFonts w:ascii="Times New Roman"/>
                <w:sz w:val="24"/>
              </w:rPr>
              <w:t>──附加衰减量。</w:t>
            </w:r>
          </w:p>
          <w:p>
            <w:pPr>
              <w:pStyle w:val="128"/>
              <w:spacing w:beforeLines="0" w:afterLines="0" w:line="360" w:lineRule="auto"/>
              <w:ind w:firstLine="480"/>
              <w:jc w:val="both"/>
              <w:rPr>
                <w:rFonts w:ascii="Times New Roman"/>
                <w:sz w:val="24"/>
              </w:rPr>
            </w:pPr>
            <w:r>
              <w:rPr>
                <w:rFonts w:ascii="Times New Roman"/>
                <w:sz w:val="24"/>
              </w:rPr>
              <w:t>①几何发散</w:t>
            </w:r>
          </w:p>
          <w:p>
            <w:pPr>
              <w:pStyle w:val="128"/>
              <w:spacing w:beforeLines="0" w:afterLines="0" w:line="360" w:lineRule="auto"/>
              <w:ind w:firstLine="480"/>
              <w:jc w:val="both"/>
              <w:rPr>
                <w:rFonts w:ascii="Times New Roman"/>
                <w:sz w:val="24"/>
              </w:rPr>
            </w:pPr>
            <w:r>
              <w:rPr>
                <w:rFonts w:ascii="Times New Roman"/>
                <w:sz w:val="24"/>
              </w:rPr>
              <w:t>对于室外点声源，不考虑其指向性，几何发散衰减计算公式为：</w:t>
            </w:r>
          </w:p>
          <w:p>
            <w:pPr>
              <w:pStyle w:val="128"/>
              <w:adjustRightInd/>
              <w:snapToGrid/>
              <w:spacing w:before="24" w:after="24" w:line="360" w:lineRule="auto"/>
              <w:ind w:firstLine="480"/>
              <w:rPr>
                <w:rFonts w:ascii="Times New Roman"/>
                <w:sz w:val="24"/>
              </w:rPr>
            </w:pPr>
            <w:r>
              <w:rPr>
                <w:rFonts w:ascii="Times New Roman"/>
                <w:sz w:val="24"/>
              </w:rPr>
              <w:t>L</w:t>
            </w:r>
            <w:r>
              <w:rPr>
                <w:rFonts w:ascii="Times New Roman"/>
                <w:sz w:val="24"/>
                <w:vertAlign w:val="subscript"/>
              </w:rPr>
              <w:t>A</w:t>
            </w:r>
            <w:r>
              <w:rPr>
                <w:rFonts w:ascii="Times New Roman"/>
                <w:sz w:val="24"/>
              </w:rPr>
              <w:t>(r)=L</w:t>
            </w:r>
            <w:r>
              <w:rPr>
                <w:rFonts w:ascii="Times New Roman"/>
                <w:sz w:val="24"/>
                <w:vertAlign w:val="subscript"/>
              </w:rPr>
              <w:t>A</w:t>
            </w:r>
            <w:r>
              <w:rPr>
                <w:rFonts w:ascii="Times New Roman"/>
                <w:sz w:val="24"/>
              </w:rPr>
              <w:t>(r</w:t>
            </w:r>
            <w:r>
              <w:rPr>
                <w:rFonts w:ascii="Times New Roman"/>
                <w:sz w:val="24"/>
                <w:vertAlign w:val="subscript"/>
              </w:rPr>
              <w:t>0</w:t>
            </w:r>
            <w:r>
              <w:rPr>
                <w:rFonts w:ascii="Times New Roman"/>
                <w:sz w:val="24"/>
              </w:rPr>
              <w:t>)－20Lg(r/r</w:t>
            </w:r>
            <w:r>
              <w:rPr>
                <w:rFonts w:ascii="Times New Roman"/>
                <w:sz w:val="24"/>
                <w:vertAlign w:val="subscript"/>
              </w:rPr>
              <w:t>0</w:t>
            </w:r>
            <w:r>
              <w:rPr>
                <w:rFonts w:ascii="Times New Roman"/>
                <w:sz w:val="24"/>
              </w:rPr>
              <w:t>)</w:t>
            </w:r>
          </w:p>
          <w:p>
            <w:pPr>
              <w:pStyle w:val="128"/>
              <w:spacing w:beforeLines="0" w:afterLines="0" w:line="360" w:lineRule="auto"/>
              <w:ind w:firstLine="480"/>
              <w:jc w:val="both"/>
              <w:rPr>
                <w:rFonts w:ascii="Times New Roman"/>
                <w:sz w:val="24"/>
              </w:rPr>
            </w:pPr>
            <w:r>
              <w:rPr>
                <w:rFonts w:ascii="Times New Roman"/>
                <w:sz w:val="24"/>
              </w:rPr>
              <w:t>②遮挡物引起的衰减</w:t>
            </w:r>
          </w:p>
          <w:p>
            <w:pPr>
              <w:pStyle w:val="128"/>
              <w:spacing w:beforeLines="0" w:afterLines="0" w:line="360" w:lineRule="auto"/>
              <w:ind w:firstLine="480"/>
              <w:jc w:val="both"/>
              <w:rPr>
                <w:rFonts w:ascii="Times New Roman"/>
                <w:sz w:val="24"/>
              </w:rPr>
            </w:pPr>
            <w:r>
              <w:rPr>
                <w:rFonts w:ascii="Times New Roman"/>
                <w:sz w:val="24"/>
              </w:rPr>
              <w:t>遮挡物</w:t>
            </w:r>
            <w:r>
              <w:rPr>
                <w:rFonts w:ascii="Times New Roman"/>
                <w:kern w:val="2"/>
                <w:sz w:val="24"/>
                <w:szCs w:val="24"/>
              </w:rPr>
              <w:t>引起</w:t>
            </w:r>
            <w:r>
              <w:rPr>
                <w:rFonts w:ascii="Times New Roman"/>
                <w:sz w:val="24"/>
              </w:rPr>
              <w:t>的衰减，只考虑各声源所在厂房围护结构的屏蔽效应，(1)中已计算，其他</w:t>
            </w:r>
            <w:r>
              <w:rPr>
                <w:rFonts w:ascii="Times New Roman"/>
                <w:kern w:val="2"/>
                <w:sz w:val="24"/>
                <w:szCs w:val="24"/>
              </w:rPr>
              <w:t>忽略</w:t>
            </w:r>
            <w:r>
              <w:rPr>
                <w:rFonts w:ascii="Times New Roman"/>
                <w:sz w:val="24"/>
              </w:rPr>
              <w:t>不计。</w:t>
            </w:r>
          </w:p>
          <w:p>
            <w:pPr>
              <w:pStyle w:val="128"/>
              <w:spacing w:beforeLines="0" w:afterLines="0" w:line="360" w:lineRule="auto"/>
              <w:ind w:firstLine="480"/>
              <w:jc w:val="both"/>
              <w:rPr>
                <w:rFonts w:ascii="Times New Roman"/>
                <w:sz w:val="24"/>
              </w:rPr>
            </w:pPr>
            <w:r>
              <w:rPr>
                <w:rFonts w:ascii="Times New Roman"/>
                <w:sz w:val="24"/>
              </w:rPr>
              <w:t>③空气吸收</w:t>
            </w:r>
            <w:r>
              <w:rPr>
                <w:rFonts w:ascii="Times New Roman"/>
                <w:kern w:val="2"/>
                <w:sz w:val="24"/>
                <w:szCs w:val="24"/>
              </w:rPr>
              <w:t>引起</w:t>
            </w:r>
            <w:r>
              <w:rPr>
                <w:rFonts w:ascii="Times New Roman"/>
                <w:sz w:val="24"/>
              </w:rPr>
              <w:t>的衰减</w:t>
            </w:r>
          </w:p>
          <w:p>
            <w:pPr>
              <w:pStyle w:val="128"/>
              <w:spacing w:beforeLines="0" w:afterLines="0" w:line="360" w:lineRule="auto"/>
              <w:ind w:firstLine="480"/>
              <w:jc w:val="both"/>
              <w:rPr>
                <w:rFonts w:ascii="Times New Roman"/>
                <w:sz w:val="24"/>
              </w:rPr>
            </w:pPr>
            <w:r>
              <w:rPr>
                <w:rFonts w:ascii="Times New Roman"/>
                <w:sz w:val="24"/>
              </w:rPr>
              <w:t>空气吸收</w:t>
            </w:r>
            <w:r>
              <w:rPr>
                <w:rFonts w:ascii="Times New Roman"/>
                <w:kern w:val="2"/>
                <w:sz w:val="24"/>
                <w:szCs w:val="24"/>
              </w:rPr>
              <w:t>引起</w:t>
            </w:r>
            <w:r>
              <w:rPr>
                <w:rFonts w:ascii="Times New Roman"/>
                <w:sz w:val="24"/>
              </w:rPr>
              <w:t>的衰减按下式计算：</w:t>
            </w:r>
          </w:p>
          <w:p>
            <w:pPr>
              <w:pStyle w:val="128"/>
              <w:adjustRightInd/>
              <w:snapToGrid/>
              <w:spacing w:before="24" w:after="24" w:line="360" w:lineRule="auto"/>
              <w:ind w:firstLine="480"/>
              <w:rPr>
                <w:rFonts w:ascii="Times New Roman"/>
                <w:sz w:val="24"/>
              </w:rPr>
            </w:pPr>
            <w:r>
              <w:rPr>
                <w:rFonts w:ascii="Times New Roman"/>
                <w:sz w:val="24"/>
              </w:rPr>
              <w:object>
                <v:shape id="_x0000_i1030" o:spt="75" type="#_x0000_t75" style="height:30pt;width:69.75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p>
          <w:p>
            <w:pPr>
              <w:pStyle w:val="128"/>
              <w:adjustRightInd/>
              <w:snapToGrid/>
              <w:spacing w:before="24" w:after="24" w:line="360" w:lineRule="auto"/>
              <w:ind w:firstLine="480"/>
              <w:jc w:val="both"/>
              <w:rPr>
                <w:rFonts w:ascii="Times New Roman"/>
                <w:sz w:val="24"/>
              </w:rPr>
            </w:pPr>
            <w:r>
              <w:rPr>
                <w:rFonts w:ascii="Times New Roman"/>
                <w:sz w:val="24"/>
              </w:rPr>
              <w:t>式中：r—预测点距声源的距离，m；</w:t>
            </w:r>
          </w:p>
          <w:p>
            <w:pPr>
              <w:pStyle w:val="128"/>
              <w:adjustRightInd/>
              <w:snapToGrid/>
              <w:spacing w:before="24" w:after="24" w:line="360" w:lineRule="auto"/>
              <w:ind w:firstLine="480"/>
              <w:jc w:val="both"/>
              <w:rPr>
                <w:rFonts w:ascii="Times New Roman"/>
                <w:sz w:val="24"/>
              </w:rPr>
            </w:pPr>
            <w:r>
              <w:rPr>
                <w:rFonts w:ascii="Times New Roman"/>
                <w:sz w:val="24"/>
              </w:rPr>
              <w:t>r</w:t>
            </w:r>
            <w:r>
              <w:rPr>
                <w:rFonts w:ascii="Times New Roman"/>
                <w:sz w:val="24"/>
                <w:vertAlign w:val="subscript"/>
              </w:rPr>
              <w:t>0</w:t>
            </w:r>
            <w:r>
              <w:rPr>
                <w:rFonts w:ascii="Times New Roman"/>
                <w:sz w:val="24"/>
              </w:rPr>
              <w:t>—参考点距声源的距离，m；</w:t>
            </w:r>
          </w:p>
          <w:p>
            <w:pPr>
              <w:pStyle w:val="128"/>
              <w:adjustRightInd/>
              <w:snapToGrid/>
              <w:spacing w:before="24" w:after="24" w:line="360" w:lineRule="auto"/>
              <w:ind w:firstLine="480"/>
              <w:jc w:val="both"/>
              <w:rPr>
                <w:rFonts w:ascii="Times New Roman"/>
                <w:sz w:val="24"/>
              </w:rPr>
            </w:pPr>
            <w:r>
              <w:rPr>
                <w:rFonts w:ascii="Times New Roman"/>
                <w:sz w:val="24"/>
              </w:rPr>
              <w:t>α—每1000m空气吸收系数。</w:t>
            </w:r>
          </w:p>
          <w:p>
            <w:pPr>
              <w:pStyle w:val="128"/>
              <w:spacing w:beforeLines="0" w:afterLines="0" w:line="360" w:lineRule="auto"/>
              <w:ind w:firstLine="480"/>
              <w:jc w:val="both"/>
              <w:rPr>
                <w:rFonts w:ascii="Times New Roman"/>
                <w:sz w:val="24"/>
              </w:rPr>
            </w:pPr>
            <w:r>
              <w:rPr>
                <w:rFonts w:ascii="Times New Roman"/>
                <w:sz w:val="24"/>
              </w:rPr>
              <w:t>④附加衰减</w:t>
            </w:r>
          </w:p>
          <w:p>
            <w:pPr>
              <w:pStyle w:val="128"/>
              <w:spacing w:beforeLines="0" w:afterLines="0" w:line="360" w:lineRule="auto"/>
              <w:ind w:firstLine="480"/>
              <w:jc w:val="both"/>
              <w:rPr>
                <w:rFonts w:ascii="Times New Roman"/>
                <w:kern w:val="2"/>
                <w:sz w:val="24"/>
                <w:szCs w:val="24"/>
              </w:rPr>
            </w:pPr>
            <w:r>
              <w:rPr>
                <w:rFonts w:ascii="Times New Roman"/>
                <w:sz w:val="24"/>
              </w:rPr>
              <w:t>附加衰减</w:t>
            </w:r>
            <w:r>
              <w:rPr>
                <w:rFonts w:ascii="Times New Roman"/>
                <w:kern w:val="2"/>
                <w:sz w:val="24"/>
                <w:szCs w:val="24"/>
              </w:rPr>
              <w:t>包括声波传播过程中由于云、雾、温度梯度、风及地面效应引起的声能量衰减，本次评价中忽略不计。</w:t>
            </w:r>
          </w:p>
          <w:p>
            <w:pPr>
              <w:pStyle w:val="128"/>
              <w:spacing w:beforeLines="0" w:afterLines="0" w:line="360" w:lineRule="auto"/>
              <w:ind w:firstLine="480"/>
              <w:jc w:val="both"/>
              <w:rPr>
                <w:rFonts w:ascii="Times New Roman"/>
                <w:kern w:val="2"/>
                <w:sz w:val="24"/>
                <w:szCs w:val="24"/>
              </w:rPr>
            </w:pPr>
            <w:r>
              <w:rPr>
                <w:rFonts w:ascii="Times New Roman"/>
                <w:kern w:val="2"/>
                <w:sz w:val="24"/>
                <w:szCs w:val="24"/>
              </w:rPr>
              <w:t>2)室内点声源对厂界噪声预测点贡献值预测模式</w:t>
            </w:r>
          </w:p>
          <w:p>
            <w:pPr>
              <w:pStyle w:val="128"/>
              <w:spacing w:beforeLines="0" w:afterLines="0" w:line="360" w:lineRule="auto"/>
              <w:ind w:firstLine="480"/>
              <w:jc w:val="both"/>
              <w:rPr>
                <w:rFonts w:ascii="Times New Roman"/>
                <w:kern w:val="2"/>
                <w:sz w:val="24"/>
                <w:szCs w:val="24"/>
              </w:rPr>
            </w:pPr>
            <w:r>
              <w:rPr>
                <w:rFonts w:ascii="Times New Roman"/>
                <w:kern w:val="2"/>
                <w:sz w:val="24"/>
                <w:szCs w:val="24"/>
              </w:rPr>
              <w:t>室内声源首先换算为等效室外声源，再按各类声源模式计算。</w:t>
            </w:r>
          </w:p>
          <w:p>
            <w:pPr>
              <w:pStyle w:val="128"/>
              <w:spacing w:beforeLines="0" w:afterLines="0" w:line="360" w:lineRule="auto"/>
              <w:ind w:firstLine="480"/>
              <w:jc w:val="both"/>
              <w:rPr>
                <w:rFonts w:ascii="Times New Roman"/>
                <w:kern w:val="2"/>
                <w:sz w:val="24"/>
                <w:szCs w:val="24"/>
              </w:rPr>
            </w:pPr>
            <w:r>
              <w:rPr>
                <w:rFonts w:ascii="Times New Roman"/>
                <w:kern w:val="2"/>
                <w:sz w:val="24"/>
                <w:szCs w:val="24"/>
              </w:rPr>
              <w:t>①首先计算出某个室内声源靠近围护结构处的倍频带声压级：</w:t>
            </w:r>
          </w:p>
          <w:p>
            <w:pPr>
              <w:ind w:firstLine="480"/>
              <w:jc w:val="center"/>
              <w:rPr>
                <w:spacing w:val="5"/>
              </w:rPr>
            </w:pPr>
            <w:r>
              <w:rPr>
                <w:kern w:val="0"/>
                <w:lang w:val="zh-CN"/>
              </w:rPr>
              <w:object>
                <v:shape id="_x0000_i1031" o:spt="75" type="#_x0000_t75" style="height:34.5pt;width:146.25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p>
          <w:p>
            <w:pPr>
              <w:pStyle w:val="128"/>
              <w:spacing w:beforeLines="0" w:afterLines="0" w:line="360" w:lineRule="auto"/>
              <w:ind w:firstLine="480"/>
              <w:jc w:val="both"/>
              <w:rPr>
                <w:rFonts w:ascii="Times New Roman"/>
                <w:sz w:val="24"/>
              </w:rPr>
            </w:pPr>
            <w:r>
              <w:rPr>
                <w:rFonts w:ascii="Times New Roman"/>
                <w:sz w:val="24"/>
              </w:rPr>
              <w:t>式中：L</w:t>
            </w:r>
            <w:r>
              <w:rPr>
                <w:rFonts w:ascii="Times New Roman"/>
                <w:sz w:val="24"/>
                <w:vertAlign w:val="subscript"/>
              </w:rPr>
              <w:t>oct,1</w:t>
            </w:r>
            <w:r>
              <w:rPr>
                <w:rFonts w:ascii="Times New Roman"/>
                <w:sz w:val="24"/>
              </w:rPr>
              <w:t>为某个室内声源在靠近围护结构处产生的倍频带声压级，L</w:t>
            </w:r>
            <w:r>
              <w:rPr>
                <w:rFonts w:ascii="Times New Roman"/>
                <w:sz w:val="24"/>
                <w:vertAlign w:val="subscript"/>
              </w:rPr>
              <w:t>woct</w:t>
            </w:r>
            <w:r>
              <w:rPr>
                <w:rFonts w:ascii="Times New Roman"/>
                <w:sz w:val="24"/>
              </w:rPr>
              <w:t>为某个声源的倍</w:t>
            </w:r>
            <w:r>
              <w:rPr>
                <w:rFonts w:ascii="Times New Roman"/>
                <w:kern w:val="2"/>
                <w:sz w:val="24"/>
                <w:szCs w:val="24"/>
              </w:rPr>
              <w:t>频带</w:t>
            </w:r>
            <w:r>
              <w:rPr>
                <w:rFonts w:ascii="Times New Roman"/>
                <w:sz w:val="24"/>
              </w:rPr>
              <w:t>声功率级，r</w:t>
            </w:r>
            <w:r>
              <w:rPr>
                <w:rFonts w:ascii="Times New Roman"/>
                <w:sz w:val="24"/>
                <w:vertAlign w:val="subscript"/>
              </w:rPr>
              <w:t>1</w:t>
            </w:r>
            <w:r>
              <w:rPr>
                <w:rFonts w:ascii="Times New Roman"/>
                <w:sz w:val="24"/>
              </w:rPr>
              <w:t>为室内某个声源与靠近围护结构处的距离，R为房间常数，Q为方向性因子。</w:t>
            </w:r>
          </w:p>
          <w:p>
            <w:pPr>
              <w:pStyle w:val="128"/>
              <w:spacing w:beforeLines="0" w:afterLines="0" w:line="360" w:lineRule="auto"/>
              <w:ind w:firstLine="480"/>
              <w:jc w:val="both"/>
              <w:rPr>
                <w:rFonts w:ascii="Times New Roman"/>
                <w:sz w:val="24"/>
              </w:rPr>
            </w:pPr>
            <w:r>
              <w:rPr>
                <w:rFonts w:ascii="Times New Roman"/>
                <w:sz w:val="24"/>
              </w:rPr>
              <w:t>②计算出所有室内声源的靠近围护结构处产生的总倍频带声压级：</w:t>
            </w:r>
          </w:p>
          <w:p>
            <w:pPr>
              <w:ind w:firstLine="480"/>
              <w:jc w:val="center"/>
              <w:rPr>
                <w:spacing w:val="5"/>
              </w:rPr>
            </w:pPr>
            <w:r>
              <w:rPr>
                <w:kern w:val="0"/>
                <w:lang w:val="zh-CN"/>
              </w:rPr>
              <w:object>
                <v:shape id="_x0000_i1032" o:spt="75" type="#_x0000_t75" style="height:34.5pt;width:134.25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p>
          <w:p>
            <w:pPr>
              <w:pStyle w:val="128"/>
              <w:adjustRightInd/>
              <w:snapToGrid/>
              <w:spacing w:before="24" w:after="24" w:line="360" w:lineRule="auto"/>
              <w:ind w:firstLine="480"/>
              <w:jc w:val="both"/>
              <w:rPr>
                <w:rFonts w:ascii="Times New Roman"/>
                <w:sz w:val="24"/>
              </w:rPr>
            </w:pPr>
            <w:r>
              <w:rPr>
                <w:rFonts w:ascii="Times New Roman"/>
                <w:sz w:val="24"/>
              </w:rPr>
              <w:t>③计算出室外靠近围护结构处的声压级：</w:t>
            </w:r>
          </w:p>
          <w:p>
            <w:pPr>
              <w:ind w:firstLine="480"/>
              <w:jc w:val="center"/>
              <w:rPr>
                <w:spacing w:val="5"/>
              </w:rPr>
            </w:pPr>
            <w:r>
              <w:rPr>
                <w:kern w:val="0"/>
                <w:lang w:val="zh-CN"/>
              </w:rPr>
              <w:object>
                <v:shape id="_x0000_i1033" o:spt="75" type="#_x0000_t75" style="height:15.75pt;width:154.5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p>
          <w:p>
            <w:pPr>
              <w:pStyle w:val="128"/>
              <w:spacing w:beforeLines="0" w:afterLines="0" w:line="360" w:lineRule="auto"/>
              <w:ind w:firstLine="480"/>
              <w:jc w:val="both"/>
              <w:rPr>
                <w:rFonts w:ascii="Times New Roman"/>
                <w:sz w:val="24"/>
              </w:rPr>
            </w:pPr>
            <w:r>
              <w:rPr>
                <w:rFonts w:ascii="Times New Roman"/>
                <w:sz w:val="24"/>
              </w:rPr>
              <w:t>式中：T</w:t>
            </w:r>
            <w:r>
              <w:rPr>
                <w:rFonts w:ascii="Times New Roman"/>
                <w:sz w:val="24"/>
                <w:vertAlign w:val="subscript"/>
              </w:rPr>
              <w:t>Loct</w:t>
            </w:r>
            <w:r>
              <w:rPr>
                <w:rFonts w:ascii="Times New Roman"/>
                <w:sz w:val="24"/>
              </w:rPr>
              <w:t>为围护结构倍频带隔声损失，厂房内的噪声与围护结构距离较近，整个厂房实际起着一个大隔声罩的作用。</w:t>
            </w:r>
          </w:p>
          <w:p>
            <w:pPr>
              <w:pStyle w:val="128"/>
              <w:adjustRightInd/>
              <w:snapToGrid/>
              <w:spacing w:before="24" w:after="24" w:line="360" w:lineRule="auto"/>
              <w:ind w:firstLine="480"/>
              <w:jc w:val="both"/>
              <w:rPr>
                <w:rFonts w:ascii="Times New Roman"/>
                <w:sz w:val="24"/>
              </w:rPr>
            </w:pPr>
            <w:r>
              <w:rPr>
                <w:rFonts w:ascii="Times New Roman"/>
                <w:sz w:val="24"/>
              </w:rPr>
              <w:t>④将室外声级L</w:t>
            </w:r>
            <w:r>
              <w:rPr>
                <w:rFonts w:ascii="Times New Roman"/>
                <w:sz w:val="24"/>
                <w:vertAlign w:val="subscript"/>
              </w:rPr>
              <w:t>oct,2</w:t>
            </w:r>
            <w:r>
              <w:rPr>
                <w:rFonts w:ascii="Times New Roman"/>
                <w:sz w:val="24"/>
              </w:rPr>
              <w:t>(T)和透声面积换算成等效的室外声源，计算出等效声源第i个倍频带的声功率级L</w:t>
            </w:r>
            <w:r>
              <w:rPr>
                <w:rFonts w:ascii="Times New Roman"/>
                <w:sz w:val="24"/>
                <w:vertAlign w:val="subscript"/>
              </w:rPr>
              <w:t>woct</w:t>
            </w:r>
            <w:r>
              <w:rPr>
                <w:rFonts w:ascii="Times New Roman"/>
                <w:sz w:val="24"/>
              </w:rPr>
              <w:t>；</w:t>
            </w:r>
          </w:p>
          <w:p>
            <w:pPr>
              <w:ind w:firstLine="480"/>
              <w:jc w:val="center"/>
              <w:rPr>
                <w:spacing w:val="5"/>
              </w:rPr>
            </w:pPr>
            <w:r>
              <w:rPr>
                <w:kern w:val="0"/>
                <w:position w:val="-12"/>
                <w:lang w:val="zh-CN"/>
              </w:rPr>
              <w:object>
                <v:shape id="_x0000_i1034" o:spt="75" type="#_x0000_t75" style="height:19.5pt;width:132pt;" o:ole="t" filled="f" o:preferrelative="t" stroked="f" coordsize="21600,21600">
                  <v:path/>
                  <v:fill on="f" focussize="0,0"/>
                  <v:stroke on="f" joinstyle="miter"/>
                  <v:imagedata r:id="rId34" o:title=""/>
                  <o:lock v:ext="edit" aspectratio="t"/>
                  <w10:wrap type="none"/>
                  <w10:anchorlock/>
                </v:shape>
                <o:OLEObject Type="Embed" ProgID="Equation.KSEE3" ShapeID="_x0000_i1034" DrawAspect="Content" ObjectID="_1468075734" r:id="rId33">
                  <o:LockedField>false</o:LockedField>
                </o:OLEObject>
              </w:object>
            </w:r>
          </w:p>
          <w:p>
            <w:pPr>
              <w:pStyle w:val="128"/>
              <w:adjustRightInd/>
              <w:snapToGrid/>
              <w:spacing w:before="24" w:after="24" w:line="360" w:lineRule="auto"/>
              <w:ind w:firstLine="480"/>
              <w:jc w:val="both"/>
              <w:rPr>
                <w:rFonts w:ascii="Times New Roman"/>
                <w:sz w:val="24"/>
              </w:rPr>
            </w:pPr>
            <w:r>
              <w:rPr>
                <w:rFonts w:ascii="Times New Roman"/>
                <w:sz w:val="24"/>
              </w:rPr>
              <w:t>式中：S为透声面积，m</w:t>
            </w:r>
            <w:r>
              <w:rPr>
                <w:rFonts w:ascii="Times New Roman"/>
                <w:sz w:val="24"/>
                <w:vertAlign w:val="superscript"/>
              </w:rPr>
              <w:t>2</w:t>
            </w:r>
            <w:r>
              <w:rPr>
                <w:rFonts w:ascii="Times New Roman"/>
                <w:sz w:val="24"/>
              </w:rPr>
              <w:t>。</w:t>
            </w:r>
          </w:p>
          <w:p>
            <w:pPr>
              <w:pStyle w:val="128"/>
              <w:spacing w:beforeLines="0" w:afterLines="0" w:line="360" w:lineRule="auto"/>
              <w:ind w:firstLine="480"/>
              <w:jc w:val="both"/>
              <w:rPr>
                <w:rFonts w:ascii="Times New Roman"/>
                <w:sz w:val="24"/>
              </w:rPr>
            </w:pPr>
            <w:r>
              <w:rPr>
                <w:rFonts w:ascii="Times New Roman"/>
                <w:sz w:val="24"/>
              </w:rPr>
              <w:t>⑤等效室外声源的位置为围护结构的位置，其倍频带声功率级为L</w:t>
            </w:r>
            <w:r>
              <w:rPr>
                <w:rFonts w:ascii="Times New Roman"/>
                <w:sz w:val="24"/>
                <w:vertAlign w:val="subscript"/>
              </w:rPr>
              <w:t>woct</w:t>
            </w:r>
            <w:r>
              <w:rPr>
                <w:rFonts w:ascii="Times New Roman"/>
                <w:sz w:val="24"/>
              </w:rPr>
              <w:t>，根据厂房结构(门、窗)和预测点的位置关系，计算预测点处的声级。</w:t>
            </w:r>
          </w:p>
          <w:p>
            <w:pPr>
              <w:pStyle w:val="128"/>
              <w:spacing w:beforeLines="0" w:afterLines="0" w:line="360" w:lineRule="auto"/>
              <w:ind w:firstLine="480"/>
              <w:jc w:val="both"/>
              <w:rPr>
                <w:rFonts w:ascii="Times New Roman"/>
                <w:sz w:val="24"/>
              </w:rPr>
            </w:pPr>
            <w:r>
              <w:rPr>
                <w:rFonts w:ascii="Times New Roman"/>
                <w:sz w:val="24"/>
              </w:rPr>
              <w:t>假设窗户的宽度为a，高度为b，窗户个数为n；预测点距墙中心的距离为r。预测点的声级按照下述公式进行预测：</w:t>
            </w:r>
          </w:p>
          <w:p>
            <w:pPr>
              <w:ind w:firstLine="480"/>
            </w:pPr>
            <w:r>
              <w:rPr>
                <w:position w:val="-14"/>
              </w:rPr>
              <w:object>
                <v:shape id="_x0000_i1035" o:spt="75" type="#_x0000_t75" style="height:15.75pt;width:48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r>
              <w:t>(</w:t>
            </w:r>
            <w:r>
              <w:rPr>
                <w:position w:val="-18"/>
              </w:rPr>
              <w:object>
                <v:shape id="_x0000_i1036" o:spt="75" type="#_x0000_t75" style="height:24pt;width:37.5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r>
              <w:t>)</w:t>
            </w:r>
          </w:p>
          <w:p>
            <w:pPr>
              <w:ind w:firstLine="480"/>
            </w:pPr>
            <w:r>
              <w:rPr>
                <w:position w:val="-24"/>
              </w:rPr>
              <w:object>
                <v:shape id="_x0000_i1037" o:spt="75" type="#_x0000_t75" style="height:27.75pt;width:87pt;" o:ole="t" filled="f" o:preferrelative="t" stroked="f" coordsize="21600,21600">
                  <v:path/>
                  <v:fill on="f" focussize="0,0"/>
                  <v:stroke on="f" joinstyle="miter"/>
                  <v:imagedata r:id="rId40" o:title=""/>
                  <o:lock v:ext="edit" aspectratio="t"/>
                  <w10:wrap type="none"/>
                  <w10:anchorlock/>
                </v:shape>
                <o:OLEObject Type="Embed" ProgID="Equation.3" ShapeID="_x0000_i1037" DrawAspect="Content" ObjectID="_1468075737" r:id="rId39">
                  <o:LockedField>false</o:LockedField>
                </o:OLEObject>
              </w:object>
            </w:r>
            <w:r>
              <w:t>(</w:t>
            </w:r>
            <w:r>
              <w:rPr>
                <w:position w:val="-18"/>
              </w:rPr>
              <w:object>
                <v:shape id="_x0000_i1038" o:spt="75" type="#_x0000_t75" style="height:24pt;width:66pt;" o:ole="t" filled="f" o:preferrelative="t" stroked="f" coordsize="21600,21600">
                  <v:path/>
                  <v:fill on="f" focussize="0,0"/>
                  <v:stroke on="f" joinstyle="miter"/>
                  <v:imagedata r:id="rId42" o:title=""/>
                  <o:lock v:ext="edit" aspectratio="t"/>
                  <w10:wrap type="none"/>
                  <w10:anchorlock/>
                </v:shape>
                <o:OLEObject Type="Embed" ProgID="Equation.3" ShapeID="_x0000_i1038" DrawAspect="Content" ObjectID="_1468075738" r:id="rId41">
                  <o:LockedField>false</o:LockedField>
                </o:OLEObject>
              </w:object>
            </w:r>
            <w:r>
              <w:t>)</w:t>
            </w:r>
          </w:p>
          <w:p>
            <w:pPr>
              <w:ind w:firstLine="480"/>
            </w:pPr>
            <w:r>
              <w:rPr>
                <w:position w:val="-24"/>
              </w:rPr>
              <w:object>
                <v:shape id="_x0000_i1039" o:spt="75" type="#_x0000_t75" style="height:30pt;width:132.75pt;" o:ole="t" filled="f" o:preferrelative="t" stroked="f" coordsize="21600,21600">
                  <v:path/>
                  <v:fill on="f" focussize="0,0"/>
                  <v:stroke on="f" joinstyle="miter"/>
                  <v:imagedata r:id="rId44" o:title=""/>
                  <o:lock v:ext="edit" aspectratio="t"/>
                  <w10:wrap type="none"/>
                  <w10:anchorlock/>
                </v:shape>
                <o:OLEObject Type="Embed" ProgID="Equation.3" ShapeID="_x0000_i1039" DrawAspect="Content" ObjectID="_1468075739" r:id="rId43">
                  <o:LockedField>false</o:LockedField>
                </o:OLEObject>
              </w:object>
            </w:r>
            <w:r>
              <w:t>(</w:t>
            </w:r>
            <w:r>
              <w:rPr>
                <w:position w:val="-18"/>
              </w:rPr>
              <w:object>
                <v:shape id="_x0000_i1040" o:spt="75" type="#_x0000_t75" style="height:24pt;width:37.5pt;" o:ole="t" filled="f" o:preferrelative="t" stroked="f" coordsize="21600,21600">
                  <v:path/>
                  <v:fill on="f" focussize="0,0"/>
                  <v:stroke on="f" joinstyle="miter"/>
                  <v:imagedata r:id="rId46" o:title=""/>
                  <o:lock v:ext="edit" aspectratio="t"/>
                  <w10:wrap type="none"/>
                  <w10:anchorlock/>
                </v:shape>
                <o:OLEObject Type="Embed" ProgID="Equation.3" ShapeID="_x0000_i1040" DrawAspect="Content" ObjectID="_1468075740" r:id="rId45">
                  <o:LockedField>false</o:LockedField>
                </o:OLEObject>
              </w:object>
            </w:r>
            <w:r>
              <w:t>)</w:t>
            </w:r>
          </w:p>
          <w:p>
            <w:pPr>
              <w:pStyle w:val="128"/>
              <w:adjustRightInd/>
              <w:snapToGrid/>
              <w:spacing w:before="24" w:after="24" w:line="360" w:lineRule="auto"/>
              <w:ind w:firstLine="480"/>
              <w:jc w:val="both"/>
              <w:rPr>
                <w:rFonts w:ascii="Times New Roman"/>
                <w:sz w:val="24"/>
              </w:rPr>
            </w:pPr>
            <w:r>
              <w:rPr>
                <w:rFonts w:ascii="Times New Roman"/>
                <w:sz w:val="24"/>
              </w:rPr>
              <w:t>3)有限长线声源对厂界噪声预测点贡献值预测模式</w:t>
            </w:r>
          </w:p>
          <w:p>
            <w:pPr>
              <w:spacing w:line="480" w:lineRule="atLeast"/>
              <w:ind w:firstLine="480"/>
            </w:pPr>
            <w:r>
              <w:rPr>
                <w:position w:val="-24"/>
              </w:rPr>
              <w:object>
                <v:shape id="_x0000_i1041" o:spt="75" type="#_x0000_t75" style="height:30pt;width:159.75pt;" o:ole="t" fillcolor="#000011" filled="f" o:preferrelative="t" stroked="f" coordsize="21600,21600">
                  <v:path/>
                  <v:fill on="f" focussize="0,0"/>
                  <v:stroke on="f" joinstyle="miter"/>
                  <v:imagedata r:id="rId48" o:title=""/>
                  <o:lock v:ext="edit" aspectratio="t"/>
                  <w10:wrap type="none"/>
                  <w10:anchorlock/>
                </v:shape>
                <o:OLEObject Type="Embed" ProgID="Equation.3" ShapeID="_x0000_i1041" DrawAspect="Content" ObjectID="_1468075741" r:id="rId47">
                  <o:LockedField>false</o:LockedField>
                </o:OLEObject>
              </w:object>
            </w:r>
          </w:p>
          <w:p>
            <w:pPr>
              <w:pStyle w:val="128"/>
              <w:adjustRightInd/>
              <w:snapToGrid/>
              <w:spacing w:before="24" w:after="24" w:line="360" w:lineRule="auto"/>
              <w:ind w:firstLine="480"/>
              <w:jc w:val="both"/>
              <w:rPr>
                <w:rFonts w:ascii="Times New Roman"/>
                <w:kern w:val="2"/>
                <w:sz w:val="24"/>
                <w:szCs w:val="24"/>
              </w:rPr>
            </w:pPr>
            <w:r>
              <w:rPr>
                <w:rFonts w:ascii="Times New Roman"/>
                <w:kern w:val="2"/>
                <w:sz w:val="24"/>
                <w:szCs w:val="24"/>
              </w:rPr>
              <w:t>(4)预测步骤</w:t>
            </w:r>
          </w:p>
          <w:p>
            <w:pPr>
              <w:pStyle w:val="128"/>
              <w:spacing w:beforeLines="0" w:afterLines="0" w:line="360" w:lineRule="auto"/>
              <w:ind w:firstLine="480"/>
              <w:jc w:val="both"/>
              <w:rPr>
                <w:rFonts w:ascii="Times New Roman"/>
                <w:sz w:val="24"/>
              </w:rPr>
            </w:pPr>
            <w:r>
              <w:rPr>
                <w:rFonts w:ascii="Times New Roman"/>
                <w:sz w:val="24"/>
              </w:rPr>
              <w:t>1)以项目西南角为坐标原点(0</w:t>
            </w:r>
            <w:r>
              <w:rPr>
                <w:rFonts w:hint="eastAsia" w:ascii="Times New Roman"/>
                <w:sz w:val="24"/>
              </w:rPr>
              <w:t>，</w:t>
            </w:r>
            <w:r>
              <w:rPr>
                <w:rFonts w:ascii="Times New Roman"/>
                <w:sz w:val="24"/>
              </w:rPr>
              <w:t>0)，建立一个坐标系，确定各噪声源及厂界预测点坐标。</w:t>
            </w:r>
          </w:p>
          <w:p>
            <w:pPr>
              <w:pStyle w:val="128"/>
              <w:spacing w:beforeLines="0" w:afterLines="0" w:line="360" w:lineRule="auto"/>
              <w:ind w:firstLine="480"/>
              <w:jc w:val="both"/>
              <w:rPr>
                <w:rFonts w:ascii="Times New Roman"/>
                <w:sz w:val="24"/>
              </w:rPr>
            </w:pPr>
            <w:r>
              <w:rPr>
                <w:rFonts w:ascii="Times New Roman"/>
                <w:sz w:val="24"/>
              </w:rPr>
              <w:t>2)根据已获得的声源参数和声波从声源到预测点的传播条件，计算出各声源单独作用在预测点时产生的A声级Li。</w:t>
            </w:r>
          </w:p>
          <w:p>
            <w:pPr>
              <w:pStyle w:val="128"/>
              <w:spacing w:beforeLines="0" w:afterLines="0" w:line="360" w:lineRule="auto"/>
              <w:ind w:firstLine="480"/>
              <w:jc w:val="both"/>
              <w:rPr>
                <w:rFonts w:ascii="Times New Roman"/>
                <w:sz w:val="24"/>
              </w:rPr>
            </w:pPr>
            <w:r>
              <w:rPr>
                <w:rFonts w:ascii="Times New Roman"/>
                <w:sz w:val="24"/>
              </w:rPr>
              <w:t>3)将各声源对某预测点产生的A声级按下式叠加，得到该预测点的声级值L1。</w:t>
            </w:r>
          </w:p>
          <w:p>
            <w:pPr>
              <w:pStyle w:val="128"/>
              <w:adjustRightInd/>
              <w:snapToGrid/>
              <w:spacing w:before="24" w:after="24"/>
              <w:ind w:firstLine="480"/>
              <w:rPr>
                <w:rFonts w:ascii="Times New Roman"/>
                <w:sz w:val="24"/>
              </w:rPr>
            </w:pPr>
            <w:r>
              <w:rPr>
                <w:rFonts w:ascii="Times New Roman"/>
                <w:position w:val="-28"/>
                <w:sz w:val="24"/>
              </w:rPr>
              <w:object>
                <v:shape id="_x0000_i1042" o:spt="75" type="#_x0000_t75" style="height:42pt;width:127.5pt;" o:ole="t" filled="f" o:preferrelative="t" stroked="f" coordsize="21600,21600">
                  <v:path/>
                  <v:fill on="f" focussize="0,0"/>
                  <v:stroke on="f" joinstyle="miter"/>
                  <v:imagedata r:id="rId50" o:title=""/>
                  <o:lock v:ext="edit" aspectratio="t"/>
                  <w10:wrap type="none"/>
                  <w10:anchorlock/>
                </v:shape>
                <o:OLEObject Type="Embed" ProgID="Equation.KSEE3" ShapeID="_x0000_i1042" DrawAspect="Content" ObjectID="_1468075742" r:id="rId49">
                  <o:LockedField>false</o:LockedField>
                </o:OLEObject>
              </w:object>
            </w:r>
          </w:p>
          <w:p>
            <w:pPr>
              <w:pStyle w:val="128"/>
              <w:spacing w:beforeLines="0" w:afterLines="0" w:line="360" w:lineRule="auto"/>
              <w:ind w:firstLine="480"/>
              <w:jc w:val="both"/>
              <w:rPr>
                <w:rFonts w:ascii="Times New Roman"/>
                <w:sz w:val="24"/>
              </w:rPr>
            </w:pPr>
            <w:r>
              <w:rPr>
                <w:rFonts w:ascii="Times New Roman"/>
                <w:sz w:val="24"/>
              </w:rPr>
              <w:t>4)将厂界噪声现状监测值与工程噪声贡献值叠加，即得噪声预测值。</w:t>
            </w:r>
          </w:p>
          <w:p>
            <w:pPr>
              <w:pStyle w:val="128"/>
              <w:adjustRightInd/>
              <w:snapToGrid/>
              <w:spacing w:before="24" w:after="24" w:line="360" w:lineRule="auto"/>
              <w:ind w:firstLine="480"/>
              <w:rPr>
                <w:rFonts w:ascii="Times New Roman"/>
                <w:sz w:val="24"/>
              </w:rPr>
            </w:pPr>
            <w:r>
              <w:rPr>
                <w:rFonts w:ascii="Times New Roman"/>
                <w:sz w:val="24"/>
              </w:rPr>
              <w:object>
                <v:shape id="_x0000_i1043" o:spt="75" type="#_x0000_t75" style="height:20.25pt;width:173.25pt;" o:ole="t" fillcolor="#000011" filled="f" o:preferrelative="t" stroked="f" coordsize="21600,21600">
                  <v:path/>
                  <v:fill on="f" focussize="0,0"/>
                  <v:stroke on="f" joinstyle="miter"/>
                  <v:imagedata r:id="rId52" o:title=""/>
                  <o:lock v:ext="edit" aspectratio="t"/>
                  <w10:wrap type="none"/>
                  <w10:anchorlock/>
                </v:shape>
                <o:OLEObject Type="Embed" ProgID="Equation.3" ShapeID="_x0000_i1043" DrawAspect="Content" ObjectID="_1468075743" r:id="rId51">
                  <o:LockedField>false</o:LockedField>
                </o:OLEObject>
              </w:object>
            </w:r>
          </w:p>
          <w:p>
            <w:pPr>
              <w:pStyle w:val="128"/>
              <w:spacing w:beforeLines="0" w:afterLines="0" w:line="360" w:lineRule="auto"/>
              <w:ind w:firstLine="480"/>
              <w:jc w:val="both"/>
              <w:rPr>
                <w:rFonts w:ascii="Times New Roman"/>
                <w:kern w:val="2"/>
                <w:sz w:val="24"/>
                <w:szCs w:val="24"/>
              </w:rPr>
            </w:pPr>
            <w:r>
              <w:rPr>
                <w:rFonts w:ascii="Times New Roman"/>
                <w:kern w:val="2"/>
                <w:sz w:val="24"/>
                <w:szCs w:val="24"/>
              </w:rPr>
              <w:t>(5)噪声点分布及预测点位设置</w:t>
            </w:r>
          </w:p>
          <w:p>
            <w:pPr>
              <w:pStyle w:val="128"/>
              <w:spacing w:beforeLines="0" w:afterLines="0" w:line="360" w:lineRule="auto"/>
              <w:ind w:firstLine="480"/>
              <w:jc w:val="both"/>
              <w:rPr>
                <w:rFonts w:ascii="Times New Roman"/>
                <w:sz w:val="24"/>
              </w:rPr>
            </w:pPr>
            <w:r>
              <w:rPr>
                <w:rFonts w:ascii="Times New Roman"/>
                <w:sz w:val="24"/>
              </w:rPr>
              <w:t>本次预测拟建项目噪声源对厂界及敏感点的噪声贡献值、背景噪声值计算对敏感点的</w:t>
            </w:r>
            <w:r>
              <w:rPr>
                <w:rFonts w:ascii="Times New Roman"/>
                <w:kern w:val="2"/>
                <w:sz w:val="24"/>
                <w:szCs w:val="24"/>
              </w:rPr>
              <w:t>叠加</w:t>
            </w:r>
            <w:r>
              <w:rPr>
                <w:rFonts w:ascii="Times New Roman"/>
                <w:sz w:val="24"/>
              </w:rPr>
              <w:t>影响。</w:t>
            </w:r>
          </w:p>
          <w:p>
            <w:pPr>
              <w:adjustRightInd w:val="0"/>
              <w:snapToGrid w:val="0"/>
              <w:ind w:firstLine="0" w:firstLineChars="0"/>
              <w:jc w:val="center"/>
              <w:rPr>
                <w:b/>
              </w:rPr>
            </w:pPr>
            <w:r>
              <w:rPr>
                <w:b/>
              </w:rPr>
              <w:t>表</w:t>
            </w:r>
            <w:r>
              <w:rPr>
                <w:rFonts w:hint="eastAsia"/>
                <w:b/>
                <w:lang w:val="en-US" w:eastAsia="zh-CN"/>
              </w:rPr>
              <w:t>38</w:t>
            </w:r>
            <w:r>
              <w:rPr>
                <w:b/>
              </w:rPr>
              <w:t xml:space="preserve">    噪声源参数一览表(室外声源)</w:t>
            </w:r>
          </w:p>
          <w:tbl>
            <w:tblPr>
              <w:tblStyle w:val="7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3"/>
              <w:gridCol w:w="781"/>
              <w:gridCol w:w="689"/>
              <w:gridCol w:w="1565"/>
              <w:gridCol w:w="716"/>
              <w:gridCol w:w="552"/>
              <w:gridCol w:w="1289"/>
              <w:gridCol w:w="540"/>
              <w:gridCol w:w="532"/>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336"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序号</w:t>
                  </w:r>
                </w:p>
              </w:tc>
              <w:tc>
                <w:tcPr>
                  <w:tcW w:w="492"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噪声源</w:t>
                  </w:r>
                </w:p>
              </w:tc>
              <w:tc>
                <w:tcPr>
                  <w:tcW w:w="434"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数量</w:t>
                  </w:r>
                </w:p>
                <w:p>
                  <w:pPr>
                    <w:widowControl/>
                    <w:adjustRightInd w:val="0"/>
                    <w:snapToGrid w:val="0"/>
                    <w:spacing w:line="240" w:lineRule="auto"/>
                    <w:ind w:firstLine="0" w:firstLineChars="0"/>
                    <w:jc w:val="center"/>
                    <w:textAlignment w:val="center"/>
                    <w:rPr>
                      <w:sz w:val="18"/>
                      <w:szCs w:val="18"/>
                    </w:rPr>
                  </w:pPr>
                  <w:r>
                    <w:rPr>
                      <w:sz w:val="18"/>
                      <w:szCs w:val="18"/>
                    </w:rPr>
                    <w:t>(台/套)</w:t>
                  </w:r>
                </w:p>
              </w:tc>
              <w:tc>
                <w:tcPr>
                  <w:tcW w:w="986"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空间位置/m</w:t>
                  </w:r>
                </w:p>
              </w:tc>
              <w:tc>
                <w:tcPr>
                  <w:tcW w:w="799" w:type="pct"/>
                  <w:gridSpan w:val="2"/>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噪声源强</w:t>
                  </w:r>
                </w:p>
              </w:tc>
              <w:tc>
                <w:tcPr>
                  <w:tcW w:w="812"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声源控制措施</w:t>
                  </w:r>
                </w:p>
              </w:tc>
              <w:tc>
                <w:tcPr>
                  <w:tcW w:w="340"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运行时段</w:t>
                  </w:r>
                </w:p>
              </w:tc>
              <w:tc>
                <w:tcPr>
                  <w:tcW w:w="335"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降噪效果/dB(A)</w:t>
                  </w:r>
                </w:p>
              </w:tc>
              <w:tc>
                <w:tcPr>
                  <w:tcW w:w="462"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单个设备降噪后源</w:t>
                  </w:r>
                </w:p>
                <w:p>
                  <w:pPr>
                    <w:widowControl/>
                    <w:adjustRightInd w:val="0"/>
                    <w:snapToGrid w:val="0"/>
                    <w:spacing w:line="240" w:lineRule="auto"/>
                    <w:ind w:firstLine="0" w:firstLineChars="0"/>
                    <w:jc w:val="center"/>
                    <w:textAlignment w:val="center"/>
                    <w:rPr>
                      <w:sz w:val="18"/>
                      <w:szCs w:val="18"/>
                    </w:rPr>
                  </w:pPr>
                  <w:r>
                    <w:rPr>
                      <w:sz w:val="18"/>
                      <w:szCs w:val="18"/>
                    </w:rPr>
                    <w:t>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336"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492"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434"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986"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中心坐标(x,y,z)</w:t>
                  </w:r>
                </w:p>
              </w:tc>
              <w:tc>
                <w:tcPr>
                  <w:tcW w:w="451"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声压级/dB(A)</w:t>
                  </w:r>
                </w:p>
              </w:tc>
              <w:tc>
                <w:tcPr>
                  <w:tcW w:w="348"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距声源距离/m</w:t>
                  </w:r>
                </w:p>
              </w:tc>
              <w:tc>
                <w:tcPr>
                  <w:tcW w:w="812"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340"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335"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462"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6"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1</w:t>
                  </w:r>
                </w:p>
              </w:tc>
              <w:tc>
                <w:tcPr>
                  <w:tcW w:w="492"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冷却塔</w:t>
                  </w:r>
                </w:p>
              </w:tc>
              <w:tc>
                <w:tcPr>
                  <w:tcW w:w="434"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2</w:t>
                  </w:r>
                </w:p>
              </w:tc>
              <w:tc>
                <w:tcPr>
                  <w:tcW w:w="986"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(986.2，1292.12，4)；(1137.52，1376.9，4)</w:t>
                  </w:r>
                </w:p>
              </w:tc>
              <w:tc>
                <w:tcPr>
                  <w:tcW w:w="451"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80</w:t>
                  </w:r>
                </w:p>
              </w:tc>
              <w:tc>
                <w:tcPr>
                  <w:tcW w:w="348"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w:t>
                  </w:r>
                </w:p>
              </w:tc>
              <w:tc>
                <w:tcPr>
                  <w:tcW w:w="812"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w:t>
                  </w:r>
                </w:p>
              </w:tc>
              <w:tc>
                <w:tcPr>
                  <w:tcW w:w="340"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连续</w:t>
                  </w:r>
                </w:p>
              </w:tc>
              <w:tc>
                <w:tcPr>
                  <w:tcW w:w="335"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0</w:t>
                  </w:r>
                </w:p>
              </w:tc>
              <w:tc>
                <w:tcPr>
                  <w:tcW w:w="462"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6"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2</w:t>
                  </w:r>
                </w:p>
              </w:tc>
              <w:tc>
                <w:tcPr>
                  <w:tcW w:w="492"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锅炉排气</w:t>
                  </w:r>
                </w:p>
              </w:tc>
              <w:tc>
                <w:tcPr>
                  <w:tcW w:w="434"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w:t>
                  </w:r>
                </w:p>
              </w:tc>
              <w:tc>
                <w:tcPr>
                  <w:tcW w:w="986"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(1047.05，1281.69，15)</w:t>
                  </w:r>
                </w:p>
              </w:tc>
              <w:tc>
                <w:tcPr>
                  <w:tcW w:w="451"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110</w:t>
                  </w:r>
                </w:p>
              </w:tc>
              <w:tc>
                <w:tcPr>
                  <w:tcW w:w="348"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w:t>
                  </w:r>
                </w:p>
              </w:tc>
              <w:tc>
                <w:tcPr>
                  <w:tcW w:w="812"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bCs/>
                      <w:sz w:val="18"/>
                      <w:szCs w:val="18"/>
                    </w:rPr>
                    <w:t>排汽孔安装小孔消音器</w:t>
                  </w:r>
                </w:p>
              </w:tc>
              <w:tc>
                <w:tcPr>
                  <w:tcW w:w="340"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间断</w:t>
                  </w:r>
                </w:p>
              </w:tc>
              <w:tc>
                <w:tcPr>
                  <w:tcW w:w="335"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15</w:t>
                  </w:r>
                </w:p>
              </w:tc>
              <w:tc>
                <w:tcPr>
                  <w:tcW w:w="462"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95</w:t>
                  </w:r>
                </w:p>
              </w:tc>
            </w:tr>
          </w:tbl>
          <w:p>
            <w:pPr>
              <w:ind w:firstLine="0" w:firstLineChars="0"/>
              <w:jc w:val="center"/>
              <w:rPr>
                <w:rFonts w:hint="eastAsia"/>
                <w:b/>
                <w:bCs/>
              </w:rPr>
            </w:pPr>
          </w:p>
          <w:p>
            <w:pPr>
              <w:ind w:firstLine="0" w:firstLineChars="0"/>
              <w:jc w:val="center"/>
              <w:rPr>
                <w:rFonts w:hint="eastAsia"/>
                <w:b/>
                <w:bCs/>
              </w:rPr>
            </w:pPr>
          </w:p>
          <w:p>
            <w:pPr>
              <w:pStyle w:val="2"/>
              <w:rPr>
                <w:rFonts w:hint="eastAsia"/>
              </w:rPr>
            </w:pPr>
          </w:p>
          <w:p>
            <w:pPr>
              <w:adjustRightInd w:val="0"/>
              <w:snapToGrid w:val="0"/>
              <w:ind w:firstLine="0" w:firstLineChars="0"/>
              <w:jc w:val="center"/>
              <w:rPr>
                <w:b/>
                <w:lang w:val="zh-CN"/>
              </w:rPr>
            </w:pPr>
            <w:r>
              <w:rPr>
                <w:rFonts w:hint="eastAsia"/>
                <w:b/>
              </w:rPr>
              <w:t>表</w:t>
            </w:r>
            <w:r>
              <w:rPr>
                <w:rFonts w:hint="eastAsia"/>
                <w:b/>
                <w:lang w:val="en-US" w:eastAsia="zh-CN"/>
              </w:rPr>
              <w:t>39</w:t>
            </w:r>
            <w:r>
              <w:rPr>
                <w:rFonts w:hint="eastAsia"/>
                <w:b/>
              </w:rPr>
              <w:t xml:space="preserve">   </w:t>
            </w:r>
            <w:r>
              <w:rPr>
                <w:b/>
              </w:rPr>
              <w:t>噪声源参数一览表(室内声源)</w:t>
            </w:r>
          </w:p>
          <w:tbl>
            <w:tblPr>
              <w:tblStyle w:val="7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1"/>
              <w:gridCol w:w="510"/>
              <w:gridCol w:w="492"/>
              <w:gridCol w:w="545"/>
              <w:gridCol w:w="422"/>
              <w:gridCol w:w="899"/>
              <w:gridCol w:w="1529"/>
              <w:gridCol w:w="629"/>
              <w:gridCol w:w="549"/>
              <w:gridCol w:w="408"/>
              <w:gridCol w:w="546"/>
              <w:gridCol w:w="622"/>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52"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序号</w:t>
                  </w:r>
                </w:p>
              </w:tc>
              <w:tc>
                <w:tcPr>
                  <w:tcW w:w="321"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噪声源</w:t>
                  </w:r>
                </w:p>
              </w:tc>
              <w:tc>
                <w:tcPr>
                  <w:tcW w:w="310"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数量</w:t>
                  </w:r>
                </w:p>
                <w:p>
                  <w:pPr>
                    <w:widowControl/>
                    <w:adjustRightInd w:val="0"/>
                    <w:snapToGrid w:val="0"/>
                    <w:spacing w:line="240" w:lineRule="auto"/>
                    <w:ind w:firstLine="0" w:firstLineChars="0"/>
                    <w:jc w:val="center"/>
                    <w:textAlignment w:val="center"/>
                    <w:rPr>
                      <w:sz w:val="18"/>
                      <w:szCs w:val="18"/>
                    </w:rPr>
                  </w:pPr>
                  <w:r>
                    <w:rPr>
                      <w:sz w:val="18"/>
                      <w:szCs w:val="18"/>
                    </w:rPr>
                    <w:t>(台/套)</w:t>
                  </w:r>
                </w:p>
              </w:tc>
              <w:tc>
                <w:tcPr>
                  <w:tcW w:w="609" w:type="pct"/>
                  <w:gridSpan w:val="2"/>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噪声源强</w:t>
                  </w:r>
                </w:p>
              </w:tc>
              <w:tc>
                <w:tcPr>
                  <w:tcW w:w="566"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声源控制措施</w:t>
                  </w:r>
                </w:p>
              </w:tc>
              <w:tc>
                <w:tcPr>
                  <w:tcW w:w="963"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空间位置/m</w:t>
                  </w:r>
                </w:p>
              </w:tc>
              <w:tc>
                <w:tcPr>
                  <w:tcW w:w="396"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距室内边界距离/m</w:t>
                  </w:r>
                </w:p>
              </w:tc>
              <w:tc>
                <w:tcPr>
                  <w:tcW w:w="346"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室内边界</w:t>
                  </w:r>
                </w:p>
                <w:p>
                  <w:pPr>
                    <w:widowControl/>
                    <w:adjustRightInd w:val="0"/>
                    <w:snapToGrid w:val="0"/>
                    <w:spacing w:line="240" w:lineRule="auto"/>
                    <w:ind w:firstLine="0" w:firstLineChars="0"/>
                    <w:jc w:val="center"/>
                    <w:textAlignment w:val="center"/>
                    <w:rPr>
                      <w:sz w:val="18"/>
                      <w:szCs w:val="18"/>
                    </w:rPr>
                  </w:pPr>
                  <w:r>
                    <w:rPr>
                      <w:sz w:val="18"/>
                      <w:szCs w:val="18"/>
                    </w:rPr>
                    <w:t>声级</w:t>
                  </w:r>
                </w:p>
                <w:p>
                  <w:pPr>
                    <w:widowControl/>
                    <w:adjustRightInd w:val="0"/>
                    <w:snapToGrid w:val="0"/>
                    <w:spacing w:line="240" w:lineRule="auto"/>
                    <w:ind w:firstLine="0" w:firstLineChars="0"/>
                    <w:jc w:val="center"/>
                    <w:textAlignment w:val="center"/>
                    <w:rPr>
                      <w:sz w:val="18"/>
                      <w:szCs w:val="18"/>
                    </w:rPr>
                  </w:pPr>
                  <w:r>
                    <w:rPr>
                      <w:sz w:val="18"/>
                      <w:szCs w:val="18"/>
                    </w:rPr>
                    <w:t>/dB(A)</w:t>
                  </w:r>
                </w:p>
              </w:tc>
              <w:tc>
                <w:tcPr>
                  <w:tcW w:w="257"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运行时段</w:t>
                  </w:r>
                </w:p>
              </w:tc>
              <w:tc>
                <w:tcPr>
                  <w:tcW w:w="344" w:type="pct"/>
                  <w:vMerge w:val="restar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建筑物插入损失/dB(A)</w:t>
                  </w:r>
                </w:p>
              </w:tc>
              <w:tc>
                <w:tcPr>
                  <w:tcW w:w="731" w:type="pct"/>
                  <w:gridSpan w:val="2"/>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152"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321"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310"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343"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声压级/dB(A)</w:t>
                  </w:r>
                </w:p>
              </w:tc>
              <w:tc>
                <w:tcPr>
                  <w:tcW w:w="265"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距声源距离/m</w:t>
                  </w:r>
                </w:p>
              </w:tc>
              <w:tc>
                <w:tcPr>
                  <w:tcW w:w="566"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963"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中心坐标(x,y,z)</w:t>
                  </w:r>
                </w:p>
              </w:tc>
              <w:tc>
                <w:tcPr>
                  <w:tcW w:w="396"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346"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257"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344" w:type="pct"/>
                  <w:vMerge w:val="continue"/>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p>
              </w:tc>
              <w:tc>
                <w:tcPr>
                  <w:tcW w:w="392"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声压级</w:t>
                  </w:r>
                </w:p>
                <w:p>
                  <w:pPr>
                    <w:widowControl/>
                    <w:adjustRightInd w:val="0"/>
                    <w:snapToGrid w:val="0"/>
                    <w:spacing w:line="240" w:lineRule="auto"/>
                    <w:ind w:firstLine="0" w:firstLineChars="0"/>
                    <w:jc w:val="center"/>
                    <w:textAlignment w:val="center"/>
                    <w:rPr>
                      <w:sz w:val="18"/>
                      <w:szCs w:val="18"/>
                    </w:rPr>
                  </w:pPr>
                  <w:r>
                    <w:rPr>
                      <w:sz w:val="18"/>
                      <w:szCs w:val="18"/>
                    </w:rPr>
                    <w:t>/dB(A)</w:t>
                  </w:r>
                </w:p>
              </w:tc>
              <w:tc>
                <w:tcPr>
                  <w:tcW w:w="339"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52"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1</w:t>
                  </w:r>
                </w:p>
              </w:tc>
              <w:tc>
                <w:tcPr>
                  <w:tcW w:w="321" w:type="pct"/>
                  <w:tcBorders>
                    <w:tl2br w:val="nil"/>
                    <w:tr2bl w:val="nil"/>
                  </w:tcBorders>
                  <w:vAlign w:val="center"/>
                </w:tcPr>
                <w:p>
                  <w:pPr>
                    <w:spacing w:line="360" w:lineRule="exact"/>
                    <w:ind w:firstLine="0" w:firstLineChars="0"/>
                    <w:jc w:val="center"/>
                    <w:rPr>
                      <w:snapToGrid w:val="0"/>
                      <w:kern w:val="0"/>
                      <w:sz w:val="18"/>
                      <w:szCs w:val="18"/>
                    </w:rPr>
                  </w:pPr>
                  <w:r>
                    <w:rPr>
                      <w:bCs/>
                      <w:sz w:val="18"/>
                      <w:szCs w:val="18"/>
                    </w:rPr>
                    <w:t>锅炉风机</w:t>
                  </w:r>
                </w:p>
              </w:tc>
              <w:tc>
                <w:tcPr>
                  <w:tcW w:w="310" w:type="pct"/>
                  <w:tcBorders>
                    <w:tl2br w:val="nil"/>
                    <w:tr2bl w:val="nil"/>
                  </w:tcBorders>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rPr>
                    <w:t>1</w:t>
                  </w:r>
                </w:p>
              </w:tc>
              <w:tc>
                <w:tcPr>
                  <w:tcW w:w="343" w:type="pct"/>
                  <w:tcBorders>
                    <w:tl2br w:val="nil"/>
                    <w:tr2bl w:val="nil"/>
                  </w:tcBorders>
                  <w:vAlign w:val="center"/>
                </w:tcPr>
                <w:p>
                  <w:pPr>
                    <w:snapToGrid w:val="0"/>
                    <w:spacing w:line="240" w:lineRule="auto"/>
                    <w:ind w:firstLine="0" w:firstLineChars="0"/>
                    <w:jc w:val="center"/>
                    <w:rPr>
                      <w:rFonts w:hint="default" w:eastAsia="宋体"/>
                      <w:snapToGrid w:val="0"/>
                      <w:kern w:val="0"/>
                      <w:sz w:val="18"/>
                      <w:szCs w:val="18"/>
                      <w:lang w:val="en-US" w:eastAsia="zh-CN"/>
                    </w:rPr>
                  </w:pPr>
                  <w:r>
                    <w:rPr>
                      <w:rFonts w:hint="eastAsia"/>
                      <w:snapToGrid w:val="0"/>
                      <w:kern w:val="0"/>
                      <w:sz w:val="18"/>
                      <w:szCs w:val="18"/>
                      <w:lang w:val="en-US" w:eastAsia="zh-CN"/>
                    </w:rPr>
                    <w:t>90</w:t>
                  </w:r>
                </w:p>
              </w:tc>
              <w:tc>
                <w:tcPr>
                  <w:tcW w:w="265"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1</w:t>
                  </w:r>
                </w:p>
              </w:tc>
              <w:tc>
                <w:tcPr>
                  <w:tcW w:w="566" w:type="pct"/>
                  <w:tcBorders>
                    <w:tl2br w:val="nil"/>
                    <w:tr2bl w:val="nil"/>
                  </w:tcBorders>
                  <w:vAlign w:val="center"/>
                </w:tcPr>
                <w:p>
                  <w:pPr>
                    <w:spacing w:line="360" w:lineRule="exact"/>
                    <w:ind w:firstLine="0" w:firstLineChars="0"/>
                    <w:jc w:val="center"/>
                    <w:rPr>
                      <w:snapToGrid w:val="0"/>
                      <w:kern w:val="0"/>
                      <w:sz w:val="18"/>
                      <w:szCs w:val="18"/>
                    </w:rPr>
                  </w:pPr>
                  <w:r>
                    <w:rPr>
                      <w:bCs/>
                      <w:sz w:val="18"/>
                      <w:szCs w:val="18"/>
                    </w:rPr>
                    <w:t>厂房隔声+消声器</w:t>
                  </w:r>
                </w:p>
              </w:tc>
              <w:tc>
                <w:tcPr>
                  <w:tcW w:w="963"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(1127.99，1298.52，2)</w:t>
                  </w:r>
                </w:p>
              </w:tc>
              <w:tc>
                <w:tcPr>
                  <w:tcW w:w="396" w:type="pct"/>
                  <w:tcBorders>
                    <w:tl2br w:val="nil"/>
                    <w:tr2bl w:val="nil"/>
                  </w:tcBorders>
                  <w:vAlign w:val="center"/>
                </w:tcPr>
                <w:p>
                  <w:pPr>
                    <w:snapToGrid w:val="0"/>
                    <w:spacing w:line="240" w:lineRule="auto"/>
                    <w:ind w:firstLine="0" w:firstLineChars="0"/>
                    <w:jc w:val="center"/>
                    <w:rPr>
                      <w:rFonts w:hint="eastAsia"/>
                      <w:snapToGrid w:val="0"/>
                      <w:kern w:val="0"/>
                      <w:sz w:val="18"/>
                      <w:szCs w:val="18"/>
                    </w:rPr>
                  </w:pPr>
                  <w:r>
                    <w:rPr>
                      <w:rFonts w:hint="eastAsia"/>
                      <w:snapToGrid w:val="0"/>
                      <w:kern w:val="0"/>
                      <w:sz w:val="18"/>
                      <w:szCs w:val="18"/>
                    </w:rPr>
                    <w:t>4</w:t>
                  </w:r>
                </w:p>
              </w:tc>
              <w:tc>
                <w:tcPr>
                  <w:tcW w:w="346" w:type="pct"/>
                  <w:tcBorders>
                    <w:tl2br w:val="nil"/>
                    <w:tr2bl w:val="nil"/>
                  </w:tcBorders>
                  <w:vAlign w:val="center"/>
                </w:tcPr>
                <w:p>
                  <w:pPr>
                    <w:snapToGrid w:val="0"/>
                    <w:spacing w:line="240" w:lineRule="auto"/>
                    <w:ind w:firstLine="0" w:firstLineChars="0"/>
                    <w:jc w:val="center"/>
                    <w:rPr>
                      <w:rFonts w:hint="default"/>
                      <w:snapToGrid w:val="0"/>
                      <w:kern w:val="0"/>
                      <w:sz w:val="18"/>
                      <w:szCs w:val="18"/>
                      <w:lang w:val="en-US" w:eastAsia="zh-CN"/>
                    </w:rPr>
                  </w:pPr>
                  <w:r>
                    <w:rPr>
                      <w:rFonts w:hint="eastAsia"/>
                      <w:snapToGrid w:val="0"/>
                      <w:kern w:val="0"/>
                      <w:sz w:val="18"/>
                      <w:szCs w:val="18"/>
                      <w:lang w:val="en-US" w:eastAsia="zh-CN"/>
                    </w:rPr>
                    <w:t>77.96</w:t>
                  </w:r>
                </w:p>
              </w:tc>
              <w:tc>
                <w:tcPr>
                  <w:tcW w:w="257" w:type="pct"/>
                  <w:tcBorders>
                    <w:tl2br w:val="nil"/>
                    <w:tr2bl w:val="nil"/>
                  </w:tcBorders>
                  <w:vAlign w:val="center"/>
                </w:tcPr>
                <w:p>
                  <w:pPr>
                    <w:snapToGrid w:val="0"/>
                    <w:spacing w:line="240" w:lineRule="auto"/>
                    <w:ind w:firstLine="0" w:firstLineChars="0"/>
                    <w:jc w:val="center"/>
                    <w:rPr>
                      <w:rFonts w:hint="eastAsia"/>
                      <w:snapToGrid w:val="0"/>
                      <w:kern w:val="0"/>
                      <w:sz w:val="18"/>
                      <w:szCs w:val="18"/>
                    </w:rPr>
                  </w:pPr>
                  <w:r>
                    <w:rPr>
                      <w:rFonts w:hint="eastAsia"/>
                      <w:snapToGrid w:val="0"/>
                      <w:kern w:val="0"/>
                      <w:sz w:val="18"/>
                      <w:szCs w:val="18"/>
                    </w:rPr>
                    <w:t>连续</w:t>
                  </w:r>
                </w:p>
              </w:tc>
              <w:tc>
                <w:tcPr>
                  <w:tcW w:w="344" w:type="pct"/>
                  <w:tcBorders>
                    <w:tl2br w:val="nil"/>
                    <w:tr2bl w:val="nil"/>
                  </w:tcBorders>
                  <w:vAlign w:val="center"/>
                </w:tcPr>
                <w:p>
                  <w:pPr>
                    <w:snapToGrid w:val="0"/>
                    <w:spacing w:line="240" w:lineRule="auto"/>
                    <w:ind w:firstLine="0" w:firstLineChars="0"/>
                    <w:jc w:val="center"/>
                    <w:rPr>
                      <w:rFonts w:hint="eastAsia"/>
                      <w:snapToGrid w:val="0"/>
                      <w:kern w:val="0"/>
                      <w:sz w:val="18"/>
                      <w:szCs w:val="18"/>
                    </w:rPr>
                  </w:pPr>
                  <w:r>
                    <w:rPr>
                      <w:rFonts w:hint="eastAsia"/>
                      <w:snapToGrid w:val="0"/>
                      <w:kern w:val="0"/>
                      <w:sz w:val="18"/>
                      <w:szCs w:val="18"/>
                    </w:rPr>
                    <w:t>20</w:t>
                  </w:r>
                </w:p>
              </w:tc>
              <w:tc>
                <w:tcPr>
                  <w:tcW w:w="392" w:type="pct"/>
                  <w:tcBorders>
                    <w:tl2br w:val="nil"/>
                    <w:tr2bl w:val="nil"/>
                  </w:tcBorders>
                  <w:vAlign w:val="center"/>
                </w:tcPr>
                <w:p>
                  <w:pPr>
                    <w:snapToGrid w:val="0"/>
                    <w:spacing w:line="240" w:lineRule="auto"/>
                    <w:ind w:firstLine="0" w:firstLineChars="0"/>
                    <w:jc w:val="center"/>
                    <w:rPr>
                      <w:rFonts w:hint="eastAsia"/>
                      <w:snapToGrid w:val="0"/>
                      <w:kern w:val="0"/>
                      <w:sz w:val="18"/>
                      <w:szCs w:val="18"/>
                    </w:rPr>
                  </w:pPr>
                  <w:r>
                    <w:rPr>
                      <w:rFonts w:hint="eastAsia"/>
                      <w:snapToGrid w:val="0"/>
                      <w:kern w:val="0"/>
                      <w:sz w:val="18"/>
                      <w:szCs w:val="18"/>
                      <w:lang w:val="en-US" w:eastAsia="zh-CN"/>
                    </w:rPr>
                    <w:t>5</w:t>
                  </w:r>
                  <w:r>
                    <w:rPr>
                      <w:rFonts w:hint="eastAsia"/>
                      <w:snapToGrid w:val="0"/>
                      <w:kern w:val="0"/>
                      <w:sz w:val="18"/>
                      <w:szCs w:val="18"/>
                    </w:rPr>
                    <w:t>7.96</w:t>
                  </w:r>
                </w:p>
              </w:tc>
              <w:tc>
                <w:tcPr>
                  <w:tcW w:w="339" w:type="pct"/>
                  <w:tcBorders>
                    <w:tl2br w:val="nil"/>
                    <w:tr2bl w:val="nil"/>
                  </w:tcBorders>
                  <w:vAlign w:val="center"/>
                </w:tcPr>
                <w:p>
                  <w:pPr>
                    <w:widowControl/>
                    <w:adjustRightInd w:val="0"/>
                    <w:snapToGrid w:val="0"/>
                    <w:spacing w:line="240" w:lineRule="auto"/>
                    <w:ind w:firstLine="0" w:firstLineChars="0"/>
                    <w:jc w:val="center"/>
                    <w:textAlignment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52" w:type="pct"/>
                  <w:vAlign w:val="center"/>
                </w:tcPr>
                <w:p>
                  <w:pPr>
                    <w:widowControl/>
                    <w:adjustRightInd w:val="0"/>
                    <w:snapToGrid w:val="0"/>
                    <w:spacing w:line="240" w:lineRule="auto"/>
                    <w:ind w:firstLine="0" w:firstLineChars="0"/>
                    <w:jc w:val="center"/>
                    <w:textAlignment w:val="center"/>
                    <w:rPr>
                      <w:sz w:val="18"/>
                      <w:szCs w:val="18"/>
                    </w:rPr>
                  </w:pPr>
                  <w:r>
                    <w:rPr>
                      <w:sz w:val="18"/>
                      <w:szCs w:val="18"/>
                    </w:rPr>
                    <w:t>2</w:t>
                  </w:r>
                </w:p>
              </w:tc>
              <w:tc>
                <w:tcPr>
                  <w:tcW w:w="321" w:type="pct"/>
                  <w:vAlign w:val="center"/>
                </w:tcPr>
                <w:p>
                  <w:pPr>
                    <w:spacing w:line="360" w:lineRule="exact"/>
                    <w:ind w:firstLine="0" w:firstLineChars="0"/>
                    <w:jc w:val="center"/>
                    <w:rPr>
                      <w:snapToGrid w:val="0"/>
                      <w:kern w:val="0"/>
                      <w:sz w:val="18"/>
                      <w:szCs w:val="18"/>
                    </w:rPr>
                  </w:pPr>
                  <w:r>
                    <w:rPr>
                      <w:bCs/>
                      <w:sz w:val="18"/>
                      <w:szCs w:val="18"/>
                    </w:rPr>
                    <w:t>汽轮机</w:t>
                  </w:r>
                </w:p>
              </w:tc>
              <w:tc>
                <w:tcPr>
                  <w:tcW w:w="310" w:type="pct"/>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rPr>
                    <w:t>1</w:t>
                  </w:r>
                </w:p>
              </w:tc>
              <w:tc>
                <w:tcPr>
                  <w:tcW w:w="343" w:type="pct"/>
                  <w:vAlign w:val="center"/>
                </w:tcPr>
                <w:p>
                  <w:pPr>
                    <w:snapToGrid w:val="0"/>
                    <w:spacing w:line="240" w:lineRule="auto"/>
                    <w:ind w:firstLine="0" w:firstLineChars="0"/>
                    <w:jc w:val="center"/>
                    <w:rPr>
                      <w:rFonts w:hint="default" w:eastAsia="宋体"/>
                      <w:snapToGrid w:val="0"/>
                      <w:kern w:val="0"/>
                      <w:sz w:val="18"/>
                      <w:szCs w:val="18"/>
                      <w:lang w:val="en-US" w:eastAsia="zh-CN"/>
                    </w:rPr>
                  </w:pPr>
                  <w:r>
                    <w:rPr>
                      <w:rFonts w:hint="eastAsia"/>
                      <w:snapToGrid w:val="0"/>
                      <w:kern w:val="0"/>
                      <w:sz w:val="18"/>
                      <w:szCs w:val="18"/>
                      <w:lang w:val="en-US" w:eastAsia="zh-CN"/>
                    </w:rPr>
                    <w:t>100</w:t>
                  </w:r>
                </w:p>
              </w:tc>
              <w:tc>
                <w:tcPr>
                  <w:tcW w:w="265" w:type="pct"/>
                  <w:vAlign w:val="center"/>
                </w:tcPr>
                <w:p>
                  <w:pPr>
                    <w:widowControl/>
                    <w:adjustRightInd w:val="0"/>
                    <w:snapToGrid w:val="0"/>
                    <w:spacing w:line="240" w:lineRule="auto"/>
                    <w:ind w:firstLine="0" w:firstLineChars="0"/>
                    <w:jc w:val="center"/>
                    <w:textAlignment w:val="center"/>
                    <w:rPr>
                      <w:sz w:val="18"/>
                      <w:szCs w:val="18"/>
                    </w:rPr>
                  </w:pPr>
                  <w:r>
                    <w:rPr>
                      <w:sz w:val="18"/>
                      <w:szCs w:val="18"/>
                    </w:rPr>
                    <w:t>1</w:t>
                  </w:r>
                </w:p>
              </w:tc>
              <w:tc>
                <w:tcPr>
                  <w:tcW w:w="566" w:type="pct"/>
                  <w:vAlign w:val="center"/>
                </w:tcPr>
                <w:p>
                  <w:pPr>
                    <w:spacing w:line="360" w:lineRule="exact"/>
                    <w:ind w:firstLine="0" w:firstLineChars="0"/>
                    <w:jc w:val="center"/>
                    <w:rPr>
                      <w:rFonts w:hint="default" w:eastAsia="宋体"/>
                      <w:sz w:val="18"/>
                      <w:szCs w:val="18"/>
                      <w:lang w:val="en-US" w:eastAsia="zh-CN"/>
                    </w:rPr>
                  </w:pPr>
                  <w:r>
                    <w:rPr>
                      <w:rFonts w:hint="default" w:eastAsia="宋体"/>
                      <w:sz w:val="18"/>
                      <w:szCs w:val="18"/>
                      <w:lang w:val="en-US" w:eastAsia="zh-CN"/>
                    </w:rPr>
                    <w:t>隔声罩+厂房隔声+基础减振+小型风机进行排风散热+通道口安装消声材料</w:t>
                  </w:r>
                </w:p>
              </w:tc>
              <w:tc>
                <w:tcPr>
                  <w:tcW w:w="963" w:type="pct"/>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(1045.7，1325.89，2)</w:t>
                  </w:r>
                </w:p>
              </w:tc>
              <w:tc>
                <w:tcPr>
                  <w:tcW w:w="396" w:type="pct"/>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5</w:t>
                  </w:r>
                </w:p>
              </w:tc>
              <w:tc>
                <w:tcPr>
                  <w:tcW w:w="346" w:type="pct"/>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lang w:val="en-US" w:eastAsia="zh-CN"/>
                    </w:rPr>
                    <w:t>8</w:t>
                  </w:r>
                  <w:r>
                    <w:rPr>
                      <w:rFonts w:hint="eastAsia"/>
                      <w:snapToGrid w:val="0"/>
                      <w:kern w:val="0"/>
                      <w:sz w:val="18"/>
                      <w:szCs w:val="18"/>
                    </w:rPr>
                    <w:t>6.02</w:t>
                  </w:r>
                </w:p>
              </w:tc>
              <w:tc>
                <w:tcPr>
                  <w:tcW w:w="257" w:type="pct"/>
                  <w:vAlign w:val="center"/>
                </w:tcPr>
                <w:p>
                  <w:pPr>
                    <w:snapToGrid w:val="0"/>
                    <w:spacing w:line="240" w:lineRule="auto"/>
                    <w:ind w:firstLine="0" w:firstLineChars="0"/>
                    <w:jc w:val="center"/>
                    <w:rPr>
                      <w:snapToGrid w:val="0"/>
                      <w:kern w:val="0"/>
                      <w:sz w:val="18"/>
                      <w:szCs w:val="18"/>
                    </w:rPr>
                  </w:pPr>
                  <w:r>
                    <w:rPr>
                      <w:snapToGrid w:val="0"/>
                      <w:kern w:val="0"/>
                      <w:sz w:val="18"/>
                      <w:szCs w:val="18"/>
                    </w:rPr>
                    <w:t>连续</w:t>
                  </w:r>
                </w:p>
              </w:tc>
              <w:tc>
                <w:tcPr>
                  <w:tcW w:w="344" w:type="pct"/>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rPr>
                    <w:t>20</w:t>
                  </w:r>
                </w:p>
              </w:tc>
              <w:tc>
                <w:tcPr>
                  <w:tcW w:w="392" w:type="pct"/>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lang w:val="en-US" w:eastAsia="zh-CN"/>
                    </w:rPr>
                    <w:t>6</w:t>
                  </w:r>
                  <w:r>
                    <w:rPr>
                      <w:rFonts w:hint="eastAsia"/>
                      <w:snapToGrid w:val="0"/>
                      <w:kern w:val="0"/>
                      <w:sz w:val="18"/>
                      <w:szCs w:val="18"/>
                    </w:rPr>
                    <w:t>6.02</w:t>
                  </w:r>
                </w:p>
              </w:tc>
              <w:tc>
                <w:tcPr>
                  <w:tcW w:w="339" w:type="pct"/>
                  <w:vAlign w:val="center"/>
                </w:tcPr>
                <w:p>
                  <w:pPr>
                    <w:widowControl/>
                    <w:adjustRightInd w:val="0"/>
                    <w:snapToGrid w:val="0"/>
                    <w:spacing w:line="240" w:lineRule="auto"/>
                    <w:ind w:firstLine="0" w:firstLineChars="0"/>
                    <w:jc w:val="center"/>
                    <w:textAlignment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152" w:type="pct"/>
                  <w:vAlign w:val="center"/>
                </w:tcPr>
                <w:p>
                  <w:pPr>
                    <w:widowControl/>
                    <w:adjustRightInd w:val="0"/>
                    <w:snapToGrid w:val="0"/>
                    <w:spacing w:line="240" w:lineRule="auto"/>
                    <w:ind w:firstLine="0" w:firstLineChars="0"/>
                    <w:jc w:val="center"/>
                    <w:textAlignment w:val="center"/>
                    <w:rPr>
                      <w:sz w:val="18"/>
                      <w:szCs w:val="18"/>
                    </w:rPr>
                  </w:pPr>
                  <w:r>
                    <w:rPr>
                      <w:sz w:val="18"/>
                      <w:szCs w:val="18"/>
                    </w:rPr>
                    <w:t>3</w:t>
                  </w:r>
                </w:p>
              </w:tc>
              <w:tc>
                <w:tcPr>
                  <w:tcW w:w="321" w:type="pct"/>
                  <w:vAlign w:val="center"/>
                </w:tcPr>
                <w:p>
                  <w:pPr>
                    <w:spacing w:line="360" w:lineRule="exact"/>
                    <w:ind w:firstLine="0" w:firstLineChars="0"/>
                    <w:jc w:val="center"/>
                    <w:rPr>
                      <w:snapToGrid w:val="0"/>
                      <w:kern w:val="0"/>
                      <w:sz w:val="18"/>
                      <w:szCs w:val="18"/>
                    </w:rPr>
                  </w:pPr>
                  <w:r>
                    <w:rPr>
                      <w:bCs/>
                      <w:sz w:val="18"/>
                      <w:szCs w:val="18"/>
                    </w:rPr>
                    <w:t>发电机</w:t>
                  </w:r>
                </w:p>
              </w:tc>
              <w:tc>
                <w:tcPr>
                  <w:tcW w:w="310" w:type="pct"/>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rPr>
                    <w:t>1</w:t>
                  </w:r>
                </w:p>
              </w:tc>
              <w:tc>
                <w:tcPr>
                  <w:tcW w:w="343" w:type="pct"/>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rPr>
                    <w:t>85</w:t>
                  </w:r>
                </w:p>
              </w:tc>
              <w:tc>
                <w:tcPr>
                  <w:tcW w:w="265" w:type="pct"/>
                  <w:vAlign w:val="center"/>
                </w:tcPr>
                <w:p>
                  <w:pPr>
                    <w:widowControl/>
                    <w:adjustRightInd w:val="0"/>
                    <w:snapToGrid w:val="0"/>
                    <w:spacing w:line="240" w:lineRule="auto"/>
                    <w:ind w:firstLine="0" w:firstLineChars="0"/>
                    <w:jc w:val="center"/>
                    <w:textAlignment w:val="center"/>
                    <w:rPr>
                      <w:sz w:val="18"/>
                      <w:szCs w:val="18"/>
                    </w:rPr>
                  </w:pPr>
                  <w:r>
                    <w:rPr>
                      <w:sz w:val="18"/>
                      <w:szCs w:val="18"/>
                    </w:rPr>
                    <w:t>1</w:t>
                  </w:r>
                </w:p>
              </w:tc>
              <w:tc>
                <w:tcPr>
                  <w:tcW w:w="566" w:type="pct"/>
                  <w:vAlign w:val="center"/>
                </w:tcPr>
                <w:p>
                  <w:pPr>
                    <w:spacing w:line="360" w:lineRule="exact"/>
                    <w:ind w:firstLine="0" w:firstLineChars="0"/>
                    <w:jc w:val="center"/>
                    <w:rPr>
                      <w:sz w:val="18"/>
                      <w:szCs w:val="18"/>
                    </w:rPr>
                  </w:pPr>
                  <w:r>
                    <w:rPr>
                      <w:bCs/>
                      <w:sz w:val="18"/>
                      <w:szCs w:val="18"/>
                    </w:rPr>
                    <w:t>厂房隔声</w:t>
                  </w:r>
                </w:p>
              </w:tc>
              <w:tc>
                <w:tcPr>
                  <w:tcW w:w="963" w:type="pct"/>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(1071.44，1329.11，4)</w:t>
                  </w:r>
                </w:p>
              </w:tc>
              <w:tc>
                <w:tcPr>
                  <w:tcW w:w="396" w:type="pct"/>
                  <w:vAlign w:val="center"/>
                </w:tcPr>
                <w:p>
                  <w:pPr>
                    <w:widowControl/>
                    <w:adjustRightInd w:val="0"/>
                    <w:snapToGrid w:val="0"/>
                    <w:spacing w:line="240" w:lineRule="auto"/>
                    <w:ind w:firstLine="0" w:firstLineChars="0"/>
                    <w:jc w:val="center"/>
                    <w:textAlignment w:val="center"/>
                    <w:rPr>
                      <w:sz w:val="18"/>
                      <w:szCs w:val="18"/>
                    </w:rPr>
                  </w:pPr>
                  <w:r>
                    <w:rPr>
                      <w:rFonts w:hint="eastAsia"/>
                      <w:sz w:val="18"/>
                      <w:szCs w:val="18"/>
                    </w:rPr>
                    <w:t>10</w:t>
                  </w:r>
                </w:p>
              </w:tc>
              <w:tc>
                <w:tcPr>
                  <w:tcW w:w="346" w:type="pct"/>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rPr>
                    <w:t>65</w:t>
                  </w:r>
                </w:p>
              </w:tc>
              <w:tc>
                <w:tcPr>
                  <w:tcW w:w="257" w:type="pct"/>
                  <w:vAlign w:val="center"/>
                </w:tcPr>
                <w:p>
                  <w:pPr>
                    <w:snapToGrid w:val="0"/>
                    <w:spacing w:line="240" w:lineRule="auto"/>
                    <w:ind w:firstLine="0" w:firstLineChars="0"/>
                    <w:jc w:val="center"/>
                    <w:rPr>
                      <w:snapToGrid w:val="0"/>
                      <w:kern w:val="0"/>
                      <w:sz w:val="18"/>
                      <w:szCs w:val="18"/>
                    </w:rPr>
                  </w:pPr>
                  <w:r>
                    <w:rPr>
                      <w:snapToGrid w:val="0"/>
                      <w:kern w:val="0"/>
                      <w:sz w:val="18"/>
                      <w:szCs w:val="18"/>
                    </w:rPr>
                    <w:t>连续</w:t>
                  </w:r>
                </w:p>
              </w:tc>
              <w:tc>
                <w:tcPr>
                  <w:tcW w:w="344" w:type="pct"/>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rPr>
                    <w:t>15</w:t>
                  </w:r>
                </w:p>
              </w:tc>
              <w:tc>
                <w:tcPr>
                  <w:tcW w:w="392" w:type="pct"/>
                  <w:vAlign w:val="center"/>
                </w:tcPr>
                <w:p>
                  <w:pPr>
                    <w:snapToGrid w:val="0"/>
                    <w:spacing w:line="240" w:lineRule="auto"/>
                    <w:ind w:firstLine="0" w:firstLineChars="0"/>
                    <w:jc w:val="center"/>
                    <w:rPr>
                      <w:snapToGrid w:val="0"/>
                      <w:kern w:val="0"/>
                      <w:sz w:val="18"/>
                      <w:szCs w:val="18"/>
                    </w:rPr>
                  </w:pPr>
                  <w:r>
                    <w:rPr>
                      <w:rFonts w:hint="eastAsia"/>
                      <w:snapToGrid w:val="0"/>
                      <w:kern w:val="0"/>
                      <w:sz w:val="18"/>
                      <w:szCs w:val="18"/>
                    </w:rPr>
                    <w:t>50</w:t>
                  </w:r>
                </w:p>
              </w:tc>
              <w:tc>
                <w:tcPr>
                  <w:tcW w:w="339" w:type="pct"/>
                  <w:vAlign w:val="center"/>
                </w:tcPr>
                <w:p>
                  <w:pPr>
                    <w:widowControl/>
                    <w:adjustRightInd w:val="0"/>
                    <w:snapToGrid w:val="0"/>
                    <w:spacing w:line="240" w:lineRule="auto"/>
                    <w:ind w:firstLine="0" w:firstLineChars="0"/>
                    <w:jc w:val="center"/>
                    <w:textAlignment w:val="center"/>
                    <w:rPr>
                      <w:sz w:val="18"/>
                      <w:szCs w:val="18"/>
                    </w:rPr>
                  </w:pPr>
                  <w:r>
                    <w:rPr>
                      <w:sz w:val="18"/>
                      <w:szCs w:val="18"/>
                    </w:rPr>
                    <w:t>1</w:t>
                  </w:r>
                </w:p>
              </w:tc>
            </w:tr>
          </w:tbl>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rPr>
            </w:pPr>
            <w:r>
              <w:rPr>
                <w:rFonts w:hint="eastAsia"/>
                <w:b/>
                <w:lang w:val="zh-CN"/>
              </w:rPr>
              <w:t>表</w:t>
            </w:r>
            <w:r>
              <w:rPr>
                <w:rFonts w:hint="eastAsia"/>
                <w:b/>
                <w:lang w:val="en-US" w:eastAsia="zh-CN"/>
              </w:rPr>
              <w:t>40</w:t>
            </w:r>
            <w:r>
              <w:rPr>
                <w:rFonts w:hint="eastAsia"/>
                <w:b/>
                <w:lang w:val="zh-CN"/>
              </w:rPr>
              <w:t xml:space="preserve">  </w:t>
            </w:r>
            <w:r>
              <w:rPr>
                <w:rFonts w:hint="eastAsia"/>
                <w:b/>
              </w:rPr>
              <w:t xml:space="preserve">  </w:t>
            </w:r>
            <w:r>
              <w:rPr>
                <w:rFonts w:hint="eastAsia"/>
                <w:b/>
                <w:lang w:val="zh-CN"/>
              </w:rPr>
              <w:t>噪声源</w:t>
            </w:r>
            <w:r>
              <w:rPr>
                <w:rFonts w:hint="eastAsia"/>
                <w:b/>
              </w:rPr>
              <w:t>四周</w:t>
            </w:r>
            <w:r>
              <w:rPr>
                <w:rFonts w:hint="eastAsia"/>
                <w:b/>
                <w:lang w:val="zh-CN"/>
              </w:rPr>
              <w:t>厂界噪声</w:t>
            </w:r>
            <w:r>
              <w:rPr>
                <w:rFonts w:hint="eastAsia"/>
                <w:b/>
              </w:rPr>
              <w:t>预测值</w:t>
            </w:r>
            <w:r>
              <w:rPr>
                <w:rFonts w:hint="eastAsia"/>
                <w:b/>
                <w:lang w:val="zh-CN"/>
              </w:rPr>
              <w:t>值一览表</w:t>
            </w:r>
            <w:r>
              <w:rPr>
                <w:rFonts w:hint="eastAsia"/>
                <w:b/>
              </w:rPr>
              <w:t>(</w:t>
            </w:r>
            <w:r>
              <w:rPr>
                <w:rFonts w:hint="eastAsia"/>
                <w:b/>
                <w:lang w:val="zh-CN"/>
              </w:rPr>
              <w:t>dB(A)</w:t>
            </w:r>
            <w:r>
              <w:rPr>
                <w:rFonts w:hint="eastAsia"/>
                <w:b/>
              </w:rPr>
              <w:t>)</w:t>
            </w:r>
          </w:p>
          <w:tbl>
            <w:tblPr>
              <w:tblStyle w:val="79"/>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20"/>
              <w:gridCol w:w="726"/>
              <w:gridCol w:w="771"/>
              <w:gridCol w:w="953"/>
              <w:gridCol w:w="744"/>
              <w:gridCol w:w="583"/>
              <w:gridCol w:w="658"/>
              <w:gridCol w:w="669"/>
              <w:gridCol w:w="691"/>
              <w:gridCol w:w="6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959" w:type="pct"/>
                  <w:vMerge w:val="restar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点位</w:t>
                  </w:r>
                </w:p>
              </w:tc>
              <w:tc>
                <w:tcPr>
                  <w:tcW w:w="944" w:type="pct"/>
                  <w:gridSpan w:val="2"/>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现状</w:t>
                  </w:r>
                  <w:r>
                    <w:rPr>
                      <w:sz w:val="18"/>
                      <w:szCs w:val="18"/>
                    </w:rPr>
                    <w:t>监测值/dB</w:t>
                  </w:r>
                  <w:r>
                    <w:rPr>
                      <w:rFonts w:hint="eastAsia"/>
                      <w:sz w:val="18"/>
                      <w:szCs w:val="18"/>
                    </w:rPr>
                    <w:t>(</w:t>
                  </w:r>
                  <w:r>
                    <w:rPr>
                      <w:sz w:val="18"/>
                      <w:szCs w:val="18"/>
                    </w:rPr>
                    <w:t>A</w:t>
                  </w:r>
                  <w:r>
                    <w:rPr>
                      <w:rFonts w:hint="eastAsia"/>
                      <w:sz w:val="18"/>
                      <w:szCs w:val="18"/>
                    </w:rPr>
                    <w:t>)</w:t>
                  </w:r>
                </w:p>
              </w:tc>
              <w:tc>
                <w:tcPr>
                  <w:tcW w:w="601"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贡献值</w:t>
                  </w:r>
                </w:p>
              </w:tc>
              <w:tc>
                <w:tcPr>
                  <w:tcW w:w="837" w:type="pct"/>
                  <w:gridSpan w:val="2"/>
                  <w:tcBorders>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预测值</w:t>
                  </w:r>
                </w:p>
              </w:tc>
              <w:tc>
                <w:tcPr>
                  <w:tcW w:w="837" w:type="pct"/>
                  <w:gridSpan w:val="2"/>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标准值/dB</w:t>
                  </w:r>
                  <w:r>
                    <w:rPr>
                      <w:rFonts w:hint="eastAsia"/>
                      <w:sz w:val="18"/>
                      <w:szCs w:val="18"/>
                    </w:rPr>
                    <w:t>(</w:t>
                  </w:r>
                  <w:r>
                    <w:rPr>
                      <w:sz w:val="18"/>
                      <w:szCs w:val="18"/>
                    </w:rPr>
                    <w:t>A</w:t>
                  </w:r>
                  <w:r>
                    <w:rPr>
                      <w:rFonts w:hint="eastAsia"/>
                      <w:sz w:val="18"/>
                      <w:szCs w:val="18"/>
                    </w:rPr>
                    <w:t>)</w:t>
                  </w:r>
                </w:p>
              </w:tc>
              <w:tc>
                <w:tcPr>
                  <w:tcW w:w="819" w:type="pct"/>
                  <w:gridSpan w:val="2"/>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959" w:type="pct"/>
                  <w:vMerge w:val="continue"/>
                  <w:tcBorders>
                    <w:tl2br w:val="nil"/>
                    <w:tr2bl w:val="nil"/>
                  </w:tcBorders>
                  <w:vAlign w:val="center"/>
                </w:tcPr>
                <w:p>
                  <w:pPr>
                    <w:widowControl/>
                    <w:adjustRightInd w:val="0"/>
                    <w:snapToGrid w:val="0"/>
                    <w:spacing w:line="240" w:lineRule="exact"/>
                    <w:ind w:firstLine="0" w:firstLineChars="0"/>
                    <w:jc w:val="center"/>
                    <w:rPr>
                      <w:sz w:val="18"/>
                      <w:szCs w:val="18"/>
                    </w:rPr>
                  </w:pP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昼间</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夜间</w:t>
                  </w:r>
                </w:p>
              </w:tc>
              <w:tc>
                <w:tcPr>
                  <w:tcW w:w="601" w:type="pct"/>
                  <w:tcBorders>
                    <w:right w:val="single" w:color="auto" w:sz="4" w:space="0"/>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昼间</w:t>
                  </w:r>
                </w:p>
              </w:tc>
              <w:tc>
                <w:tcPr>
                  <w:tcW w:w="469" w:type="pct"/>
                  <w:tcBorders>
                    <w:right w:val="single" w:color="auto" w:sz="4" w:space="0"/>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昼间</w:t>
                  </w:r>
                </w:p>
              </w:tc>
              <w:tc>
                <w:tcPr>
                  <w:tcW w:w="368" w:type="pct"/>
                  <w:tcBorders>
                    <w:left w:val="single" w:color="auto" w:sz="4" w:space="0"/>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夜间</w:t>
                  </w:r>
                </w:p>
              </w:tc>
              <w:tc>
                <w:tcPr>
                  <w:tcW w:w="415"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昼间</w:t>
                  </w:r>
                </w:p>
              </w:tc>
              <w:tc>
                <w:tcPr>
                  <w:tcW w:w="421"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夜间</w:t>
                  </w:r>
                </w:p>
              </w:tc>
              <w:tc>
                <w:tcPr>
                  <w:tcW w:w="43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昼间</w:t>
                  </w:r>
                </w:p>
              </w:tc>
              <w:tc>
                <w:tcPr>
                  <w:tcW w:w="383" w:type="pct"/>
                  <w:tcBorders>
                    <w:tl2br w:val="nil"/>
                    <w:tr2bl w:val="nil"/>
                  </w:tcBorders>
                  <w:vAlign w:val="center"/>
                </w:tcPr>
                <w:p>
                  <w:pPr>
                    <w:widowControl/>
                    <w:adjustRightInd w:val="0"/>
                    <w:snapToGrid w:val="0"/>
                    <w:spacing w:line="240" w:lineRule="exact"/>
                    <w:ind w:firstLine="0" w:firstLineChars="0"/>
                    <w:jc w:val="center"/>
                    <w:rPr>
                      <w:sz w:val="18"/>
                      <w:szCs w:val="18"/>
                    </w:rPr>
                  </w:pPr>
                  <w:r>
                    <w:rPr>
                      <w:sz w:val="18"/>
                      <w:szCs w:val="18"/>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1#东厂界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4</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54</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10.42</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4</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54</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2</w:t>
                  </w:r>
                  <w:r>
                    <w:rPr>
                      <w:sz w:val="18"/>
                      <w:szCs w:val="18"/>
                    </w:rPr>
                    <w:t>#</w:t>
                  </w:r>
                  <w:r>
                    <w:rPr>
                      <w:rFonts w:hint="eastAsia"/>
                      <w:sz w:val="18"/>
                      <w:szCs w:val="18"/>
                    </w:rPr>
                    <w:t>东厂界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64</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54</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17.77</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64</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54</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3</w:t>
                  </w:r>
                  <w:r>
                    <w:rPr>
                      <w:sz w:val="18"/>
                      <w:szCs w:val="18"/>
                    </w:rPr>
                    <w:t>#</w:t>
                  </w:r>
                  <w:r>
                    <w:rPr>
                      <w:rFonts w:hint="eastAsia"/>
                      <w:sz w:val="18"/>
                      <w:szCs w:val="18"/>
                    </w:rPr>
                    <w:t>东厂界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63</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3</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19.89</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63</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3</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4#东南厂界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60</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1</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13.79</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60</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1</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w:t>
                  </w:r>
                  <w:r>
                    <w:rPr>
                      <w:rFonts w:hint="eastAsia"/>
                      <w:sz w:val="18"/>
                      <w:szCs w:val="18"/>
                    </w:rPr>
                    <w:t>东南厂界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61</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15.60</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61</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w:t>
                  </w:r>
                  <w:r>
                    <w:rPr>
                      <w:rFonts w:hint="eastAsia"/>
                      <w:sz w:val="18"/>
                      <w:szCs w:val="18"/>
                    </w:rPr>
                    <w:t>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2</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1</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7.75</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2</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1</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7</w:t>
                  </w:r>
                  <w:r>
                    <w:rPr>
                      <w:sz w:val="18"/>
                      <w:szCs w:val="18"/>
                    </w:rPr>
                    <w:t>#</w:t>
                  </w:r>
                  <w:r>
                    <w:rPr>
                      <w:rFonts w:hint="eastAsia"/>
                      <w:sz w:val="18"/>
                      <w:szCs w:val="18"/>
                    </w:rPr>
                    <w:t>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2.74</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70</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8</w:t>
                  </w:r>
                  <w:r>
                    <w:rPr>
                      <w:sz w:val="18"/>
                      <w:szCs w:val="18"/>
                    </w:rPr>
                    <w:t>#</w:t>
                  </w:r>
                  <w:r>
                    <w:rPr>
                      <w:rFonts w:hint="eastAsia"/>
                      <w:sz w:val="18"/>
                      <w:szCs w:val="18"/>
                    </w:rPr>
                    <w:t>西南厂界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5.95</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9</w:t>
                  </w:r>
                  <w:r>
                    <w:rPr>
                      <w:sz w:val="18"/>
                      <w:szCs w:val="18"/>
                    </w:rPr>
                    <w:t>#</w:t>
                  </w:r>
                  <w:r>
                    <w:rPr>
                      <w:rFonts w:hint="eastAsia"/>
                      <w:sz w:val="18"/>
                      <w:szCs w:val="18"/>
                    </w:rPr>
                    <w:t>西</w:t>
                  </w:r>
                  <w:r>
                    <w:rPr>
                      <w:sz w:val="18"/>
                      <w:szCs w:val="18"/>
                    </w:rPr>
                    <w:t>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1</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1.39</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1</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0#</w:t>
                  </w:r>
                  <w:r>
                    <w:rPr>
                      <w:rFonts w:hint="eastAsia"/>
                      <w:sz w:val="18"/>
                      <w:szCs w:val="18"/>
                    </w:rPr>
                    <w:t>西北厂界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61</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0</w:t>
                  </w:r>
                </w:p>
              </w:tc>
              <w:tc>
                <w:tcPr>
                  <w:tcW w:w="601"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rPr>
                    <w:t>0</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61</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0</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1#</w:t>
                  </w:r>
                  <w:r>
                    <w:rPr>
                      <w:rFonts w:hint="eastAsia"/>
                      <w:sz w:val="18"/>
                      <w:szCs w:val="18"/>
                    </w:rPr>
                    <w:t>西北厂界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601"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rPr>
                    <w:t>0</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2#</w:t>
                  </w:r>
                  <w:r>
                    <w:rPr>
                      <w:rFonts w:hint="eastAsia"/>
                      <w:sz w:val="18"/>
                      <w:szCs w:val="18"/>
                    </w:rPr>
                    <w:t>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1</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601"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rPr>
                    <w:t>0</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w:t>
                  </w:r>
                  <w:r>
                    <w:rPr>
                      <w:sz w:val="18"/>
                      <w:szCs w:val="18"/>
                    </w:rPr>
                    <w:t>1</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3#</w:t>
                  </w:r>
                  <w:r>
                    <w:rPr>
                      <w:rFonts w:hint="eastAsia"/>
                      <w:sz w:val="18"/>
                      <w:szCs w:val="18"/>
                    </w:rPr>
                    <w:t>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60</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601"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rPr>
                    <w:t>0</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60</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51</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4#</w:t>
                  </w:r>
                  <w:r>
                    <w:rPr>
                      <w:rFonts w:hint="eastAsia"/>
                      <w:sz w:val="18"/>
                      <w:szCs w:val="18"/>
                    </w:rPr>
                    <w:t>东北厂界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3.49</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62</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52</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9"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1</w:t>
                  </w:r>
                  <w:r>
                    <w:rPr>
                      <w:sz w:val="18"/>
                      <w:szCs w:val="18"/>
                    </w:rPr>
                    <w:t>5#</w:t>
                  </w:r>
                  <w:r>
                    <w:rPr>
                      <w:rFonts w:hint="eastAsia"/>
                      <w:sz w:val="18"/>
                      <w:szCs w:val="18"/>
                    </w:rPr>
                    <w:t>东厂界</w:t>
                  </w:r>
                </w:p>
              </w:tc>
              <w:tc>
                <w:tcPr>
                  <w:tcW w:w="458"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60</w:t>
                  </w:r>
                </w:p>
              </w:tc>
              <w:tc>
                <w:tcPr>
                  <w:tcW w:w="486" w:type="pct"/>
                  <w:tcBorders>
                    <w:tl2br w:val="nil"/>
                    <w:tr2bl w:val="nil"/>
                  </w:tcBorders>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1</w:t>
                  </w:r>
                </w:p>
              </w:tc>
              <w:tc>
                <w:tcPr>
                  <w:tcW w:w="953" w:type="dxa"/>
                  <w:tcBorders>
                    <w:right w:val="single" w:color="auto" w:sz="4" w:space="0"/>
                    <w:tl2br w:val="nil"/>
                    <w:tr2bl w:val="nil"/>
                  </w:tcBorders>
                  <w:noWrap/>
                  <w:vAlign w:val="center"/>
                </w:tcPr>
                <w:p>
                  <w:pPr>
                    <w:widowControl/>
                    <w:adjustRightInd w:val="0"/>
                    <w:snapToGrid w:val="0"/>
                    <w:spacing w:line="240" w:lineRule="exact"/>
                    <w:ind w:firstLine="0" w:firstLineChars="0"/>
                    <w:jc w:val="center"/>
                    <w:rPr>
                      <w:rFonts w:hint="eastAsia"/>
                      <w:sz w:val="18"/>
                      <w:szCs w:val="18"/>
                    </w:rPr>
                  </w:pPr>
                  <w:r>
                    <w:rPr>
                      <w:rFonts w:hint="eastAsia"/>
                      <w:sz w:val="18"/>
                      <w:szCs w:val="18"/>
                      <w:lang w:val="en-US" w:eastAsia="zh-CN"/>
                    </w:rPr>
                    <w:t>5.54</w:t>
                  </w:r>
                </w:p>
              </w:tc>
              <w:tc>
                <w:tcPr>
                  <w:tcW w:w="469" w:type="pct"/>
                  <w:tcBorders>
                    <w:righ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60</w:t>
                  </w:r>
                </w:p>
              </w:tc>
              <w:tc>
                <w:tcPr>
                  <w:tcW w:w="368" w:type="pct"/>
                  <w:tcBorders>
                    <w:left w:val="single" w:color="auto" w:sz="4" w:space="0"/>
                    <w:tl2br w:val="nil"/>
                    <w:tr2bl w:val="nil"/>
                  </w:tcBorders>
                  <w:noWrap/>
                  <w:vAlign w:val="center"/>
                </w:tcPr>
                <w:p>
                  <w:pPr>
                    <w:widowControl/>
                    <w:adjustRightInd w:val="0"/>
                    <w:snapToGrid w:val="0"/>
                    <w:spacing w:line="240" w:lineRule="exact"/>
                    <w:ind w:firstLine="0" w:firstLineChars="0"/>
                    <w:jc w:val="center"/>
                    <w:rPr>
                      <w:sz w:val="18"/>
                      <w:szCs w:val="18"/>
                    </w:rPr>
                  </w:pPr>
                  <w:r>
                    <w:rPr>
                      <w:rFonts w:hint="eastAsia"/>
                      <w:sz w:val="18"/>
                      <w:szCs w:val="18"/>
                    </w:rPr>
                    <w:t>5</w:t>
                  </w:r>
                  <w:r>
                    <w:rPr>
                      <w:sz w:val="18"/>
                      <w:szCs w:val="18"/>
                    </w:rPr>
                    <w:t>1</w:t>
                  </w:r>
                </w:p>
              </w:tc>
              <w:tc>
                <w:tcPr>
                  <w:tcW w:w="415"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65</w:t>
                  </w:r>
                </w:p>
              </w:tc>
              <w:tc>
                <w:tcPr>
                  <w:tcW w:w="421"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55</w:t>
                  </w:r>
                </w:p>
              </w:tc>
              <w:tc>
                <w:tcPr>
                  <w:tcW w:w="436"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c>
                <w:tcPr>
                  <w:tcW w:w="383" w:type="pct"/>
                  <w:tcBorders>
                    <w:tl2br w:val="nil"/>
                    <w:tr2bl w:val="nil"/>
                  </w:tcBorders>
                  <w:noWrap/>
                  <w:vAlign w:val="center"/>
                </w:tcPr>
                <w:p>
                  <w:pPr>
                    <w:widowControl/>
                    <w:adjustRightInd w:val="0"/>
                    <w:snapToGrid w:val="0"/>
                    <w:spacing w:line="240" w:lineRule="exact"/>
                    <w:ind w:firstLine="0" w:firstLineChars="0"/>
                    <w:jc w:val="center"/>
                    <w:rPr>
                      <w:sz w:val="18"/>
                      <w:szCs w:val="18"/>
                    </w:rPr>
                  </w:pPr>
                  <w:r>
                    <w:rPr>
                      <w:sz w:val="18"/>
                      <w:szCs w:val="18"/>
                    </w:rPr>
                    <w:t>达标</w:t>
                  </w:r>
                </w:p>
              </w:tc>
            </w:tr>
          </w:tbl>
          <w:p>
            <w:pPr>
              <w:pStyle w:val="7"/>
              <w:spacing w:before="0" w:after="0" w:line="360" w:lineRule="exact"/>
              <w:ind w:left="0" w:firstLine="0" w:firstLineChars="0"/>
              <w:jc w:val="center"/>
              <w:rPr>
                <w:sz w:val="24"/>
                <w:szCs w:val="24"/>
              </w:rPr>
            </w:pPr>
          </w:p>
          <w:p>
            <w:pPr>
              <w:pStyle w:val="7"/>
              <w:spacing w:before="0" w:after="0" w:line="360" w:lineRule="exact"/>
              <w:ind w:left="0" w:firstLine="0" w:firstLineChars="0"/>
              <w:jc w:val="center"/>
              <w:rPr>
                <w:sz w:val="24"/>
                <w:szCs w:val="24"/>
              </w:rPr>
            </w:pPr>
          </w:p>
          <w:p>
            <w:pPr>
              <w:pStyle w:val="7"/>
              <w:spacing w:before="0" w:after="0" w:line="360" w:lineRule="exact"/>
              <w:ind w:left="0" w:firstLine="0" w:firstLineChars="0"/>
              <w:jc w:val="center"/>
              <w:rPr>
                <w:sz w:val="24"/>
                <w:szCs w:val="24"/>
              </w:rPr>
            </w:pPr>
            <w:r>
              <w:rPr>
                <w:sz w:val="24"/>
                <w:szCs w:val="24"/>
              </w:rPr>
              <w:t>表</w:t>
            </w:r>
            <w:r>
              <w:rPr>
                <w:rFonts w:hint="eastAsia"/>
                <w:sz w:val="24"/>
                <w:szCs w:val="24"/>
                <w:lang w:val="en-US" w:eastAsia="zh-CN"/>
              </w:rPr>
              <w:t>41</w:t>
            </w:r>
            <w:r>
              <w:rPr>
                <w:sz w:val="24"/>
                <w:szCs w:val="24"/>
              </w:rPr>
              <w:t xml:space="preserve">    </w:t>
            </w:r>
            <w:r>
              <w:rPr>
                <w:rFonts w:hint="eastAsia"/>
                <w:sz w:val="24"/>
                <w:szCs w:val="24"/>
              </w:rPr>
              <w:t>项目噪声</w:t>
            </w:r>
            <w:r>
              <w:rPr>
                <w:sz w:val="24"/>
                <w:szCs w:val="24"/>
              </w:rPr>
              <w:t>监测</w:t>
            </w:r>
            <w:r>
              <w:rPr>
                <w:rFonts w:hint="eastAsia"/>
                <w:sz w:val="24"/>
                <w:szCs w:val="24"/>
              </w:rPr>
              <w:t>计划</w:t>
            </w:r>
            <w:r>
              <w:rPr>
                <w:sz w:val="24"/>
                <w:szCs w:val="24"/>
              </w:rPr>
              <w:t>一览表</w:t>
            </w:r>
          </w:p>
          <w:tbl>
            <w:tblPr>
              <w:tblStyle w:val="7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14"/>
              <w:gridCol w:w="1619"/>
              <w:gridCol w:w="1308"/>
              <w:gridCol w:w="3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28" w:type="pct"/>
                  <w:tcBorders>
                    <w:tl2br w:val="nil"/>
                    <w:tr2bl w:val="nil"/>
                  </w:tcBorders>
                  <w:vAlign w:val="center"/>
                </w:tcPr>
                <w:p>
                  <w:pPr>
                    <w:spacing w:line="280" w:lineRule="exact"/>
                    <w:ind w:firstLine="0" w:firstLineChars="0"/>
                    <w:jc w:val="center"/>
                    <w:rPr>
                      <w:sz w:val="18"/>
                      <w:szCs w:val="18"/>
                    </w:rPr>
                  </w:pPr>
                  <w:r>
                    <w:rPr>
                      <w:sz w:val="18"/>
                      <w:szCs w:val="18"/>
                    </w:rPr>
                    <w:t>监测点位</w:t>
                  </w:r>
                </w:p>
              </w:tc>
              <w:tc>
                <w:tcPr>
                  <w:tcW w:w="1020" w:type="pct"/>
                  <w:tcBorders>
                    <w:tl2br w:val="nil"/>
                    <w:tr2bl w:val="nil"/>
                  </w:tcBorders>
                  <w:vAlign w:val="center"/>
                </w:tcPr>
                <w:p>
                  <w:pPr>
                    <w:spacing w:line="280" w:lineRule="exact"/>
                    <w:ind w:firstLine="0" w:firstLineChars="0"/>
                    <w:jc w:val="center"/>
                    <w:rPr>
                      <w:sz w:val="18"/>
                      <w:szCs w:val="18"/>
                    </w:rPr>
                  </w:pPr>
                  <w:r>
                    <w:rPr>
                      <w:sz w:val="18"/>
                      <w:szCs w:val="18"/>
                    </w:rPr>
                    <w:t>监测因子</w:t>
                  </w:r>
                </w:p>
              </w:tc>
              <w:tc>
                <w:tcPr>
                  <w:tcW w:w="824" w:type="pct"/>
                  <w:tcBorders>
                    <w:tl2br w:val="nil"/>
                    <w:tr2bl w:val="nil"/>
                  </w:tcBorders>
                  <w:vAlign w:val="center"/>
                </w:tcPr>
                <w:p>
                  <w:pPr>
                    <w:spacing w:line="280" w:lineRule="exact"/>
                    <w:ind w:firstLine="0" w:firstLineChars="0"/>
                    <w:jc w:val="center"/>
                    <w:rPr>
                      <w:sz w:val="18"/>
                      <w:szCs w:val="18"/>
                    </w:rPr>
                  </w:pPr>
                  <w:r>
                    <w:rPr>
                      <w:sz w:val="18"/>
                      <w:szCs w:val="18"/>
                    </w:rPr>
                    <w:t>监测频次</w:t>
                  </w:r>
                </w:p>
              </w:tc>
              <w:tc>
                <w:tcPr>
                  <w:tcW w:w="2326" w:type="pct"/>
                  <w:tcBorders>
                    <w:tl2br w:val="nil"/>
                    <w:tr2bl w:val="nil"/>
                  </w:tcBorders>
                  <w:vAlign w:val="center"/>
                </w:tcPr>
                <w:p>
                  <w:pPr>
                    <w:spacing w:line="280" w:lineRule="exact"/>
                    <w:ind w:firstLine="0" w:firstLineChars="0"/>
                    <w:jc w:val="center"/>
                    <w:rPr>
                      <w:sz w:val="18"/>
                      <w:szCs w:val="18"/>
                    </w:rPr>
                  </w:pPr>
                  <w:r>
                    <w:rPr>
                      <w:sz w:val="18"/>
                      <w:szCs w:val="18"/>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28" w:type="pct"/>
                  <w:tcBorders>
                    <w:tl2br w:val="nil"/>
                    <w:tr2bl w:val="nil"/>
                  </w:tcBorders>
                  <w:vAlign w:val="center"/>
                </w:tcPr>
                <w:p>
                  <w:pPr>
                    <w:spacing w:line="280" w:lineRule="exact"/>
                    <w:ind w:firstLine="0" w:firstLineChars="0"/>
                    <w:jc w:val="center"/>
                    <w:rPr>
                      <w:sz w:val="18"/>
                      <w:szCs w:val="18"/>
                    </w:rPr>
                  </w:pPr>
                  <w:r>
                    <w:rPr>
                      <w:sz w:val="18"/>
                      <w:szCs w:val="18"/>
                    </w:rPr>
                    <w:t>厂界外1m处</w:t>
                  </w:r>
                </w:p>
              </w:tc>
              <w:tc>
                <w:tcPr>
                  <w:tcW w:w="1020" w:type="pct"/>
                  <w:tcBorders>
                    <w:tl2br w:val="nil"/>
                    <w:tr2bl w:val="nil"/>
                  </w:tcBorders>
                  <w:vAlign w:val="center"/>
                </w:tcPr>
                <w:p>
                  <w:pPr>
                    <w:spacing w:line="280" w:lineRule="exact"/>
                    <w:ind w:firstLine="0" w:firstLineChars="0"/>
                    <w:jc w:val="center"/>
                    <w:rPr>
                      <w:sz w:val="18"/>
                      <w:szCs w:val="18"/>
                    </w:rPr>
                  </w:pPr>
                  <w:r>
                    <w:rPr>
                      <w:sz w:val="18"/>
                      <w:szCs w:val="18"/>
                    </w:rPr>
                    <w:t>连续等效A声级</w:t>
                  </w:r>
                </w:p>
              </w:tc>
              <w:tc>
                <w:tcPr>
                  <w:tcW w:w="824" w:type="pct"/>
                  <w:tcBorders>
                    <w:tl2br w:val="nil"/>
                    <w:tr2bl w:val="nil"/>
                  </w:tcBorders>
                  <w:vAlign w:val="center"/>
                </w:tcPr>
                <w:p>
                  <w:pPr>
                    <w:spacing w:line="280" w:lineRule="exact"/>
                    <w:ind w:firstLine="0" w:firstLineChars="0"/>
                    <w:jc w:val="center"/>
                    <w:rPr>
                      <w:sz w:val="18"/>
                      <w:szCs w:val="18"/>
                    </w:rPr>
                  </w:pPr>
                  <w:r>
                    <w:rPr>
                      <w:sz w:val="18"/>
                      <w:szCs w:val="18"/>
                    </w:rPr>
                    <w:t>每季度1次</w:t>
                  </w:r>
                </w:p>
              </w:tc>
              <w:tc>
                <w:tcPr>
                  <w:tcW w:w="2326" w:type="pct"/>
                  <w:tcBorders>
                    <w:tl2br w:val="nil"/>
                    <w:tr2bl w:val="nil"/>
                  </w:tcBorders>
                  <w:vAlign w:val="center"/>
                </w:tcPr>
                <w:p>
                  <w:pPr>
                    <w:spacing w:line="280" w:lineRule="exact"/>
                    <w:ind w:firstLine="0" w:firstLineChars="0"/>
                    <w:jc w:val="center"/>
                    <w:rPr>
                      <w:sz w:val="18"/>
                      <w:szCs w:val="18"/>
                    </w:rPr>
                  </w:pPr>
                  <w:r>
                    <w:rPr>
                      <w:sz w:val="18"/>
                      <w:szCs w:val="18"/>
                    </w:rPr>
                    <w:t>《工业企业厂界环境噪声排放标准》</w:t>
                  </w:r>
                  <w:r>
                    <w:rPr>
                      <w:rFonts w:hint="eastAsia"/>
                      <w:sz w:val="18"/>
                      <w:szCs w:val="18"/>
                    </w:rPr>
                    <w:t>(</w:t>
                  </w:r>
                  <w:r>
                    <w:rPr>
                      <w:sz w:val="18"/>
                      <w:szCs w:val="18"/>
                    </w:rPr>
                    <w:t>GB12348-2008</w:t>
                  </w:r>
                  <w:r>
                    <w:rPr>
                      <w:rFonts w:hint="eastAsia"/>
                      <w:sz w:val="18"/>
                      <w:szCs w:val="18"/>
                    </w:rPr>
                    <w:t>)3、4</w:t>
                  </w:r>
                  <w:r>
                    <w:rPr>
                      <w:sz w:val="18"/>
                      <w:szCs w:val="18"/>
                    </w:rPr>
                    <w:t>类标准</w:t>
                  </w:r>
                </w:p>
              </w:tc>
            </w:tr>
          </w:tbl>
          <w:p>
            <w:pPr>
              <w:ind w:firstLine="480"/>
            </w:pPr>
            <w:r>
              <w:rPr>
                <w:rFonts w:hint="eastAsia"/>
              </w:rPr>
              <w:t>(3)</w:t>
            </w:r>
            <w:r>
              <w:t>达标情况分析</w:t>
            </w:r>
          </w:p>
          <w:p>
            <w:pPr>
              <w:ind w:firstLine="480"/>
              <w:jc w:val="both"/>
            </w:pPr>
            <w:r>
              <w:t>据预测结果，本项目四周厂界</w:t>
            </w:r>
            <w:r>
              <w:rPr>
                <w:rFonts w:hint="eastAsia"/>
              </w:rPr>
              <w:t>昼间</w:t>
            </w:r>
            <w:r>
              <w:t>噪声</w:t>
            </w:r>
            <w:r>
              <w:rPr>
                <w:rFonts w:hint="eastAsia"/>
              </w:rPr>
              <w:t>预测值</w:t>
            </w:r>
            <w:r>
              <w:rPr>
                <w:highlight w:val="none"/>
              </w:rPr>
              <w:t>为</w:t>
            </w:r>
            <w:r>
              <w:rPr>
                <w:rFonts w:hint="eastAsia"/>
                <w:highlight w:val="none"/>
              </w:rPr>
              <w:t>60-64</w:t>
            </w:r>
            <w:r>
              <w:rPr>
                <w:highlight w:val="none"/>
              </w:rPr>
              <w:t>dB(A)，</w:t>
            </w:r>
            <w:r>
              <w:rPr>
                <w:rFonts w:hint="eastAsia"/>
                <w:highlight w:val="none"/>
              </w:rPr>
              <w:t>夜间为50-54</w:t>
            </w:r>
            <w:r>
              <w:rPr>
                <w:highlight w:val="none"/>
              </w:rPr>
              <w:t>dB(A)</w:t>
            </w:r>
            <w:r>
              <w:rPr>
                <w:rFonts w:hint="eastAsia"/>
                <w:highlight w:val="none"/>
              </w:rPr>
              <w:t>，厂界噪声能够满足《工业企业厂界环</w:t>
            </w:r>
            <w:r>
              <w:rPr>
                <w:rFonts w:hint="eastAsia"/>
              </w:rPr>
              <w:t>境噪声排放标准》(GB12348-2008)3类、4类标准。</w:t>
            </w:r>
          </w:p>
          <w:p>
            <w:pPr>
              <w:ind w:firstLine="480"/>
            </w:pPr>
            <w:r>
              <w:rPr>
                <w:rFonts w:hint="eastAsia"/>
              </w:rPr>
              <w:t>4</w:t>
            </w:r>
            <w:r>
              <w:t>、固体废物环境影响分析</w:t>
            </w:r>
          </w:p>
          <w:p>
            <w:pPr>
              <w:ind w:firstLine="480"/>
              <w:jc w:val="both"/>
            </w:pPr>
            <w:r>
              <w:rPr>
                <w:rFonts w:hint="eastAsia"/>
              </w:rPr>
              <w:t>(1)一般固废</w:t>
            </w:r>
          </w:p>
          <w:p>
            <w:pPr>
              <w:ind w:firstLine="480"/>
              <w:jc w:val="both"/>
            </w:pPr>
            <w:r>
              <w:rPr>
                <w:rFonts w:hint="eastAsia"/>
              </w:rPr>
              <w:t>①除尘灰：除尘灰主要成分为</w:t>
            </w:r>
            <m:oMath>
              <m:r>
                <m:rPr>
                  <m:sty m:val="p"/>
                </m:rPr>
                <w:rPr>
                  <w:rFonts w:ascii="Cambria Math" w:hAnsi="Cambria Math"/>
                </w:rPr>
                <m:t>N</m:t>
              </m:r>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ctrlPr>
                    <w:rPr>
                      <w:rFonts w:ascii="Cambria Math" w:hAnsi="Cambria Math"/>
                    </w:rPr>
                  </m:ctrlPr>
                </m:e>
                <m:sub>
                  <m:r>
                    <m:rPr>
                      <m:sty m:val="p"/>
                    </m:rPr>
                    <w:rPr>
                      <w:rFonts w:ascii="Cambria Math" w:hAnsi="Cambria Math"/>
                    </w:rPr>
                    <m:t>4</m:t>
                  </m:r>
                  <m:ctrlPr>
                    <w:rPr>
                      <w:rFonts w:ascii="Cambria Math" w:hAnsi="Cambria Math"/>
                    </w:rPr>
                  </m:ctrlPr>
                </m:sub>
              </m:sSub>
            </m:oMath>
            <w:r>
              <w:rPr>
                <w:rFonts w:hint="eastAsia" w:hAnsi="Cambria Math"/>
              </w:rPr>
              <w:t>，产生量约为</w:t>
            </w:r>
            <w:r>
              <w:rPr>
                <w:rFonts w:hint="eastAsia" w:hAnsi="Cambria Math"/>
                <w:lang w:eastAsia="zh-CN"/>
              </w:rPr>
              <w:t>1173</w:t>
            </w:r>
            <w:r>
              <w:rPr>
                <w:rFonts w:hint="eastAsia" w:hAnsi="Cambria Math"/>
              </w:rPr>
              <w:t>t/a，</w:t>
            </w:r>
            <w:r>
              <w:rPr>
                <w:rFonts w:hint="eastAsia"/>
              </w:rPr>
              <w:t>采用正压气力输灰系统将除尘器灰斗收集的飞灰输送至灰库，</w:t>
            </w:r>
            <w:r>
              <w:rPr>
                <w:rFonts w:hint="eastAsia" w:hAnsi="Cambria Math"/>
              </w:rPr>
              <w:t>作为化工原料外售。</w:t>
            </w:r>
          </w:p>
          <w:p>
            <w:pPr>
              <w:widowControl/>
              <w:ind w:firstLine="480"/>
              <w:rPr>
                <w:rFonts w:hint="eastAsia" w:ascii="宋体" w:hAnsi="宋体" w:cs="宋体"/>
                <w:color w:val="000000"/>
                <w:kern w:val="0"/>
                <w:lang w:bidi="ar"/>
              </w:rPr>
            </w:pPr>
            <w:r>
              <w:rPr>
                <w:rFonts w:hint="eastAsia"/>
              </w:rPr>
              <w:t>②废树脂：除盐水生产过程中产生的废树脂进行电化学再生，循环利用</w:t>
            </w:r>
            <w:r>
              <w:rPr>
                <w:rFonts w:hint="eastAsia" w:ascii="宋体" w:hAnsi="宋体" w:cs="宋体"/>
                <w:color w:val="000000"/>
                <w:kern w:val="0"/>
                <w:lang w:bidi="ar"/>
              </w:rPr>
              <w:t>。</w:t>
            </w:r>
          </w:p>
          <w:p>
            <w:pPr>
              <w:widowControl/>
              <w:ind w:firstLine="480"/>
              <w:rPr>
                <w:rFonts w:hint="default" w:eastAsia="宋体"/>
                <w:lang w:val="en-US" w:eastAsia="zh-CN"/>
              </w:rPr>
            </w:pPr>
            <w:r>
              <w:rPr>
                <w:rFonts w:hint="eastAsia"/>
                <w:lang w:val="en-US" w:eastAsia="zh-CN"/>
              </w:rPr>
              <w:t>③</w:t>
            </w:r>
            <w:r>
              <w:rPr>
                <w:rFonts w:hint="eastAsia"/>
              </w:rPr>
              <w:t>废</w:t>
            </w:r>
            <w:r>
              <w:rPr>
                <w:rFonts w:hint="eastAsia"/>
                <w:lang w:val="en-US" w:eastAsia="zh-CN"/>
              </w:rPr>
              <w:t>布袋</w:t>
            </w:r>
            <w:r>
              <w:rPr>
                <w:rFonts w:hint="eastAsia"/>
              </w:rPr>
              <w:t>：</w:t>
            </w:r>
            <w:r>
              <w:rPr>
                <w:rFonts w:hint="eastAsia"/>
                <w:lang w:val="en-US" w:eastAsia="zh-CN"/>
              </w:rPr>
              <w:t>除尘器产生的废布袋产生量约为0.1t/a，在灰库内暂存，定期由厂家回收利用。</w:t>
            </w:r>
          </w:p>
          <w:p>
            <w:pPr>
              <w:ind w:firstLine="480"/>
              <w:jc w:val="both"/>
            </w:pPr>
            <w:r>
              <w:rPr>
                <w:rFonts w:hint="eastAsia"/>
              </w:rPr>
              <w:t>(2)危险废物</w:t>
            </w:r>
          </w:p>
          <w:p>
            <w:pPr>
              <w:widowControl/>
              <w:ind w:firstLine="480"/>
            </w:pPr>
            <w:r>
              <w:rPr>
                <w:rFonts w:hint="eastAsia"/>
              </w:rPr>
              <w:t>废SCR催化剂：</w:t>
            </w:r>
            <w:r>
              <w:t>根据《国家危险废物名录》</w:t>
            </w:r>
            <w:r>
              <w:rPr>
                <w:rFonts w:hint="eastAsia"/>
              </w:rPr>
              <w:t>(</w:t>
            </w:r>
            <w:r>
              <w:t>2021年版</w:t>
            </w:r>
            <w:r>
              <w:rPr>
                <w:rFonts w:hint="eastAsia"/>
              </w:rPr>
              <w:t>)</w:t>
            </w:r>
            <w:r>
              <w:t>，</w:t>
            </w:r>
            <w:r>
              <w:rPr>
                <w:rFonts w:hint="eastAsia"/>
              </w:rPr>
              <w:t>废催化剂属</w:t>
            </w:r>
            <w:r>
              <w:t>于</w:t>
            </w:r>
            <w:r>
              <w:rPr>
                <w:rFonts w:hint="eastAsia"/>
              </w:rPr>
              <w:t>“HW50废催化剂”，废催化剂的代码为“772-007-50烟气脱硝过程中产生的废钒钛系催化剂”，</w:t>
            </w:r>
            <w:r>
              <w:t>产生量为</w:t>
            </w:r>
            <w:r>
              <w:rPr>
                <w:color w:val="000000"/>
              </w:rPr>
              <w:t>10t/3a</w:t>
            </w:r>
            <w:r>
              <w:rPr>
                <w:rFonts w:hint="eastAsia"/>
                <w:color w:val="000000"/>
              </w:rPr>
              <w:t>。</w:t>
            </w:r>
          </w:p>
          <w:p>
            <w:pPr>
              <w:widowControl/>
              <w:ind w:firstLine="480"/>
            </w:pPr>
            <w:r>
              <w:rPr>
                <w:rFonts w:hint="eastAsia"/>
              </w:rPr>
              <w:t>废滤芯、滤纸和滤网：</w:t>
            </w:r>
            <w:r>
              <w:t>根据《国家危险废物名录》</w:t>
            </w:r>
            <w:r>
              <w:rPr>
                <w:rFonts w:hint="eastAsia"/>
              </w:rPr>
              <w:t>(</w:t>
            </w:r>
            <w:r>
              <w:t>2021年版</w:t>
            </w:r>
            <w:r>
              <w:rPr>
                <w:rFonts w:hint="eastAsia"/>
              </w:rPr>
              <w:t>)</w:t>
            </w:r>
            <w:r>
              <w:t>，</w:t>
            </w:r>
            <w:r>
              <w:rPr>
                <w:rFonts w:hint="eastAsia"/>
              </w:rPr>
              <w:t>废滤芯、滤纸和滤网属于“HW49其他废物”，废催化剂的代码为“900-041-49含有或沾染毒性、感染性危险废物的废弃包装物、容器、过滤吸附介质”，产生量为0.5t/a。</w:t>
            </w:r>
          </w:p>
          <w:p>
            <w:pPr>
              <w:snapToGrid w:val="0"/>
              <w:ind w:firstLine="480"/>
              <w:jc w:val="both"/>
            </w:pPr>
            <w:r>
              <w:t>废</w:t>
            </w:r>
            <w:r>
              <w:rPr>
                <w:rFonts w:hint="eastAsia"/>
              </w:rPr>
              <w:t>矿物油(废润滑油、废液压油)</w:t>
            </w:r>
            <w:r>
              <w:t>：根据《国家危险废物名录》</w:t>
            </w:r>
            <w:r>
              <w:rPr>
                <w:rFonts w:hint="eastAsia"/>
              </w:rPr>
              <w:t>(</w:t>
            </w:r>
            <w:r>
              <w:t>2021年版</w:t>
            </w:r>
            <w:r>
              <w:rPr>
                <w:rFonts w:hint="eastAsia"/>
              </w:rPr>
              <w:t>)</w:t>
            </w:r>
            <w:r>
              <w:t>，废液压油、废润滑油于“HW08废矿物油与含矿物油废物”，废液压油废物代码为“900-218-08液压设备维护、更换和拆解过程中产生的废液压油”</w:t>
            </w:r>
            <w:r>
              <w:rPr>
                <w:rFonts w:hint="eastAsia"/>
              </w:rPr>
              <w:t>，</w:t>
            </w:r>
            <w:r>
              <w:t>年产生量为</w:t>
            </w:r>
            <w:r>
              <w:rPr>
                <w:rFonts w:hint="eastAsia"/>
              </w:rPr>
              <w:t>0.6</w:t>
            </w:r>
            <w:r>
              <w:t>t/a；废润滑油废物代码为“900-214-08车辆、机械维修和拆解过程中产生的废发动机油、制动器油、自动变速器油、齿轮油等废润滑油”</w:t>
            </w:r>
            <w:r>
              <w:rPr>
                <w:rFonts w:hint="eastAsia"/>
              </w:rPr>
              <w:t>，</w:t>
            </w:r>
            <w:r>
              <w:t>年产生量为</w:t>
            </w:r>
            <w:r>
              <w:rPr>
                <w:rFonts w:hint="eastAsia"/>
              </w:rPr>
              <w:t>0.2</w:t>
            </w:r>
            <w:r>
              <w:t>t/a；桶装收集后，暂存厂区危废间，交有资质单位处理。</w:t>
            </w:r>
          </w:p>
          <w:p>
            <w:pPr>
              <w:widowControl/>
              <w:ind w:firstLine="480"/>
            </w:pPr>
            <w:r>
              <w:t>废油桶：根据《国家危险废物名录》(2021年)，项目废油桶属于HW08，危险废物代码为</w:t>
            </w:r>
            <w:r>
              <w:rPr>
                <w:rFonts w:hint="eastAsia"/>
              </w:rPr>
              <w:t>“900-249-08其他生产、销售、使用过程中产生的废矿物油及沾染矿物油的废弃包装物</w:t>
            </w:r>
            <w:r>
              <w:t>类危险废物</w:t>
            </w:r>
            <w:r>
              <w:rPr>
                <w:rFonts w:hint="eastAsia"/>
              </w:rPr>
              <w:t>”</w:t>
            </w:r>
            <w:r>
              <w:t>。项目废油桶年产生量为</w:t>
            </w:r>
            <w:r>
              <w:rPr>
                <w:rFonts w:hint="eastAsia"/>
              </w:rPr>
              <w:t>0.03</w:t>
            </w:r>
            <w:r>
              <w:t>t/a，收集后，暂存厂区危废间，交有资质单位处理。</w:t>
            </w:r>
          </w:p>
          <w:p>
            <w:pPr>
              <w:ind w:firstLine="480"/>
              <w:jc w:val="both"/>
            </w:pPr>
            <w:r>
              <w:rPr>
                <w:rFonts w:hint="eastAsia"/>
                <w:bCs/>
                <w:color w:val="000000"/>
                <w:kern w:val="24"/>
              </w:rPr>
              <w:t>固体</w:t>
            </w:r>
            <w:r>
              <w:rPr>
                <w:bCs/>
                <w:color w:val="000000"/>
                <w:kern w:val="24"/>
              </w:rPr>
              <w:t>废物</w:t>
            </w:r>
            <w:r>
              <w:rPr>
                <w:rFonts w:hint="eastAsia"/>
                <w:bCs/>
                <w:color w:val="000000"/>
                <w:kern w:val="24"/>
              </w:rPr>
              <w:t>产生量和处理情况见表</w:t>
            </w:r>
            <w:r>
              <w:rPr>
                <w:rFonts w:hint="eastAsia"/>
                <w:bCs/>
                <w:color w:val="000000"/>
                <w:kern w:val="24"/>
                <w:lang w:val="en-US" w:eastAsia="zh-CN"/>
              </w:rPr>
              <w:t>42</w:t>
            </w:r>
            <w:r>
              <w:rPr>
                <w:rFonts w:hint="eastAsia"/>
                <w:bCs/>
                <w:color w:val="000000"/>
                <w:kern w:val="24"/>
              </w:rPr>
              <w:t>。</w:t>
            </w:r>
          </w:p>
          <w:p>
            <w:pPr>
              <w:ind w:firstLine="0" w:firstLineChars="0"/>
              <w:jc w:val="center"/>
              <w:rPr>
                <w:b/>
                <w:bCs/>
              </w:rPr>
            </w:pPr>
            <w:r>
              <w:rPr>
                <w:b/>
                <w:bCs/>
              </w:rPr>
              <w:t>表</w:t>
            </w:r>
            <w:r>
              <w:rPr>
                <w:rFonts w:hint="eastAsia"/>
                <w:b/>
                <w:bCs/>
                <w:lang w:val="en-US" w:eastAsia="zh-CN"/>
              </w:rPr>
              <w:t>42</w:t>
            </w:r>
            <w:r>
              <w:rPr>
                <w:b/>
                <w:bCs/>
              </w:rPr>
              <w:t xml:space="preserve">    固体废物产生情况一览表   单位t/a</w:t>
            </w:r>
          </w:p>
          <w:tbl>
            <w:tblPr>
              <w:tblStyle w:val="7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2"/>
              <w:gridCol w:w="571"/>
              <w:gridCol w:w="988"/>
              <w:gridCol w:w="669"/>
              <w:gridCol w:w="268"/>
              <w:gridCol w:w="409"/>
              <w:gridCol w:w="566"/>
              <w:gridCol w:w="509"/>
              <w:gridCol w:w="737"/>
              <w:gridCol w:w="568"/>
              <w:gridCol w:w="1272"/>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产生环节</w:t>
                  </w:r>
                </w:p>
              </w:tc>
              <w:tc>
                <w:tcPr>
                  <w:tcW w:w="36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名称</w:t>
                  </w:r>
                </w:p>
              </w:tc>
              <w:tc>
                <w:tcPr>
                  <w:tcW w:w="623"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代码</w:t>
                  </w:r>
                </w:p>
              </w:tc>
              <w:tc>
                <w:tcPr>
                  <w:tcW w:w="4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主要有毒有害物质名称</w:t>
                  </w:r>
                </w:p>
              </w:tc>
              <w:tc>
                <w:tcPr>
                  <w:tcW w:w="169"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物理性状</w:t>
                  </w:r>
                </w:p>
              </w:tc>
              <w:tc>
                <w:tcPr>
                  <w:tcW w:w="2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环境危险特性</w:t>
                  </w:r>
                </w:p>
              </w:tc>
              <w:tc>
                <w:tcPr>
                  <w:tcW w:w="35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年度产生量</w:t>
                  </w:r>
                </w:p>
              </w:tc>
              <w:tc>
                <w:tcPr>
                  <w:tcW w:w="321"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贮存方式</w:t>
                  </w:r>
                </w:p>
              </w:tc>
              <w:tc>
                <w:tcPr>
                  <w:tcW w:w="465"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利用及处置方式和去向</w:t>
                  </w:r>
                </w:p>
              </w:tc>
              <w:tc>
                <w:tcPr>
                  <w:tcW w:w="3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利用或处置量</w:t>
                  </w:r>
                </w:p>
              </w:tc>
              <w:tc>
                <w:tcPr>
                  <w:tcW w:w="1443" w:type="pct"/>
                  <w:gridSpan w:val="2"/>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2" w:type="pct"/>
                  <w:tcBorders>
                    <w:tl2br w:val="nil"/>
                    <w:tr2bl w:val="nil"/>
                  </w:tcBorders>
                  <w:tcMar>
                    <w:top w:w="15" w:type="dxa"/>
                    <w:left w:w="15" w:type="dxa"/>
                    <w:right w:w="15" w:type="dxa"/>
                  </w:tcMar>
                  <w:vAlign w:val="center"/>
                </w:tcPr>
                <w:p>
                  <w:pPr>
                    <w:pStyle w:val="128"/>
                    <w:spacing w:beforeLines="0" w:afterLines="0" w:line="240" w:lineRule="auto"/>
                    <w:ind w:firstLine="0" w:firstLineChars="0"/>
                    <w:rPr>
                      <w:sz w:val="18"/>
                      <w:szCs w:val="18"/>
                    </w:rPr>
                  </w:pPr>
                  <w:r>
                    <w:rPr>
                      <w:rFonts w:hint="eastAsia"/>
                      <w:sz w:val="18"/>
                      <w:szCs w:val="18"/>
                    </w:rPr>
                    <w:t>除尘</w:t>
                  </w:r>
                </w:p>
              </w:tc>
              <w:tc>
                <w:tcPr>
                  <w:tcW w:w="360" w:type="pct"/>
                  <w:tcBorders>
                    <w:tl2br w:val="nil"/>
                    <w:tr2bl w:val="nil"/>
                  </w:tcBorders>
                  <w:tcMar>
                    <w:top w:w="15" w:type="dxa"/>
                    <w:left w:w="15" w:type="dxa"/>
                    <w:right w:w="15" w:type="dxa"/>
                  </w:tcMar>
                  <w:vAlign w:val="center"/>
                </w:tcPr>
                <w:p>
                  <w:pPr>
                    <w:pStyle w:val="128"/>
                    <w:spacing w:beforeLines="0" w:afterLines="0" w:line="240" w:lineRule="auto"/>
                    <w:ind w:firstLine="0" w:firstLineChars="0"/>
                    <w:rPr>
                      <w:rFonts w:ascii="Times New Roman"/>
                      <w:sz w:val="18"/>
                      <w:szCs w:val="18"/>
                    </w:rPr>
                  </w:pPr>
                  <w:r>
                    <w:rPr>
                      <w:rFonts w:ascii="Times New Roman"/>
                      <w:sz w:val="18"/>
                      <w:szCs w:val="18"/>
                    </w:rPr>
                    <w:t>除尘灰</w:t>
                  </w:r>
                </w:p>
              </w:tc>
              <w:tc>
                <w:tcPr>
                  <w:tcW w:w="623" w:type="pct"/>
                  <w:tcBorders>
                    <w:tl2br w:val="nil"/>
                    <w:tr2bl w:val="nil"/>
                  </w:tcBorders>
                  <w:tcMar>
                    <w:top w:w="15" w:type="dxa"/>
                    <w:left w:w="15" w:type="dxa"/>
                    <w:right w:w="15" w:type="dxa"/>
                  </w:tcMar>
                  <w:vAlign w:val="center"/>
                </w:tcPr>
                <w:p>
                  <w:pPr>
                    <w:pStyle w:val="111"/>
                    <w:adjustRightInd/>
                    <w:spacing w:line="280" w:lineRule="exact"/>
                    <w:ind w:firstLine="0" w:firstLineChars="0"/>
                    <w:rPr>
                      <w:rFonts w:ascii="Times New Roman"/>
                      <w:color w:val="auto"/>
                      <w:kern w:val="0"/>
                      <w:sz w:val="18"/>
                      <w:szCs w:val="18"/>
                      <w:lang w:bidi="ar"/>
                    </w:rPr>
                  </w:pPr>
                  <w:r>
                    <w:rPr>
                      <w:rFonts w:ascii="Times New Roman"/>
                      <w:color w:val="auto"/>
                      <w:kern w:val="0"/>
                      <w:sz w:val="18"/>
                      <w:szCs w:val="18"/>
                      <w:lang w:bidi="ar"/>
                    </w:rPr>
                    <w:t>441-999-66</w:t>
                  </w:r>
                </w:p>
              </w:tc>
              <w:tc>
                <w:tcPr>
                  <w:tcW w:w="4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ascii="宋体"/>
                      <w:kern w:val="0"/>
                      <w:sz w:val="18"/>
                      <w:szCs w:val="18"/>
                      <w:lang w:bidi="ar"/>
                    </w:rPr>
                  </w:pPr>
                  <w:r>
                    <w:rPr>
                      <w:rFonts w:hint="eastAsia" w:ascii="宋体"/>
                      <w:kern w:val="0"/>
                      <w:sz w:val="18"/>
                      <w:szCs w:val="18"/>
                      <w:lang w:bidi="ar"/>
                    </w:rPr>
                    <w:t>无</w:t>
                  </w:r>
                </w:p>
              </w:tc>
              <w:tc>
                <w:tcPr>
                  <w:tcW w:w="169"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固体</w:t>
                  </w:r>
                </w:p>
              </w:tc>
              <w:tc>
                <w:tcPr>
                  <w:tcW w:w="2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无</w:t>
                  </w:r>
                </w:p>
              </w:tc>
              <w:tc>
                <w:tcPr>
                  <w:tcW w:w="35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eastAsia" w:eastAsia="宋体"/>
                      <w:kern w:val="0"/>
                      <w:sz w:val="18"/>
                      <w:szCs w:val="18"/>
                      <w:lang w:eastAsia="zh-CN" w:bidi="ar"/>
                    </w:rPr>
                  </w:pPr>
                  <w:r>
                    <w:rPr>
                      <w:rFonts w:hint="eastAsia"/>
                      <w:kern w:val="0"/>
                      <w:sz w:val="18"/>
                      <w:szCs w:val="18"/>
                      <w:lang w:eastAsia="zh-CN" w:bidi="ar"/>
                    </w:rPr>
                    <w:t>1173</w:t>
                  </w:r>
                </w:p>
              </w:tc>
              <w:tc>
                <w:tcPr>
                  <w:tcW w:w="786" w:type="pct"/>
                  <w:gridSpan w:val="2"/>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r>
                    <w:rPr>
                      <w:rFonts w:hint="eastAsia"/>
                      <w:sz w:val="18"/>
                      <w:szCs w:val="18"/>
                    </w:rPr>
                    <w:t>统一收集后作为化工原料外售</w:t>
                  </w:r>
                </w:p>
              </w:tc>
              <w:tc>
                <w:tcPr>
                  <w:tcW w:w="3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eastAsia" w:eastAsia="宋体"/>
                      <w:kern w:val="0"/>
                      <w:sz w:val="18"/>
                      <w:szCs w:val="18"/>
                      <w:lang w:eastAsia="zh-CN" w:bidi="ar"/>
                    </w:rPr>
                  </w:pPr>
                  <w:r>
                    <w:rPr>
                      <w:rFonts w:hint="eastAsia"/>
                      <w:kern w:val="0"/>
                      <w:sz w:val="18"/>
                      <w:szCs w:val="18"/>
                      <w:lang w:eastAsia="zh-CN" w:bidi="ar"/>
                    </w:rPr>
                    <w:t>1173</w:t>
                  </w:r>
                </w:p>
              </w:tc>
              <w:tc>
                <w:tcPr>
                  <w:tcW w:w="80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eastAsia="宋体"/>
                      <w:kern w:val="0"/>
                      <w:sz w:val="18"/>
                      <w:szCs w:val="18"/>
                      <w:lang w:val="en-US" w:eastAsia="zh-CN" w:bidi="ar"/>
                    </w:rPr>
                  </w:pPr>
                  <w:r>
                    <w:rPr>
                      <w:rFonts w:hint="eastAsia"/>
                      <w:kern w:val="0"/>
                      <w:sz w:val="18"/>
                      <w:szCs w:val="18"/>
                      <w:lang w:val="en-US" w:eastAsia="zh-CN" w:bidi="ar"/>
                    </w:rPr>
                    <w:t>灰库内存储</w:t>
                  </w:r>
                </w:p>
              </w:tc>
              <w:tc>
                <w:tcPr>
                  <w:tcW w:w="640" w:type="pct"/>
                  <w:vMerge w:val="restar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eastAsia="宋体"/>
                      <w:sz w:val="18"/>
                      <w:szCs w:val="18"/>
                      <w:lang w:val="en-US" w:eastAsia="zh-CN"/>
                    </w:rPr>
                  </w:pPr>
                  <w:r>
                    <w:rPr>
                      <w:rFonts w:hint="eastAsia"/>
                      <w:sz w:val="18"/>
                      <w:szCs w:val="18"/>
                      <w:lang w:val="en-US" w:eastAsia="zh-CN"/>
                    </w:rPr>
                    <w:t>合理处置，满足防渗、防雨淋、防扬尘等要求。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222" w:type="pct"/>
                  <w:tcBorders>
                    <w:tl2br w:val="nil"/>
                    <w:tr2bl w:val="nil"/>
                  </w:tcBorders>
                  <w:tcMar>
                    <w:top w:w="15" w:type="dxa"/>
                    <w:left w:w="15" w:type="dxa"/>
                    <w:right w:w="15" w:type="dxa"/>
                  </w:tcMar>
                  <w:vAlign w:val="center"/>
                </w:tcPr>
                <w:p>
                  <w:pPr>
                    <w:pStyle w:val="128"/>
                    <w:spacing w:beforeLines="0" w:afterLines="0" w:line="240" w:lineRule="auto"/>
                    <w:ind w:firstLine="0" w:firstLineChars="0"/>
                    <w:rPr>
                      <w:sz w:val="18"/>
                      <w:szCs w:val="18"/>
                    </w:rPr>
                  </w:pPr>
                  <w:r>
                    <w:rPr>
                      <w:rFonts w:hint="eastAsia"/>
                      <w:sz w:val="18"/>
                      <w:szCs w:val="18"/>
                    </w:rPr>
                    <w:t>除盐水生产</w:t>
                  </w:r>
                </w:p>
              </w:tc>
              <w:tc>
                <w:tcPr>
                  <w:tcW w:w="360" w:type="pct"/>
                  <w:tcBorders>
                    <w:tl2br w:val="nil"/>
                    <w:tr2bl w:val="nil"/>
                  </w:tcBorders>
                  <w:tcMar>
                    <w:top w:w="15" w:type="dxa"/>
                    <w:left w:w="15" w:type="dxa"/>
                    <w:right w:w="15" w:type="dxa"/>
                  </w:tcMar>
                  <w:vAlign w:val="center"/>
                </w:tcPr>
                <w:p>
                  <w:pPr>
                    <w:pStyle w:val="128"/>
                    <w:spacing w:beforeLines="0" w:afterLines="0" w:line="240" w:lineRule="auto"/>
                    <w:ind w:firstLine="0" w:firstLineChars="0"/>
                    <w:rPr>
                      <w:rFonts w:ascii="Times New Roman"/>
                      <w:sz w:val="18"/>
                      <w:szCs w:val="18"/>
                    </w:rPr>
                  </w:pPr>
                  <w:r>
                    <w:rPr>
                      <w:rFonts w:hint="eastAsia" w:ascii="Times New Roman"/>
                      <w:sz w:val="18"/>
                      <w:szCs w:val="18"/>
                    </w:rPr>
                    <w:t>废树脂</w:t>
                  </w:r>
                </w:p>
              </w:tc>
              <w:tc>
                <w:tcPr>
                  <w:tcW w:w="623" w:type="pct"/>
                  <w:tcBorders>
                    <w:tl2br w:val="nil"/>
                    <w:tr2bl w:val="nil"/>
                  </w:tcBorders>
                  <w:tcMar>
                    <w:top w:w="15" w:type="dxa"/>
                    <w:left w:w="15" w:type="dxa"/>
                    <w:right w:w="15" w:type="dxa"/>
                  </w:tcMar>
                  <w:vAlign w:val="center"/>
                </w:tcPr>
                <w:p>
                  <w:pPr>
                    <w:pStyle w:val="111"/>
                    <w:adjustRightInd/>
                    <w:spacing w:line="280" w:lineRule="exact"/>
                    <w:ind w:firstLine="0" w:firstLineChars="0"/>
                    <w:rPr>
                      <w:rFonts w:ascii="Times New Roman"/>
                      <w:color w:val="auto"/>
                      <w:kern w:val="0"/>
                      <w:sz w:val="18"/>
                      <w:szCs w:val="18"/>
                      <w:lang w:bidi="ar"/>
                    </w:rPr>
                  </w:pPr>
                  <w:r>
                    <w:rPr>
                      <w:rFonts w:ascii="Times New Roman"/>
                      <w:color w:val="auto"/>
                      <w:kern w:val="0"/>
                      <w:sz w:val="18"/>
                      <w:szCs w:val="18"/>
                      <w:lang w:bidi="ar"/>
                    </w:rPr>
                    <w:t>441-</w:t>
                  </w:r>
                  <w:r>
                    <w:rPr>
                      <w:rFonts w:hint="eastAsia" w:ascii="Times New Roman"/>
                      <w:color w:val="auto"/>
                      <w:kern w:val="0"/>
                      <w:sz w:val="18"/>
                      <w:szCs w:val="18"/>
                      <w:lang w:val="en-US" w:eastAsia="zh-CN" w:bidi="ar"/>
                    </w:rPr>
                    <w:t>999</w:t>
                  </w:r>
                  <w:r>
                    <w:rPr>
                      <w:rFonts w:ascii="Times New Roman"/>
                      <w:color w:val="auto"/>
                      <w:kern w:val="0"/>
                      <w:sz w:val="18"/>
                      <w:szCs w:val="18"/>
                      <w:lang w:bidi="ar"/>
                    </w:rPr>
                    <w:t>-99</w:t>
                  </w:r>
                </w:p>
              </w:tc>
              <w:tc>
                <w:tcPr>
                  <w:tcW w:w="4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ascii="宋体"/>
                      <w:kern w:val="0"/>
                      <w:sz w:val="18"/>
                      <w:szCs w:val="18"/>
                      <w:lang w:bidi="ar"/>
                    </w:rPr>
                  </w:pPr>
                  <w:r>
                    <w:rPr>
                      <w:rFonts w:hint="eastAsia" w:ascii="宋体"/>
                      <w:kern w:val="0"/>
                      <w:sz w:val="18"/>
                      <w:szCs w:val="18"/>
                      <w:lang w:bidi="ar"/>
                    </w:rPr>
                    <w:t>无</w:t>
                  </w:r>
                </w:p>
              </w:tc>
              <w:tc>
                <w:tcPr>
                  <w:tcW w:w="169"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固体</w:t>
                  </w:r>
                </w:p>
              </w:tc>
              <w:tc>
                <w:tcPr>
                  <w:tcW w:w="2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无</w:t>
                  </w:r>
                </w:p>
              </w:tc>
              <w:tc>
                <w:tcPr>
                  <w:tcW w:w="35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r>
                    <w:rPr>
                      <w:rFonts w:hint="eastAsia"/>
                      <w:kern w:val="0"/>
                      <w:sz w:val="18"/>
                      <w:szCs w:val="18"/>
                      <w:lang w:bidi="ar"/>
                    </w:rPr>
                    <w:t>5</w:t>
                  </w:r>
                </w:p>
              </w:tc>
              <w:tc>
                <w:tcPr>
                  <w:tcW w:w="786" w:type="pct"/>
                  <w:gridSpan w:val="2"/>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r>
                    <w:rPr>
                      <w:rFonts w:hint="eastAsia"/>
                      <w:sz w:val="18"/>
                      <w:szCs w:val="18"/>
                    </w:rPr>
                    <w:t>再生后循环使用</w:t>
                  </w:r>
                </w:p>
              </w:tc>
              <w:tc>
                <w:tcPr>
                  <w:tcW w:w="3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r>
                    <w:rPr>
                      <w:rFonts w:hint="eastAsia"/>
                      <w:kern w:val="0"/>
                      <w:sz w:val="18"/>
                      <w:szCs w:val="18"/>
                      <w:lang w:bidi="ar"/>
                    </w:rPr>
                    <w:t>0.66</w:t>
                  </w:r>
                </w:p>
              </w:tc>
              <w:tc>
                <w:tcPr>
                  <w:tcW w:w="80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eastAsia" w:eastAsia="宋体"/>
                      <w:sz w:val="18"/>
                      <w:szCs w:val="18"/>
                      <w:lang w:eastAsia="zh-CN"/>
                    </w:rPr>
                  </w:pPr>
                  <w:r>
                    <w:rPr>
                      <w:rFonts w:hint="eastAsia"/>
                      <w:sz w:val="18"/>
                      <w:szCs w:val="18"/>
                      <w:lang w:eastAsia="zh-CN"/>
                    </w:rPr>
                    <w:t>—</w:t>
                  </w:r>
                </w:p>
              </w:tc>
              <w:tc>
                <w:tcPr>
                  <w:tcW w:w="640" w:type="pct"/>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222" w:type="pct"/>
                  <w:tcBorders>
                    <w:tl2br w:val="nil"/>
                    <w:tr2bl w:val="nil"/>
                  </w:tcBorders>
                  <w:tcMar>
                    <w:top w:w="15" w:type="dxa"/>
                    <w:left w:w="15" w:type="dxa"/>
                    <w:right w:w="15" w:type="dxa"/>
                  </w:tcMar>
                  <w:vAlign w:val="center"/>
                </w:tcPr>
                <w:p>
                  <w:pPr>
                    <w:pStyle w:val="128"/>
                    <w:spacing w:beforeLines="0" w:afterLines="0" w:line="240" w:lineRule="auto"/>
                    <w:ind w:firstLine="0" w:firstLineChars="0"/>
                    <w:rPr>
                      <w:rFonts w:hint="eastAsia"/>
                      <w:sz w:val="18"/>
                      <w:szCs w:val="18"/>
                    </w:rPr>
                  </w:pPr>
                  <w:r>
                    <w:rPr>
                      <w:rFonts w:hint="eastAsia"/>
                      <w:sz w:val="18"/>
                      <w:szCs w:val="18"/>
                    </w:rPr>
                    <w:t>除尘</w:t>
                  </w:r>
                </w:p>
              </w:tc>
              <w:tc>
                <w:tcPr>
                  <w:tcW w:w="360" w:type="pct"/>
                  <w:tcBorders>
                    <w:tl2br w:val="nil"/>
                    <w:tr2bl w:val="nil"/>
                  </w:tcBorders>
                  <w:tcMar>
                    <w:top w:w="15" w:type="dxa"/>
                    <w:left w:w="15" w:type="dxa"/>
                    <w:right w:w="15" w:type="dxa"/>
                  </w:tcMar>
                  <w:vAlign w:val="center"/>
                </w:tcPr>
                <w:p>
                  <w:pPr>
                    <w:pStyle w:val="128"/>
                    <w:spacing w:beforeLines="0" w:afterLines="0" w:line="240" w:lineRule="auto"/>
                    <w:ind w:firstLine="0" w:firstLineChars="0"/>
                    <w:rPr>
                      <w:rFonts w:hint="eastAsia" w:ascii="Times New Roman" w:eastAsia="宋体"/>
                      <w:sz w:val="18"/>
                      <w:szCs w:val="18"/>
                      <w:lang w:eastAsia="zh-CN"/>
                    </w:rPr>
                  </w:pPr>
                  <w:r>
                    <w:rPr>
                      <w:rFonts w:hint="eastAsia" w:ascii="Times New Roman"/>
                      <w:sz w:val="18"/>
                      <w:szCs w:val="18"/>
                      <w:lang w:val="en-US" w:eastAsia="zh-CN"/>
                    </w:rPr>
                    <w:t>废布袋</w:t>
                  </w:r>
                </w:p>
              </w:tc>
              <w:tc>
                <w:tcPr>
                  <w:tcW w:w="623" w:type="pct"/>
                  <w:tcBorders>
                    <w:tl2br w:val="nil"/>
                    <w:tr2bl w:val="nil"/>
                  </w:tcBorders>
                  <w:tcMar>
                    <w:top w:w="15" w:type="dxa"/>
                    <w:left w:w="15" w:type="dxa"/>
                    <w:right w:w="15" w:type="dxa"/>
                  </w:tcMar>
                  <w:vAlign w:val="center"/>
                </w:tcPr>
                <w:p>
                  <w:pPr>
                    <w:pStyle w:val="111"/>
                    <w:adjustRightInd/>
                    <w:spacing w:line="280" w:lineRule="exact"/>
                    <w:ind w:firstLine="0" w:firstLineChars="0"/>
                    <w:rPr>
                      <w:rFonts w:hint="default" w:ascii="Times New Roman" w:eastAsia="宋体"/>
                      <w:color w:val="auto"/>
                      <w:kern w:val="0"/>
                      <w:sz w:val="18"/>
                      <w:szCs w:val="18"/>
                      <w:lang w:val="en-US" w:eastAsia="zh-CN" w:bidi="ar"/>
                    </w:rPr>
                  </w:pPr>
                  <w:r>
                    <w:rPr>
                      <w:rFonts w:ascii="Times New Roman"/>
                      <w:color w:val="auto"/>
                      <w:kern w:val="0"/>
                      <w:sz w:val="18"/>
                      <w:szCs w:val="18"/>
                      <w:lang w:bidi="ar"/>
                    </w:rPr>
                    <w:t>441-</w:t>
                  </w:r>
                  <w:r>
                    <w:rPr>
                      <w:rFonts w:hint="eastAsia" w:ascii="Times New Roman"/>
                      <w:color w:val="auto"/>
                      <w:kern w:val="0"/>
                      <w:sz w:val="18"/>
                      <w:szCs w:val="18"/>
                      <w:lang w:val="en-US" w:eastAsia="zh-CN" w:bidi="ar"/>
                    </w:rPr>
                    <w:t>999</w:t>
                  </w:r>
                  <w:r>
                    <w:rPr>
                      <w:rFonts w:ascii="Times New Roman"/>
                      <w:color w:val="auto"/>
                      <w:kern w:val="0"/>
                      <w:sz w:val="18"/>
                      <w:szCs w:val="18"/>
                      <w:lang w:bidi="ar"/>
                    </w:rPr>
                    <w:t>-</w:t>
                  </w:r>
                  <w:r>
                    <w:rPr>
                      <w:rFonts w:hint="eastAsia" w:ascii="Times New Roman"/>
                      <w:color w:val="auto"/>
                      <w:kern w:val="0"/>
                      <w:sz w:val="18"/>
                      <w:szCs w:val="18"/>
                      <w:lang w:val="en-US" w:eastAsia="zh-CN" w:bidi="ar"/>
                    </w:rPr>
                    <w:t>99</w:t>
                  </w:r>
                </w:p>
              </w:tc>
              <w:tc>
                <w:tcPr>
                  <w:tcW w:w="4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eastAsia" w:ascii="宋体"/>
                      <w:kern w:val="0"/>
                      <w:sz w:val="18"/>
                      <w:szCs w:val="18"/>
                      <w:lang w:bidi="ar"/>
                    </w:rPr>
                  </w:pPr>
                  <w:r>
                    <w:rPr>
                      <w:rFonts w:hint="eastAsia" w:ascii="宋体"/>
                      <w:kern w:val="0"/>
                      <w:sz w:val="18"/>
                      <w:szCs w:val="18"/>
                      <w:lang w:bidi="ar"/>
                    </w:rPr>
                    <w:t>无</w:t>
                  </w:r>
                </w:p>
              </w:tc>
              <w:tc>
                <w:tcPr>
                  <w:tcW w:w="169"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固体</w:t>
                  </w:r>
                </w:p>
              </w:tc>
              <w:tc>
                <w:tcPr>
                  <w:tcW w:w="2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无</w:t>
                  </w:r>
                </w:p>
              </w:tc>
              <w:tc>
                <w:tcPr>
                  <w:tcW w:w="357"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eastAsia="宋体"/>
                      <w:kern w:val="0"/>
                      <w:sz w:val="18"/>
                      <w:szCs w:val="18"/>
                      <w:lang w:val="en-US" w:eastAsia="zh-CN" w:bidi="ar"/>
                    </w:rPr>
                  </w:pPr>
                  <w:r>
                    <w:rPr>
                      <w:rFonts w:hint="eastAsia"/>
                      <w:kern w:val="0"/>
                      <w:sz w:val="18"/>
                      <w:szCs w:val="18"/>
                      <w:lang w:val="en-US" w:eastAsia="zh-CN" w:bidi="ar"/>
                    </w:rPr>
                    <w:t>0.1</w:t>
                  </w:r>
                </w:p>
              </w:tc>
              <w:tc>
                <w:tcPr>
                  <w:tcW w:w="786" w:type="pct"/>
                  <w:gridSpan w:val="2"/>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eastAsia="宋体"/>
                      <w:sz w:val="18"/>
                      <w:szCs w:val="18"/>
                      <w:lang w:val="en-US" w:eastAsia="zh-CN"/>
                    </w:rPr>
                  </w:pPr>
                  <w:r>
                    <w:rPr>
                      <w:rFonts w:hint="eastAsia"/>
                      <w:sz w:val="18"/>
                      <w:szCs w:val="18"/>
                      <w:lang w:val="en-US" w:eastAsia="zh-CN"/>
                    </w:rPr>
                    <w:t>厂家回收</w:t>
                  </w:r>
                </w:p>
              </w:tc>
              <w:tc>
                <w:tcPr>
                  <w:tcW w:w="3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default" w:eastAsia="宋体"/>
                      <w:kern w:val="0"/>
                      <w:sz w:val="18"/>
                      <w:szCs w:val="18"/>
                      <w:lang w:val="en-US" w:eastAsia="zh-CN" w:bidi="ar"/>
                    </w:rPr>
                  </w:pPr>
                  <w:r>
                    <w:rPr>
                      <w:rFonts w:hint="eastAsia"/>
                      <w:kern w:val="0"/>
                      <w:sz w:val="18"/>
                      <w:szCs w:val="18"/>
                      <w:lang w:val="en-US" w:eastAsia="zh-CN" w:bidi="ar"/>
                    </w:rPr>
                    <w:t>0.1</w:t>
                  </w:r>
                </w:p>
              </w:tc>
              <w:tc>
                <w:tcPr>
                  <w:tcW w:w="80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rFonts w:hint="eastAsia" w:eastAsia="宋体"/>
                      <w:sz w:val="18"/>
                      <w:szCs w:val="18"/>
                      <w:lang w:eastAsia="zh-CN"/>
                    </w:rPr>
                  </w:pPr>
                  <w:r>
                    <w:rPr>
                      <w:rFonts w:hint="eastAsia"/>
                      <w:kern w:val="0"/>
                      <w:sz w:val="18"/>
                      <w:szCs w:val="18"/>
                      <w:lang w:val="en-US" w:eastAsia="zh-CN" w:bidi="ar"/>
                    </w:rPr>
                    <w:t>灰库内存储</w:t>
                  </w:r>
                </w:p>
              </w:tc>
              <w:tc>
                <w:tcPr>
                  <w:tcW w:w="640" w:type="pct"/>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2" w:type="pct"/>
                  <w:vMerge w:val="restart"/>
                  <w:tcBorders>
                    <w:tl2br w:val="nil"/>
                    <w:tr2bl w:val="nil"/>
                  </w:tcBorders>
                  <w:tcMar>
                    <w:top w:w="15" w:type="dxa"/>
                    <w:left w:w="15" w:type="dxa"/>
                    <w:right w:w="15" w:type="dxa"/>
                  </w:tcMar>
                  <w:vAlign w:val="center"/>
                </w:tcPr>
                <w:p>
                  <w:pPr>
                    <w:spacing w:line="280" w:lineRule="exact"/>
                    <w:ind w:firstLine="0" w:firstLineChars="0"/>
                    <w:jc w:val="center"/>
                    <w:rPr>
                      <w:sz w:val="18"/>
                      <w:szCs w:val="18"/>
                    </w:rPr>
                  </w:pPr>
                  <w:r>
                    <w:rPr>
                      <w:rFonts w:hint="eastAsia"/>
                      <w:sz w:val="18"/>
                      <w:szCs w:val="18"/>
                    </w:rPr>
                    <w:t>生产过程</w:t>
                  </w:r>
                </w:p>
              </w:tc>
              <w:tc>
                <w:tcPr>
                  <w:tcW w:w="36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废SCR催化剂</w:t>
                  </w:r>
                </w:p>
              </w:tc>
              <w:tc>
                <w:tcPr>
                  <w:tcW w:w="623"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772-007-50</w:t>
                  </w:r>
                </w:p>
              </w:tc>
              <w:tc>
                <w:tcPr>
                  <w:tcW w:w="4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TiO</w:t>
                  </w:r>
                  <w:r>
                    <w:rPr>
                      <w:rFonts w:hint="eastAsia"/>
                      <w:sz w:val="18"/>
                      <w:szCs w:val="18"/>
                      <w:vertAlign w:val="subscript"/>
                    </w:rPr>
                    <w:t>2</w:t>
                  </w:r>
                  <w:r>
                    <w:rPr>
                      <w:rFonts w:hint="eastAsia"/>
                      <w:sz w:val="18"/>
                      <w:szCs w:val="18"/>
                    </w:rPr>
                    <w:t>、V</w:t>
                  </w:r>
                  <w:r>
                    <w:rPr>
                      <w:rFonts w:hint="eastAsia"/>
                      <w:sz w:val="18"/>
                      <w:szCs w:val="18"/>
                      <w:vertAlign w:val="subscript"/>
                    </w:rPr>
                    <w:t>2</w:t>
                  </w:r>
                  <w:r>
                    <w:rPr>
                      <w:rFonts w:hint="eastAsia"/>
                      <w:sz w:val="18"/>
                      <w:szCs w:val="18"/>
                    </w:rPr>
                    <w:t>O</w:t>
                  </w:r>
                  <w:r>
                    <w:rPr>
                      <w:rFonts w:hint="eastAsia"/>
                      <w:sz w:val="18"/>
                      <w:szCs w:val="18"/>
                      <w:vertAlign w:val="subscript"/>
                    </w:rPr>
                    <w:t>5</w:t>
                  </w:r>
                </w:p>
              </w:tc>
              <w:tc>
                <w:tcPr>
                  <w:tcW w:w="169"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固体</w:t>
                  </w:r>
                </w:p>
              </w:tc>
              <w:tc>
                <w:tcPr>
                  <w:tcW w:w="2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T</w:t>
                  </w:r>
                </w:p>
              </w:tc>
              <w:tc>
                <w:tcPr>
                  <w:tcW w:w="357"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rFonts w:hint="eastAsia"/>
                      <w:bCs/>
                      <w:sz w:val="18"/>
                      <w:szCs w:val="18"/>
                    </w:rPr>
                    <w:t>10t/3a</w:t>
                  </w:r>
                </w:p>
              </w:tc>
              <w:tc>
                <w:tcPr>
                  <w:tcW w:w="321" w:type="pct"/>
                  <w:vMerge w:val="restar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r>
                    <w:rPr>
                      <w:kern w:val="0"/>
                      <w:sz w:val="18"/>
                      <w:szCs w:val="18"/>
                      <w:lang w:bidi="ar"/>
                    </w:rPr>
                    <w:t>桶装加盖，暂存于危废间</w:t>
                  </w:r>
                </w:p>
              </w:tc>
              <w:tc>
                <w:tcPr>
                  <w:tcW w:w="465" w:type="pct"/>
                  <w:vMerge w:val="restar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r>
                    <w:rPr>
                      <w:kern w:val="0"/>
                      <w:sz w:val="18"/>
                      <w:szCs w:val="18"/>
                      <w:lang w:bidi="ar"/>
                    </w:rPr>
                    <w:t>委托有资质单位进行处理</w:t>
                  </w:r>
                </w:p>
              </w:tc>
              <w:tc>
                <w:tcPr>
                  <w:tcW w:w="358"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rFonts w:hint="eastAsia"/>
                      <w:bCs/>
                      <w:sz w:val="18"/>
                      <w:szCs w:val="18"/>
                    </w:rPr>
                    <w:t>10t/3a</w:t>
                  </w:r>
                </w:p>
              </w:tc>
              <w:tc>
                <w:tcPr>
                  <w:tcW w:w="1443" w:type="pct"/>
                  <w:gridSpan w:val="2"/>
                  <w:vMerge w:val="restar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危险废物的收集及临时存放应严格执行《危险废物贮存污染控制标准》</w:t>
                  </w:r>
                  <w:r>
                    <w:rPr>
                      <w:rFonts w:hint="eastAsia"/>
                      <w:sz w:val="18"/>
                      <w:szCs w:val="18"/>
                    </w:rPr>
                    <w:t>(</w:t>
                  </w:r>
                  <w:r>
                    <w:rPr>
                      <w:sz w:val="18"/>
                      <w:szCs w:val="18"/>
                    </w:rPr>
                    <w:t>GB18597-2001</w:t>
                  </w:r>
                  <w:r>
                    <w:rPr>
                      <w:rFonts w:hint="eastAsia"/>
                      <w:sz w:val="18"/>
                      <w:szCs w:val="18"/>
                    </w:rPr>
                    <w:t>)</w:t>
                  </w:r>
                  <w:r>
                    <w:rPr>
                      <w:sz w:val="18"/>
                      <w:szCs w:val="18"/>
                    </w:rPr>
                    <w:t>及其修改单；对国家规定的危险废物分别存放，并应按照《环境保护图形标志》</w:t>
                  </w:r>
                  <w:r>
                    <w:rPr>
                      <w:rFonts w:hint="eastAsia"/>
                      <w:sz w:val="18"/>
                      <w:szCs w:val="18"/>
                    </w:rPr>
                    <w:t>(</w:t>
                  </w:r>
                  <w:r>
                    <w:rPr>
                      <w:sz w:val="18"/>
                      <w:szCs w:val="18"/>
                    </w:rPr>
                    <w:t>GB15562-1995</w:t>
                  </w:r>
                  <w:r>
                    <w:rPr>
                      <w:rFonts w:hint="eastAsia"/>
                      <w:sz w:val="18"/>
                      <w:szCs w:val="18"/>
                    </w:rPr>
                    <w:t>)</w:t>
                  </w:r>
                  <w:r>
                    <w:rPr>
                      <w:sz w:val="18"/>
                      <w:szCs w:val="18"/>
                    </w:rPr>
                    <w:t>的要求对危险废物的临时存放场所设置环境保护图形标志牌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2" w:type="pct"/>
                  <w:vMerge w:val="continue"/>
                  <w:tcBorders>
                    <w:tl2br w:val="nil"/>
                    <w:tr2bl w:val="nil"/>
                  </w:tcBorders>
                  <w:tcMar>
                    <w:top w:w="15" w:type="dxa"/>
                    <w:left w:w="15" w:type="dxa"/>
                    <w:right w:w="15" w:type="dxa"/>
                  </w:tcMar>
                  <w:vAlign w:val="center"/>
                </w:tcPr>
                <w:p>
                  <w:pPr>
                    <w:spacing w:line="280" w:lineRule="exact"/>
                    <w:ind w:firstLine="0" w:firstLineChars="0"/>
                    <w:jc w:val="center"/>
                    <w:rPr>
                      <w:sz w:val="18"/>
                      <w:szCs w:val="18"/>
                    </w:rPr>
                  </w:pPr>
                </w:p>
              </w:tc>
              <w:tc>
                <w:tcPr>
                  <w:tcW w:w="360"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废滤芯、滤纸和滤网</w:t>
                  </w:r>
                </w:p>
              </w:tc>
              <w:tc>
                <w:tcPr>
                  <w:tcW w:w="623"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900-041-49</w:t>
                  </w:r>
                </w:p>
              </w:tc>
              <w:tc>
                <w:tcPr>
                  <w:tcW w:w="4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废滤芯、滤纸、滤网</w:t>
                  </w:r>
                </w:p>
              </w:tc>
              <w:tc>
                <w:tcPr>
                  <w:tcW w:w="169"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固体</w:t>
                  </w:r>
                </w:p>
              </w:tc>
              <w:tc>
                <w:tcPr>
                  <w:tcW w:w="2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T/In</w:t>
                  </w:r>
                </w:p>
              </w:tc>
              <w:tc>
                <w:tcPr>
                  <w:tcW w:w="357"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rFonts w:hint="eastAsia"/>
                      <w:bCs/>
                      <w:sz w:val="18"/>
                      <w:szCs w:val="18"/>
                    </w:rPr>
                    <w:t>0.5</w:t>
                  </w:r>
                </w:p>
              </w:tc>
              <w:tc>
                <w:tcPr>
                  <w:tcW w:w="321" w:type="pct"/>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p>
              </w:tc>
              <w:tc>
                <w:tcPr>
                  <w:tcW w:w="465" w:type="pct"/>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p>
              </w:tc>
              <w:tc>
                <w:tcPr>
                  <w:tcW w:w="358"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rFonts w:hint="eastAsia"/>
                      <w:bCs/>
                      <w:sz w:val="18"/>
                      <w:szCs w:val="18"/>
                    </w:rPr>
                    <w:t>0.5</w:t>
                  </w:r>
                </w:p>
              </w:tc>
              <w:tc>
                <w:tcPr>
                  <w:tcW w:w="1443" w:type="pct"/>
                  <w:gridSpan w:val="2"/>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22" w:type="pct"/>
                  <w:vMerge w:val="continue"/>
                  <w:tcBorders>
                    <w:tl2br w:val="nil"/>
                    <w:tr2bl w:val="nil"/>
                  </w:tcBorders>
                  <w:tcMar>
                    <w:top w:w="15" w:type="dxa"/>
                    <w:left w:w="15" w:type="dxa"/>
                    <w:right w:w="15" w:type="dxa"/>
                  </w:tcMar>
                  <w:vAlign w:val="center"/>
                </w:tcPr>
                <w:p>
                  <w:pPr>
                    <w:spacing w:line="280" w:lineRule="exact"/>
                    <w:ind w:firstLine="0" w:firstLineChars="0"/>
                    <w:jc w:val="center"/>
                    <w:rPr>
                      <w:sz w:val="18"/>
                      <w:szCs w:val="18"/>
                    </w:rPr>
                  </w:pPr>
                </w:p>
              </w:tc>
              <w:tc>
                <w:tcPr>
                  <w:tcW w:w="360" w:type="pct"/>
                  <w:tcBorders>
                    <w:tl2br w:val="nil"/>
                    <w:tr2bl w:val="nil"/>
                  </w:tcBorders>
                  <w:tcMar>
                    <w:top w:w="15" w:type="dxa"/>
                    <w:left w:w="15" w:type="dxa"/>
                    <w:right w:w="15" w:type="dxa"/>
                  </w:tcMar>
                  <w:vAlign w:val="center"/>
                </w:tcPr>
                <w:p>
                  <w:pPr>
                    <w:spacing w:line="280" w:lineRule="exact"/>
                    <w:ind w:firstLine="0" w:firstLineChars="0"/>
                    <w:jc w:val="center"/>
                    <w:rPr>
                      <w:sz w:val="18"/>
                      <w:szCs w:val="18"/>
                    </w:rPr>
                  </w:pPr>
                  <w:r>
                    <w:rPr>
                      <w:rFonts w:hint="eastAsia"/>
                      <w:sz w:val="18"/>
                      <w:szCs w:val="18"/>
                    </w:rPr>
                    <w:t>废润滑油</w:t>
                  </w:r>
                </w:p>
              </w:tc>
              <w:tc>
                <w:tcPr>
                  <w:tcW w:w="623"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bCs/>
                      <w:sz w:val="18"/>
                      <w:szCs w:val="18"/>
                    </w:rPr>
                    <w:t>900-2</w:t>
                  </w:r>
                  <w:r>
                    <w:rPr>
                      <w:rFonts w:hint="eastAsia"/>
                      <w:bCs/>
                      <w:sz w:val="18"/>
                      <w:szCs w:val="18"/>
                    </w:rPr>
                    <w:t>14</w:t>
                  </w:r>
                  <w:r>
                    <w:rPr>
                      <w:bCs/>
                      <w:sz w:val="18"/>
                      <w:szCs w:val="18"/>
                    </w:rPr>
                    <w:t>-08</w:t>
                  </w:r>
                </w:p>
              </w:tc>
              <w:tc>
                <w:tcPr>
                  <w:tcW w:w="4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矿物油</w:t>
                  </w:r>
                </w:p>
              </w:tc>
              <w:tc>
                <w:tcPr>
                  <w:tcW w:w="169"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液态</w:t>
                  </w:r>
                </w:p>
              </w:tc>
              <w:tc>
                <w:tcPr>
                  <w:tcW w:w="2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T，I</w:t>
                  </w:r>
                </w:p>
              </w:tc>
              <w:tc>
                <w:tcPr>
                  <w:tcW w:w="357"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rFonts w:hint="eastAsia"/>
                      <w:bCs/>
                      <w:sz w:val="18"/>
                      <w:szCs w:val="18"/>
                    </w:rPr>
                    <w:t>0.2</w:t>
                  </w:r>
                </w:p>
              </w:tc>
              <w:tc>
                <w:tcPr>
                  <w:tcW w:w="321" w:type="pct"/>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p>
              </w:tc>
              <w:tc>
                <w:tcPr>
                  <w:tcW w:w="465" w:type="pct"/>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p>
              </w:tc>
              <w:tc>
                <w:tcPr>
                  <w:tcW w:w="358"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rFonts w:hint="eastAsia"/>
                      <w:bCs/>
                      <w:sz w:val="18"/>
                      <w:szCs w:val="18"/>
                    </w:rPr>
                    <w:t>0.2</w:t>
                  </w:r>
                </w:p>
              </w:tc>
              <w:tc>
                <w:tcPr>
                  <w:tcW w:w="1443" w:type="pct"/>
                  <w:gridSpan w:val="2"/>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2" w:type="pct"/>
                  <w:vMerge w:val="continue"/>
                  <w:tcBorders>
                    <w:tl2br w:val="nil"/>
                    <w:tr2bl w:val="nil"/>
                  </w:tcBorders>
                  <w:tcMar>
                    <w:top w:w="15" w:type="dxa"/>
                    <w:left w:w="15" w:type="dxa"/>
                    <w:right w:w="15" w:type="dxa"/>
                  </w:tcMar>
                  <w:vAlign w:val="center"/>
                </w:tcPr>
                <w:p>
                  <w:pPr>
                    <w:spacing w:line="280" w:lineRule="exact"/>
                    <w:ind w:firstLine="0" w:firstLineChars="0"/>
                    <w:jc w:val="center"/>
                    <w:rPr>
                      <w:sz w:val="18"/>
                      <w:szCs w:val="18"/>
                    </w:rPr>
                  </w:pPr>
                </w:p>
              </w:tc>
              <w:tc>
                <w:tcPr>
                  <w:tcW w:w="360" w:type="pct"/>
                  <w:tcBorders>
                    <w:tl2br w:val="nil"/>
                    <w:tr2bl w:val="nil"/>
                  </w:tcBorders>
                  <w:tcMar>
                    <w:top w:w="15" w:type="dxa"/>
                    <w:left w:w="15" w:type="dxa"/>
                    <w:right w:w="15" w:type="dxa"/>
                  </w:tcMar>
                  <w:vAlign w:val="center"/>
                </w:tcPr>
                <w:p>
                  <w:pPr>
                    <w:spacing w:line="280" w:lineRule="exact"/>
                    <w:ind w:firstLine="0" w:firstLineChars="0"/>
                    <w:jc w:val="center"/>
                    <w:rPr>
                      <w:sz w:val="18"/>
                      <w:szCs w:val="18"/>
                    </w:rPr>
                  </w:pPr>
                  <w:r>
                    <w:rPr>
                      <w:rFonts w:hint="eastAsia"/>
                      <w:sz w:val="18"/>
                      <w:szCs w:val="18"/>
                    </w:rPr>
                    <w:t>废液压油</w:t>
                  </w:r>
                </w:p>
              </w:tc>
              <w:tc>
                <w:tcPr>
                  <w:tcW w:w="623"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bCs/>
                      <w:sz w:val="18"/>
                      <w:szCs w:val="18"/>
                    </w:rPr>
                    <w:t>900-218-08</w:t>
                  </w:r>
                </w:p>
              </w:tc>
              <w:tc>
                <w:tcPr>
                  <w:tcW w:w="4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矿物油</w:t>
                  </w:r>
                </w:p>
              </w:tc>
              <w:tc>
                <w:tcPr>
                  <w:tcW w:w="169"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液态</w:t>
                  </w:r>
                </w:p>
              </w:tc>
              <w:tc>
                <w:tcPr>
                  <w:tcW w:w="2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T，I</w:t>
                  </w:r>
                </w:p>
              </w:tc>
              <w:tc>
                <w:tcPr>
                  <w:tcW w:w="357"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rFonts w:hint="eastAsia"/>
                      <w:bCs/>
                      <w:sz w:val="18"/>
                      <w:szCs w:val="18"/>
                    </w:rPr>
                    <w:t>0.6</w:t>
                  </w:r>
                </w:p>
              </w:tc>
              <w:tc>
                <w:tcPr>
                  <w:tcW w:w="321" w:type="pct"/>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p>
              </w:tc>
              <w:tc>
                <w:tcPr>
                  <w:tcW w:w="465" w:type="pct"/>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p>
              </w:tc>
              <w:tc>
                <w:tcPr>
                  <w:tcW w:w="358"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rFonts w:hint="eastAsia"/>
                      <w:bCs/>
                      <w:sz w:val="18"/>
                      <w:szCs w:val="18"/>
                    </w:rPr>
                    <w:t>0.6</w:t>
                  </w:r>
                </w:p>
              </w:tc>
              <w:tc>
                <w:tcPr>
                  <w:tcW w:w="1443" w:type="pct"/>
                  <w:gridSpan w:val="2"/>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2" w:type="pct"/>
                  <w:vMerge w:val="continue"/>
                  <w:tcBorders>
                    <w:tl2br w:val="nil"/>
                    <w:tr2bl w:val="nil"/>
                  </w:tcBorders>
                  <w:tcMar>
                    <w:top w:w="15" w:type="dxa"/>
                    <w:left w:w="15" w:type="dxa"/>
                    <w:right w:w="15" w:type="dxa"/>
                  </w:tcMar>
                  <w:vAlign w:val="center"/>
                </w:tcPr>
                <w:p>
                  <w:pPr>
                    <w:spacing w:line="280" w:lineRule="exact"/>
                    <w:ind w:firstLine="0" w:firstLineChars="0"/>
                    <w:jc w:val="center"/>
                    <w:rPr>
                      <w:sz w:val="18"/>
                      <w:szCs w:val="18"/>
                    </w:rPr>
                  </w:pPr>
                </w:p>
              </w:tc>
              <w:tc>
                <w:tcPr>
                  <w:tcW w:w="360" w:type="pct"/>
                  <w:tcBorders>
                    <w:tl2br w:val="nil"/>
                    <w:tr2bl w:val="nil"/>
                  </w:tcBorders>
                  <w:tcMar>
                    <w:top w:w="15" w:type="dxa"/>
                    <w:left w:w="15" w:type="dxa"/>
                    <w:right w:w="15" w:type="dxa"/>
                  </w:tcMar>
                  <w:vAlign w:val="center"/>
                </w:tcPr>
                <w:p>
                  <w:pPr>
                    <w:spacing w:line="280" w:lineRule="exact"/>
                    <w:ind w:firstLine="0" w:firstLineChars="0"/>
                    <w:jc w:val="center"/>
                    <w:rPr>
                      <w:sz w:val="18"/>
                      <w:szCs w:val="18"/>
                    </w:rPr>
                  </w:pPr>
                  <w:r>
                    <w:rPr>
                      <w:rFonts w:hint="eastAsia"/>
                      <w:sz w:val="18"/>
                      <w:szCs w:val="18"/>
                    </w:rPr>
                    <w:t>废油桶</w:t>
                  </w:r>
                </w:p>
              </w:tc>
              <w:tc>
                <w:tcPr>
                  <w:tcW w:w="623" w:type="pct"/>
                  <w:tcBorders>
                    <w:tl2br w:val="nil"/>
                    <w:tr2bl w:val="nil"/>
                  </w:tcBorders>
                  <w:tcMar>
                    <w:top w:w="15" w:type="dxa"/>
                    <w:left w:w="15" w:type="dxa"/>
                    <w:right w:w="15" w:type="dxa"/>
                  </w:tcMar>
                  <w:vAlign w:val="center"/>
                </w:tcPr>
                <w:p>
                  <w:pPr>
                    <w:tabs>
                      <w:tab w:val="left" w:pos="1725"/>
                    </w:tabs>
                    <w:spacing w:line="280" w:lineRule="exact"/>
                    <w:ind w:firstLine="0" w:firstLineChars="0"/>
                    <w:jc w:val="center"/>
                    <w:rPr>
                      <w:bCs/>
                      <w:sz w:val="18"/>
                      <w:szCs w:val="18"/>
                    </w:rPr>
                  </w:pPr>
                  <w:r>
                    <w:rPr>
                      <w:bCs/>
                      <w:sz w:val="18"/>
                      <w:szCs w:val="18"/>
                    </w:rPr>
                    <w:t>900-2</w:t>
                  </w:r>
                  <w:r>
                    <w:rPr>
                      <w:rFonts w:hint="eastAsia"/>
                      <w:bCs/>
                      <w:sz w:val="18"/>
                      <w:szCs w:val="18"/>
                    </w:rPr>
                    <w:t>4</w:t>
                  </w:r>
                  <w:r>
                    <w:rPr>
                      <w:bCs/>
                      <w:sz w:val="18"/>
                      <w:szCs w:val="18"/>
                    </w:rPr>
                    <w:t>9-08</w:t>
                  </w:r>
                </w:p>
              </w:tc>
              <w:tc>
                <w:tcPr>
                  <w:tcW w:w="422"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矿物油</w:t>
                  </w:r>
                </w:p>
              </w:tc>
              <w:tc>
                <w:tcPr>
                  <w:tcW w:w="169"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rFonts w:hint="eastAsia"/>
                      <w:sz w:val="18"/>
                      <w:szCs w:val="18"/>
                    </w:rPr>
                    <w:t>液态</w:t>
                  </w:r>
                </w:p>
              </w:tc>
              <w:tc>
                <w:tcPr>
                  <w:tcW w:w="258"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sz w:val="18"/>
                      <w:szCs w:val="18"/>
                    </w:rPr>
                  </w:pPr>
                  <w:r>
                    <w:rPr>
                      <w:sz w:val="18"/>
                      <w:szCs w:val="18"/>
                    </w:rPr>
                    <w:t>T，I</w:t>
                  </w:r>
                </w:p>
              </w:tc>
              <w:tc>
                <w:tcPr>
                  <w:tcW w:w="357"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bCs/>
                      <w:sz w:val="18"/>
                      <w:szCs w:val="18"/>
                    </w:rPr>
                    <w:t>0.03</w:t>
                  </w:r>
                </w:p>
              </w:tc>
              <w:tc>
                <w:tcPr>
                  <w:tcW w:w="321" w:type="pct"/>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r>
                    <w:rPr>
                      <w:kern w:val="0"/>
                      <w:sz w:val="18"/>
                      <w:szCs w:val="18"/>
                      <w:lang w:bidi="ar"/>
                    </w:rPr>
                    <w:t>暂存于危废间</w:t>
                  </w:r>
                </w:p>
              </w:tc>
              <w:tc>
                <w:tcPr>
                  <w:tcW w:w="465" w:type="pct"/>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p>
              </w:tc>
              <w:tc>
                <w:tcPr>
                  <w:tcW w:w="358" w:type="pct"/>
                  <w:tcBorders>
                    <w:tl2br w:val="nil"/>
                    <w:tr2bl w:val="nil"/>
                  </w:tcBorders>
                  <w:tcMar>
                    <w:top w:w="15" w:type="dxa"/>
                    <w:left w:w="15" w:type="dxa"/>
                    <w:right w:w="15" w:type="dxa"/>
                  </w:tcMar>
                  <w:vAlign w:val="center"/>
                </w:tcPr>
                <w:p>
                  <w:pPr>
                    <w:spacing w:line="280" w:lineRule="exact"/>
                    <w:ind w:firstLine="0" w:firstLineChars="0"/>
                    <w:jc w:val="center"/>
                    <w:rPr>
                      <w:bCs/>
                      <w:sz w:val="18"/>
                      <w:szCs w:val="18"/>
                    </w:rPr>
                  </w:pPr>
                  <w:r>
                    <w:rPr>
                      <w:bCs/>
                      <w:sz w:val="18"/>
                      <w:szCs w:val="18"/>
                    </w:rPr>
                    <w:t>0.03</w:t>
                  </w:r>
                </w:p>
              </w:tc>
              <w:tc>
                <w:tcPr>
                  <w:tcW w:w="1443" w:type="pct"/>
                  <w:gridSpan w:val="2"/>
                  <w:vMerge w:val="continue"/>
                  <w:tcBorders>
                    <w:tl2br w:val="nil"/>
                    <w:tr2bl w:val="nil"/>
                  </w:tcBorders>
                  <w:tcMar>
                    <w:top w:w="15" w:type="dxa"/>
                    <w:left w:w="15" w:type="dxa"/>
                    <w:right w:w="15" w:type="dxa"/>
                  </w:tcMar>
                  <w:vAlign w:val="center"/>
                </w:tcPr>
                <w:p>
                  <w:pPr>
                    <w:widowControl/>
                    <w:spacing w:line="280" w:lineRule="exact"/>
                    <w:ind w:firstLine="0" w:firstLineChars="0"/>
                    <w:jc w:val="center"/>
                    <w:textAlignment w:val="center"/>
                    <w:rPr>
                      <w:kern w:val="0"/>
                      <w:sz w:val="18"/>
                      <w:szCs w:val="18"/>
                      <w:lang w:bidi="ar"/>
                    </w:rPr>
                  </w:pPr>
                </w:p>
              </w:tc>
            </w:tr>
          </w:tbl>
          <w:p>
            <w:pPr>
              <w:ind w:firstLine="480"/>
            </w:pPr>
            <w:r>
              <w:rPr>
                <w:rFonts w:hint="eastAsia"/>
              </w:rPr>
              <w:t>(4)</w:t>
            </w:r>
            <w:r>
              <w:t>固体废物管理措施</w:t>
            </w:r>
          </w:p>
          <w:p>
            <w:pPr>
              <w:ind w:firstLine="480"/>
            </w:pPr>
            <w:r>
              <w:rPr>
                <w:rFonts w:hint="eastAsia"/>
              </w:rPr>
              <w:t>①</w:t>
            </w:r>
            <w:r>
              <w:t>一般固体废物管理措施</w:t>
            </w:r>
          </w:p>
          <w:p>
            <w:pPr>
              <w:ind w:firstLine="480"/>
            </w:pPr>
            <w:r>
              <w:rPr>
                <w:rFonts w:hint="eastAsia"/>
              </w:rPr>
              <w:t>A、</w:t>
            </w:r>
            <w:r>
              <w:t>贮存、处置场的建设类型，必须与将要堆放的一般工业固体废物的类别相一致。</w:t>
            </w:r>
          </w:p>
          <w:p>
            <w:pPr>
              <w:ind w:firstLine="480"/>
            </w:pPr>
            <w:r>
              <w:rPr>
                <w:rFonts w:hint="eastAsia"/>
              </w:rPr>
              <w:t>B、</w:t>
            </w:r>
            <w:r>
              <w:t>贮存、处置场应采取防止粉尘污染的措施。</w:t>
            </w:r>
          </w:p>
          <w:p>
            <w:pPr>
              <w:ind w:firstLine="480"/>
            </w:pPr>
            <w:r>
              <w:rPr>
                <w:rFonts w:hint="eastAsia"/>
              </w:rPr>
              <w:t>C、</w:t>
            </w:r>
            <w:r>
              <w:t>为加强监督管理，贮存、处置场应设置环境保护图形标志。</w:t>
            </w:r>
          </w:p>
          <w:p>
            <w:pPr>
              <w:ind w:firstLine="482"/>
              <w:rPr>
                <w:b/>
                <w:bCs/>
              </w:rPr>
            </w:pPr>
            <w:r>
              <w:rPr>
                <w:rFonts w:hint="eastAsia"/>
                <w:b/>
                <w:bCs/>
              </w:rPr>
              <w:t>②</w:t>
            </w:r>
            <w:r>
              <w:rPr>
                <w:b/>
                <w:bCs/>
              </w:rPr>
              <w:t>危险废物管理措施</w:t>
            </w:r>
          </w:p>
          <w:p>
            <w:pPr>
              <w:pStyle w:val="745"/>
              <w:tabs>
                <w:tab w:val="left" w:pos="926"/>
              </w:tabs>
              <w:adjustRightInd/>
              <w:snapToGrid/>
              <w:spacing w:line="360" w:lineRule="auto"/>
              <w:ind w:firstLine="480"/>
              <w:rPr>
                <w:rFonts w:ascii="Times New Roman" w:hAnsi="Times New Roman" w:eastAsia="宋体" w:cs="Times New Roman"/>
                <w:kern w:val="24"/>
                <w:sz w:val="24"/>
                <w:szCs w:val="24"/>
              </w:rPr>
            </w:pPr>
            <w:r>
              <w:rPr>
                <w:rFonts w:hint="eastAsia" w:ascii="Times New Roman" w:hAnsi="Times New Roman" w:eastAsia="宋体" w:cs="Times New Roman"/>
                <w:kern w:val="24"/>
                <w:sz w:val="24"/>
                <w:szCs w:val="24"/>
              </w:rPr>
              <w:t>A、</w:t>
            </w:r>
            <w:r>
              <w:rPr>
                <w:rFonts w:ascii="Times New Roman" w:hAnsi="Times New Roman" w:eastAsia="宋体" w:cs="Times New Roman"/>
                <w:kern w:val="24"/>
                <w:sz w:val="24"/>
                <w:szCs w:val="24"/>
              </w:rPr>
              <w:t>危险废物收集</w:t>
            </w:r>
          </w:p>
          <w:p>
            <w:pPr>
              <w:pStyle w:val="745"/>
              <w:adjustRightInd/>
              <w:snapToGrid/>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废润滑油、废液压油</w:t>
            </w:r>
            <w:r>
              <w:rPr>
                <w:rFonts w:hint="eastAsia" w:ascii="Times New Roman" w:hAnsi="Times New Roman" w:eastAsia="宋体" w:cs="Times New Roman"/>
                <w:sz w:val="24"/>
                <w:szCs w:val="24"/>
              </w:rPr>
              <w:t>、废SCR催化剂、废滤芯、滤纸和滤网</w:t>
            </w:r>
            <w:r>
              <w:rPr>
                <w:rFonts w:ascii="Times New Roman" w:hAnsi="Times New Roman" w:eastAsia="宋体" w:cs="Times New Roman"/>
                <w:sz w:val="24"/>
                <w:szCs w:val="24"/>
              </w:rPr>
              <w:t>采用桶装密闭收集，容器应达到防渗、防漏的要求；为防止油类物质在使用过程的跑冒滴漏，在生产设备下设托盘，以消除在使用过程中跑、冒、滴、漏、遗撒现象的产生。</w:t>
            </w:r>
          </w:p>
          <w:p>
            <w:pPr>
              <w:ind w:firstLine="480"/>
              <w:rPr>
                <w:kern w:val="24"/>
              </w:rPr>
            </w:pPr>
            <w:r>
              <w:rPr>
                <w:rFonts w:hint="eastAsia"/>
                <w:kern w:val="24"/>
              </w:rPr>
              <w:t>B、</w:t>
            </w:r>
            <w:r>
              <w:rPr>
                <w:kern w:val="24"/>
              </w:rPr>
              <w:t>危险废物贮存</w:t>
            </w:r>
          </w:p>
          <w:p>
            <w:pPr>
              <w:ind w:firstLine="480"/>
              <w:jc w:val="both"/>
            </w:pPr>
            <w:r>
              <w:t>本项目</w:t>
            </w:r>
            <w:r>
              <w:rPr>
                <w:rFonts w:hint="eastAsia"/>
              </w:rPr>
              <w:t>危险废物储存依托厂区原有危废间。设置在轧钢三分厂北侧，面积600m</w:t>
            </w:r>
            <w:r>
              <w:rPr>
                <w:rFonts w:hint="eastAsia"/>
                <w:vertAlign w:val="superscript"/>
              </w:rPr>
              <w:t>2</w:t>
            </w:r>
            <w:r>
              <w:rPr>
                <w:rFonts w:hint="eastAsia"/>
              </w:rPr>
              <w:t>。企业危废暂存间采用“玻璃钢+水泥”硬化防渗，渗透系数小于10</w:t>
            </w:r>
            <w:r>
              <w:rPr>
                <w:rFonts w:hint="eastAsia"/>
                <w:vertAlign w:val="superscript"/>
              </w:rPr>
              <w:t>-10</w:t>
            </w:r>
            <w:r>
              <w:rPr>
                <w:rFonts w:hint="eastAsia"/>
              </w:rPr>
              <w:t>cm/s，并设置有泄漏液收集池、危险废物警示标识、泄漏应急设施及管理台账等，危废暂存间建设满足《危险废物贮存污染控制标准》（GB18597-2001）及修改单中的相关要求。</w:t>
            </w:r>
          </w:p>
          <w:p>
            <w:pPr>
              <w:ind w:firstLine="480"/>
            </w:pPr>
            <w:r>
              <w:rPr>
                <w:rFonts w:hint="eastAsia"/>
              </w:rPr>
              <w:t>项目要求</w:t>
            </w:r>
            <w:r>
              <w:t>装载液体、半固体危险废物的容器内须留足够空间，容器顶部与液体表面之间保留100mm以上的空间。</w:t>
            </w:r>
          </w:p>
          <w:p>
            <w:pPr>
              <w:ind w:firstLine="480"/>
            </w:pPr>
            <w:r>
              <w:t>盛装危险废物的容器要带盖，容器底部设置托盘，门口设围堰，防止泄漏物落地或漫流。</w:t>
            </w:r>
          </w:p>
          <w:p>
            <w:pPr>
              <w:ind w:firstLine="480"/>
              <w:jc w:val="both"/>
            </w:pPr>
            <w:r>
              <w:t>危废储存间要防风、防雨、防晒、防渗漏和防流失。</w:t>
            </w:r>
          </w:p>
          <w:p>
            <w:pPr>
              <w:ind w:firstLine="480"/>
              <w:jc w:val="both"/>
            </w:pPr>
            <w:r>
              <w:t>危废储存间必须按照《环境保护图形标志固体废物贮存</w:t>
            </w:r>
            <w:r>
              <w:rPr>
                <w:rFonts w:hint="eastAsia"/>
              </w:rPr>
              <w:t>(</w:t>
            </w:r>
            <w:r>
              <w:t>处置</w:t>
            </w:r>
            <w:r>
              <w:rPr>
                <w:rFonts w:hint="eastAsia"/>
              </w:rPr>
              <w:t>)</w:t>
            </w:r>
            <w:r>
              <w:t>场》</w:t>
            </w:r>
            <w:r>
              <w:rPr>
                <w:rFonts w:hint="eastAsia"/>
              </w:rPr>
              <w:t>(</w:t>
            </w:r>
            <w:r>
              <w:t>GB 15562.2-1995</w:t>
            </w:r>
            <w:r>
              <w:rPr>
                <w:rFonts w:hint="eastAsia"/>
              </w:rPr>
              <w:t>)</w:t>
            </w:r>
            <w:r>
              <w:t>中的规定设立危险废物警示标志。</w:t>
            </w:r>
          </w:p>
          <w:p>
            <w:pPr>
              <w:pStyle w:val="23"/>
              <w:ind w:firstLine="480"/>
              <w:jc w:val="both"/>
              <w:rPr>
                <w:szCs w:val="24"/>
              </w:rPr>
            </w:pPr>
            <w:r>
              <w:rPr>
                <w:szCs w:val="24"/>
              </w:rPr>
              <w:t>危废间大门设置双锁管理，危险废物进出</w:t>
            </w:r>
            <w:r>
              <w:rPr>
                <w:szCs w:val="24"/>
                <w:lang w:bidi="ar"/>
              </w:rPr>
              <w:t>设立台账进行记录</w:t>
            </w:r>
            <w:r>
              <w:rPr>
                <w:szCs w:val="24"/>
              </w:rPr>
              <w:t>。</w:t>
            </w:r>
          </w:p>
          <w:p>
            <w:pPr>
              <w:pStyle w:val="745"/>
              <w:adjustRightInd/>
              <w:snapToGrid/>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C、</w:t>
            </w:r>
            <w:r>
              <w:rPr>
                <w:rFonts w:ascii="Times New Roman" w:hAnsi="Times New Roman" w:eastAsia="宋体" w:cs="Times New Roman"/>
                <w:sz w:val="24"/>
                <w:szCs w:val="24"/>
              </w:rPr>
              <w:t>危险废物运输</w:t>
            </w:r>
          </w:p>
          <w:p>
            <w:pPr>
              <w:pStyle w:val="745"/>
              <w:adjustRightInd/>
              <w:snapToGrid/>
              <w:spacing w:line="360" w:lineRule="auto"/>
              <w:ind w:firstLine="480"/>
              <w:jc w:val="both"/>
              <w:rPr>
                <w:rFonts w:ascii="Times New Roman" w:hAnsi="Times New Roman" w:eastAsia="宋体" w:cs="Times New Roman"/>
                <w:sz w:val="24"/>
                <w:szCs w:val="24"/>
              </w:rPr>
            </w:pPr>
            <w:r>
              <w:rPr>
                <w:rFonts w:ascii="Times New Roman" w:hAnsi="Times New Roman" w:eastAsia="宋体" w:cs="Times New Roman"/>
                <w:sz w:val="24"/>
                <w:szCs w:val="24"/>
              </w:rPr>
              <w:t>本项目产生的危险废物按照《危险废物收集、贮存、运输技术规范》</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HJ2025-2012</w:t>
            </w:r>
            <w:r>
              <w:rPr>
                <w:rFonts w:hint="eastAsia" w:ascii="Times New Roman" w:hAnsi="Times New Roman" w:eastAsia="宋体" w:cs="Times New Roman"/>
                <w:sz w:val="24"/>
                <w:szCs w:val="24"/>
              </w:rPr>
              <w:t>)</w:t>
            </w:r>
            <w:r>
              <w:rPr>
                <w:rFonts w:ascii="Times New Roman" w:hAnsi="Times New Roman" w:eastAsia="宋体" w:cs="Times New Roman"/>
                <w:sz w:val="24"/>
                <w:szCs w:val="24"/>
              </w:rPr>
              <w:t>相关要求进行运输，并按要求填写危险废物的收集记录、厂内转运记录表，并将记录表作为危险废物管理的重要档案妥善保存。</w:t>
            </w:r>
          </w:p>
          <w:p>
            <w:pPr>
              <w:pStyle w:val="745"/>
              <w:adjustRightInd/>
              <w:snapToGrid/>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所有运输车辆按规定的路线运输。</w:t>
            </w:r>
          </w:p>
          <w:p>
            <w:pPr>
              <w:pStyle w:val="745"/>
              <w:adjustRightInd/>
              <w:snapToGrid/>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运输过程中危险废物应放置在密闭容器中，且运输设施应为封闭结构，具有防臭防遗撒功能，安装行驶及装卸记录仪。</w:t>
            </w:r>
          </w:p>
          <w:p>
            <w:pPr>
              <w:pStyle w:val="745"/>
              <w:adjustRightInd/>
              <w:snapToGrid/>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危险废物内部转运作业应采用专用的工具，危险废物内部转运应按照标准要求填写《危险废物厂内转运记录表》。</w:t>
            </w:r>
          </w:p>
          <w:p>
            <w:pPr>
              <w:pStyle w:val="745"/>
              <w:adjustRightInd/>
              <w:snapToGrid/>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危险废物内部转运结束后，应对转运路线进行检查和清理，无危险废物遗失在转运路线上。</w:t>
            </w:r>
          </w:p>
          <w:p>
            <w:pPr>
              <w:pStyle w:val="745"/>
              <w:adjustRightInd/>
              <w:snapToGrid/>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D、</w:t>
            </w:r>
            <w:r>
              <w:rPr>
                <w:rFonts w:ascii="Times New Roman" w:hAnsi="Times New Roman" w:eastAsia="宋体" w:cs="Times New Roman"/>
                <w:sz w:val="24"/>
                <w:szCs w:val="24"/>
              </w:rPr>
              <w:t>危险废物处置</w:t>
            </w:r>
          </w:p>
          <w:p>
            <w:pPr>
              <w:ind w:firstLine="480"/>
              <w:rPr>
                <w:kern w:val="24"/>
              </w:rPr>
            </w:pPr>
            <w:r>
              <w:t>本项目危险废物存放于危险废物暂存间，储存周期为半年，根据危险废物种类及数量，委托有资质的危险废物处置单位进行处理。</w:t>
            </w:r>
          </w:p>
          <w:p>
            <w:pPr>
              <w:ind w:firstLine="482"/>
              <w:rPr>
                <w:b/>
                <w:bCs/>
              </w:rPr>
            </w:pPr>
            <w:r>
              <w:rPr>
                <w:rFonts w:hint="eastAsia"/>
                <w:b/>
                <w:bCs/>
              </w:rPr>
              <w:t>(5)</w:t>
            </w:r>
            <w:r>
              <w:rPr>
                <w:b/>
                <w:bCs/>
              </w:rPr>
              <w:t>固体废物影响评价结论</w:t>
            </w:r>
          </w:p>
          <w:p>
            <w:pPr>
              <w:ind w:firstLine="480"/>
            </w:pPr>
            <w:r>
              <w:t>采取本项目提出的固体废物处置措施，各固体废物均得到合理处理处置，不会对环境造成二次污染。</w:t>
            </w:r>
          </w:p>
          <w:p>
            <w:pPr>
              <w:ind w:firstLine="482"/>
              <w:rPr>
                <w:b/>
                <w:bCs/>
              </w:rPr>
            </w:pPr>
            <w:r>
              <w:rPr>
                <w:b/>
                <w:bCs/>
              </w:rPr>
              <w:t>5、地下水</w:t>
            </w:r>
          </w:p>
          <w:p>
            <w:pPr>
              <w:ind w:firstLine="480"/>
            </w:pPr>
            <w:r>
              <w:rPr>
                <w:rFonts w:hint="eastAsia"/>
              </w:rPr>
              <w:t>(1)</w:t>
            </w:r>
            <w:r>
              <w:t>污染源及途径</w:t>
            </w:r>
          </w:p>
          <w:p>
            <w:pPr>
              <w:ind w:firstLine="480"/>
            </w:pPr>
            <w:r>
              <w:t>本项目地下水环境影响源及影响因子识别结果参见表</w:t>
            </w:r>
            <w:r>
              <w:rPr>
                <w:rFonts w:hint="eastAsia"/>
              </w:rPr>
              <w:t>4</w:t>
            </w:r>
            <w:r>
              <w:rPr>
                <w:rFonts w:hint="eastAsia"/>
                <w:lang w:val="en-US" w:eastAsia="zh-CN"/>
              </w:rPr>
              <w:t>3</w:t>
            </w:r>
            <w:r>
              <w:t>。</w:t>
            </w:r>
          </w:p>
          <w:p>
            <w:pPr>
              <w:ind w:firstLine="482"/>
              <w:jc w:val="center"/>
              <w:rPr>
                <w:b/>
              </w:rPr>
            </w:pPr>
            <w:r>
              <w:rPr>
                <w:b/>
              </w:rPr>
              <w:t>表</w:t>
            </w:r>
            <w:r>
              <w:rPr>
                <w:rFonts w:hint="eastAsia"/>
                <w:b/>
              </w:rPr>
              <w:t>4</w:t>
            </w:r>
            <w:r>
              <w:rPr>
                <w:rFonts w:hint="eastAsia"/>
                <w:b/>
                <w:lang w:val="en-US" w:eastAsia="zh-CN"/>
              </w:rPr>
              <w:t>3</w:t>
            </w:r>
            <w:r>
              <w:rPr>
                <w:rFonts w:hint="eastAsia"/>
                <w:b/>
              </w:rPr>
              <w:t xml:space="preserve"> </w:t>
            </w:r>
            <w:r>
              <w:rPr>
                <w:b/>
              </w:rPr>
              <w:t xml:space="preserve">   地下水环境影响源及影响因子识别表</w:t>
            </w:r>
          </w:p>
          <w:tbl>
            <w:tblPr>
              <w:tblStyle w:val="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393"/>
              <w:gridCol w:w="993"/>
              <w:gridCol w:w="1463"/>
              <w:gridCol w:w="1804"/>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37"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bCs/>
                      <w:sz w:val="18"/>
                      <w:szCs w:val="18"/>
                    </w:rPr>
                  </w:pPr>
                  <w:r>
                    <w:rPr>
                      <w:bCs/>
                      <w:sz w:val="18"/>
                      <w:szCs w:val="18"/>
                    </w:rPr>
                    <w:t>污染源</w:t>
                  </w:r>
                </w:p>
              </w:tc>
              <w:tc>
                <w:tcPr>
                  <w:tcW w:w="877"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bCs/>
                      <w:sz w:val="18"/>
                      <w:szCs w:val="18"/>
                    </w:rPr>
                  </w:pPr>
                  <w:r>
                    <w:rPr>
                      <w:bCs/>
                      <w:sz w:val="18"/>
                      <w:szCs w:val="18"/>
                    </w:rPr>
                    <w:t>工艺流程/节点</w:t>
                  </w:r>
                </w:p>
              </w:tc>
              <w:tc>
                <w:tcPr>
                  <w:tcW w:w="625"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bCs/>
                      <w:sz w:val="18"/>
                      <w:szCs w:val="18"/>
                    </w:rPr>
                  </w:pPr>
                  <w:r>
                    <w:rPr>
                      <w:bCs/>
                      <w:sz w:val="18"/>
                      <w:szCs w:val="18"/>
                    </w:rPr>
                    <w:t>污染途径</w:t>
                  </w:r>
                </w:p>
              </w:tc>
              <w:tc>
                <w:tcPr>
                  <w:tcW w:w="921"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bCs/>
                      <w:sz w:val="18"/>
                      <w:szCs w:val="18"/>
                    </w:rPr>
                  </w:pPr>
                  <w:r>
                    <w:rPr>
                      <w:bCs/>
                      <w:sz w:val="18"/>
                      <w:szCs w:val="18"/>
                    </w:rPr>
                    <w:t>污染因子</w:t>
                  </w:r>
                </w:p>
              </w:tc>
              <w:tc>
                <w:tcPr>
                  <w:tcW w:w="1136"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bCs/>
                      <w:sz w:val="18"/>
                      <w:szCs w:val="18"/>
                    </w:rPr>
                  </w:pPr>
                  <w:r>
                    <w:rPr>
                      <w:bCs/>
                      <w:sz w:val="18"/>
                      <w:szCs w:val="18"/>
                    </w:rPr>
                    <w:t>污染类型</w:t>
                  </w:r>
                </w:p>
              </w:tc>
              <w:tc>
                <w:tcPr>
                  <w:tcW w:w="601"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bCs/>
                      <w:sz w:val="18"/>
                      <w:szCs w:val="18"/>
                    </w:rPr>
                  </w:pPr>
                  <w:r>
                    <w:rPr>
                      <w:bCs/>
                      <w:sz w:val="18"/>
                      <w:szCs w:val="18"/>
                    </w:rPr>
                    <w:t>污染特征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37"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氨水储罐区</w:t>
                  </w:r>
                </w:p>
              </w:tc>
              <w:tc>
                <w:tcPr>
                  <w:tcW w:w="877"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氨水储存</w:t>
                  </w:r>
                </w:p>
              </w:tc>
              <w:tc>
                <w:tcPr>
                  <w:tcW w:w="625"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垂直入渗</w:t>
                  </w:r>
                </w:p>
              </w:tc>
              <w:tc>
                <w:tcPr>
                  <w:tcW w:w="921"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NH</w:t>
                  </w:r>
                  <w:r>
                    <w:rPr>
                      <w:sz w:val="18"/>
                      <w:szCs w:val="18"/>
                      <w:vertAlign w:val="subscript"/>
                    </w:rPr>
                    <w:t>3</w:t>
                  </w:r>
                  <w:r>
                    <w:rPr>
                      <w:sz w:val="18"/>
                      <w:szCs w:val="18"/>
                    </w:rPr>
                    <w:t>-N</w:t>
                  </w:r>
                </w:p>
              </w:tc>
              <w:tc>
                <w:tcPr>
                  <w:tcW w:w="1136"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易分解无机污染物</w:t>
                  </w:r>
                </w:p>
              </w:tc>
              <w:tc>
                <w:tcPr>
                  <w:tcW w:w="601"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37"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rFonts w:hint="default" w:eastAsia="宋体"/>
                      <w:sz w:val="18"/>
                      <w:szCs w:val="18"/>
                      <w:lang w:val="en-US" w:eastAsia="zh-CN"/>
                    </w:rPr>
                  </w:pPr>
                  <w:r>
                    <w:rPr>
                      <w:rFonts w:hint="eastAsia"/>
                      <w:sz w:val="18"/>
                      <w:szCs w:val="18"/>
                      <w:lang w:val="en-US" w:eastAsia="zh-CN"/>
                    </w:rPr>
                    <w:t>酸碱罐区</w:t>
                  </w:r>
                </w:p>
              </w:tc>
              <w:tc>
                <w:tcPr>
                  <w:tcW w:w="877"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rFonts w:hint="default" w:eastAsia="宋体"/>
                      <w:sz w:val="18"/>
                      <w:szCs w:val="18"/>
                      <w:lang w:val="en-US" w:eastAsia="zh-CN"/>
                    </w:rPr>
                  </w:pPr>
                  <w:r>
                    <w:rPr>
                      <w:rFonts w:hint="eastAsia"/>
                      <w:sz w:val="18"/>
                      <w:szCs w:val="18"/>
                      <w:lang w:val="en-US" w:eastAsia="zh-CN"/>
                    </w:rPr>
                    <w:t>30%HCl存储、30%NaOH存储</w:t>
                  </w:r>
                </w:p>
              </w:tc>
              <w:tc>
                <w:tcPr>
                  <w:tcW w:w="625"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垂直入渗</w:t>
                  </w:r>
                </w:p>
              </w:tc>
              <w:tc>
                <w:tcPr>
                  <w:tcW w:w="921"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rFonts w:hint="eastAsia" w:eastAsia="宋体"/>
                      <w:sz w:val="18"/>
                      <w:szCs w:val="18"/>
                      <w:lang w:val="en-US" w:eastAsia="zh-CN"/>
                    </w:rPr>
                  </w:pPr>
                  <w:r>
                    <w:rPr>
                      <w:rFonts w:hint="eastAsia"/>
                      <w:sz w:val="18"/>
                      <w:szCs w:val="18"/>
                      <w:lang w:val="en-US" w:eastAsia="zh-CN"/>
                    </w:rPr>
                    <w:t>pH</w:t>
                  </w:r>
                </w:p>
              </w:tc>
              <w:tc>
                <w:tcPr>
                  <w:tcW w:w="1136"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rFonts w:hint="eastAsia"/>
                      <w:sz w:val="18"/>
                      <w:szCs w:val="18"/>
                      <w:lang w:val="en-US" w:eastAsia="zh-CN"/>
                    </w:rPr>
                    <w:t>pH</w:t>
                  </w:r>
                </w:p>
              </w:tc>
              <w:tc>
                <w:tcPr>
                  <w:tcW w:w="601"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37"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rFonts w:hint="default"/>
                      <w:sz w:val="18"/>
                      <w:szCs w:val="18"/>
                      <w:lang w:val="en-US" w:eastAsia="zh-CN"/>
                    </w:rPr>
                  </w:pPr>
                  <w:r>
                    <w:rPr>
                      <w:rFonts w:hint="eastAsia"/>
                      <w:sz w:val="18"/>
                      <w:szCs w:val="18"/>
                      <w:lang w:val="en-US" w:eastAsia="zh-CN"/>
                    </w:rPr>
                    <w:t>事故油池</w:t>
                  </w:r>
                </w:p>
              </w:tc>
              <w:tc>
                <w:tcPr>
                  <w:tcW w:w="877"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rFonts w:hint="default"/>
                      <w:sz w:val="18"/>
                      <w:szCs w:val="18"/>
                      <w:lang w:val="en-US" w:eastAsia="zh-CN"/>
                    </w:rPr>
                  </w:pPr>
                  <w:r>
                    <w:rPr>
                      <w:rFonts w:hint="eastAsia"/>
                      <w:sz w:val="18"/>
                      <w:szCs w:val="18"/>
                      <w:lang w:val="en-US" w:eastAsia="zh-CN"/>
                    </w:rPr>
                    <w:t>汽机跨主油箱</w:t>
                  </w:r>
                </w:p>
              </w:tc>
              <w:tc>
                <w:tcPr>
                  <w:tcW w:w="625"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垂直入渗</w:t>
                  </w:r>
                </w:p>
              </w:tc>
              <w:tc>
                <w:tcPr>
                  <w:tcW w:w="921"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rFonts w:hint="default"/>
                      <w:sz w:val="18"/>
                      <w:szCs w:val="18"/>
                      <w:lang w:val="en-US" w:eastAsia="zh-CN"/>
                    </w:rPr>
                  </w:pPr>
                  <w:r>
                    <w:rPr>
                      <w:rFonts w:hint="eastAsia"/>
                      <w:sz w:val="18"/>
                      <w:szCs w:val="18"/>
                      <w:lang w:val="en-US" w:eastAsia="zh-CN"/>
                    </w:rPr>
                    <w:t>石油类</w:t>
                  </w:r>
                </w:p>
              </w:tc>
              <w:tc>
                <w:tcPr>
                  <w:tcW w:w="1136"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rFonts w:hint="eastAsia"/>
                      <w:sz w:val="18"/>
                      <w:szCs w:val="18"/>
                      <w:lang w:val="en-US" w:eastAsia="zh-CN"/>
                    </w:rPr>
                  </w:pPr>
                  <w:r>
                    <w:rPr>
                      <w:rFonts w:hint="eastAsia"/>
                      <w:sz w:val="18"/>
                      <w:szCs w:val="18"/>
                      <w:lang w:val="en-US" w:eastAsia="zh-CN"/>
                    </w:rPr>
                    <w:t>石油类</w:t>
                  </w:r>
                </w:p>
              </w:tc>
              <w:tc>
                <w:tcPr>
                  <w:tcW w:w="601"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60" w:lineRule="exact"/>
                    <w:ind w:firstLine="0" w:firstLineChars="0"/>
                    <w:jc w:val="center"/>
                    <w:rPr>
                      <w:sz w:val="18"/>
                      <w:szCs w:val="18"/>
                    </w:rPr>
                  </w:pPr>
                  <w:r>
                    <w:rPr>
                      <w:sz w:val="18"/>
                      <w:szCs w:val="18"/>
                    </w:rPr>
                    <w:t>间断</w:t>
                  </w:r>
                </w:p>
              </w:tc>
            </w:tr>
          </w:tbl>
          <w:p>
            <w:pPr>
              <w:spacing w:line="480" w:lineRule="exact"/>
              <w:ind w:firstLine="480"/>
            </w:pPr>
            <w:r>
              <w:t>(2)分区防渗</w:t>
            </w:r>
          </w:p>
          <w:p>
            <w:pPr>
              <w:spacing w:line="480" w:lineRule="exact"/>
              <w:ind w:firstLine="480"/>
            </w:pPr>
            <w:r>
              <w:t>为防止项目建设对地下水的影响，项目采取分区治理的方式进行防渗处理。</w:t>
            </w:r>
          </w:p>
          <w:p>
            <w:pPr>
              <w:spacing w:line="480" w:lineRule="exact"/>
              <w:ind w:firstLine="480"/>
            </w:pPr>
            <w:r>
              <w:rPr>
                <w:rFonts w:hint="eastAsia" w:ascii="宋体" w:hAnsi="宋体" w:cs="宋体"/>
              </w:rPr>
              <w:t>①</w:t>
            </w:r>
            <w:r>
              <w:t>分区防控措施：主要包括相关区域地面的防渗措施及污染物收集措施。拟建项目依据相关规范设计地下水污染防渗措施，防渗设计要能满足《环境影响评价技术导则 地下水环境》（HJ610-2016）地下水污染防渗分区防渗技术要求。所有设施，正常工况下，不会对地下水环境产生影响。</w:t>
            </w:r>
          </w:p>
          <w:p>
            <w:pPr>
              <w:spacing w:line="480" w:lineRule="exact"/>
              <w:ind w:firstLine="480"/>
            </w:pPr>
            <w:r>
              <w:rPr>
                <w:rFonts w:hint="eastAsia" w:ascii="宋体" w:hAnsi="宋体" w:cs="宋体"/>
              </w:rPr>
              <w:t>②</w:t>
            </w:r>
            <w:r>
              <w:t>污染监控措施：安排专人定期进行检查，发生地面破裂、泄漏易于及时发现。</w:t>
            </w:r>
          </w:p>
          <w:p>
            <w:pPr>
              <w:spacing w:line="480" w:lineRule="exact"/>
              <w:ind w:firstLine="480"/>
            </w:pPr>
            <w:r>
              <w:rPr>
                <w:rFonts w:hint="eastAsia" w:ascii="宋体" w:hAnsi="宋体" w:cs="宋体"/>
              </w:rPr>
              <w:t>③</w:t>
            </w:r>
            <w:r>
              <w:t>应急响应措施：建设单位通过严格管理，专人巡检等方式进行监管，非正常情况渗漏一经发现，启动应急预案，立即采取封堵、吸收、吸附等措施，防止大量泄漏。综上所述，地下水防渗措施符合《环境影响评价技术导则 地下水环境》（HJ610-2016）相关要求，能够有效防控地下水污染。</w:t>
            </w:r>
          </w:p>
          <w:p>
            <w:pPr>
              <w:spacing w:line="480" w:lineRule="exact"/>
              <w:ind w:firstLine="482"/>
              <w:jc w:val="center"/>
              <w:rPr>
                <w:b/>
              </w:rPr>
            </w:pPr>
            <w:r>
              <w:rPr>
                <w:b/>
              </w:rPr>
              <w:t>表</w:t>
            </w:r>
            <w:r>
              <w:rPr>
                <w:rFonts w:hint="eastAsia"/>
                <w:b/>
              </w:rPr>
              <w:t>4</w:t>
            </w:r>
            <w:r>
              <w:rPr>
                <w:rFonts w:hint="eastAsia"/>
                <w:b/>
                <w:lang w:val="en-US" w:eastAsia="zh-CN"/>
              </w:rPr>
              <w:t>4</w:t>
            </w:r>
            <w:r>
              <w:rPr>
                <w:b/>
              </w:rPr>
              <w:t xml:space="preserve">    项目防渗措施设计方案一览表</w:t>
            </w:r>
          </w:p>
          <w:tbl>
            <w:tblPr>
              <w:tblStyle w:val="7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6"/>
              <w:gridCol w:w="1337"/>
              <w:gridCol w:w="2826"/>
              <w:gridCol w:w="2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36"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防渗级别</w:t>
                  </w:r>
                </w:p>
              </w:tc>
              <w:tc>
                <w:tcPr>
                  <w:tcW w:w="842"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防渗区域</w:t>
                  </w:r>
                </w:p>
              </w:tc>
              <w:tc>
                <w:tcPr>
                  <w:tcW w:w="1780"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防渗技术要求</w:t>
                  </w:r>
                </w:p>
              </w:tc>
              <w:tc>
                <w:tcPr>
                  <w:tcW w:w="1540"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防渗效果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36"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重点防渗区</w:t>
                  </w:r>
                </w:p>
              </w:tc>
              <w:tc>
                <w:tcPr>
                  <w:tcW w:w="842"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rFonts w:hint="default" w:eastAsia="宋体"/>
                      <w:sz w:val="18"/>
                      <w:szCs w:val="18"/>
                      <w:lang w:val="en-US" w:eastAsia="zh-CN"/>
                    </w:rPr>
                  </w:pPr>
                  <w:r>
                    <w:rPr>
                      <w:sz w:val="18"/>
                      <w:szCs w:val="18"/>
                    </w:rPr>
                    <w:t>氨水储罐区</w:t>
                  </w:r>
                  <w:r>
                    <w:rPr>
                      <w:rFonts w:hint="eastAsia"/>
                      <w:sz w:val="18"/>
                      <w:szCs w:val="18"/>
                      <w:lang w:eastAsia="zh-CN"/>
                    </w:rPr>
                    <w:t>、</w:t>
                  </w:r>
                  <w:r>
                    <w:rPr>
                      <w:rFonts w:hint="eastAsia"/>
                      <w:sz w:val="18"/>
                      <w:szCs w:val="18"/>
                      <w:lang w:val="en-US" w:eastAsia="zh-CN"/>
                    </w:rPr>
                    <w:t>酸碱罐区、事故油池</w:t>
                  </w:r>
                </w:p>
              </w:tc>
              <w:tc>
                <w:tcPr>
                  <w:tcW w:w="1780"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采用20cm厚防渗混凝土浇筑，并铺设2mm厚高密度聚乙烯</w:t>
                  </w:r>
                </w:p>
              </w:tc>
              <w:tc>
                <w:tcPr>
                  <w:tcW w:w="1540"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等效黏土防渗层Mb≥6m，K≤10</w:t>
                  </w:r>
                  <w:r>
                    <w:rPr>
                      <w:sz w:val="18"/>
                      <w:szCs w:val="18"/>
                      <w:vertAlign w:val="superscript"/>
                    </w:rPr>
                    <w:t>-10</w:t>
                  </w:r>
                  <w:r>
                    <w:rPr>
                      <w:sz w:val="18"/>
                      <w:szCs w:val="18"/>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36"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简单防渗区</w:t>
                  </w:r>
                </w:p>
              </w:tc>
              <w:tc>
                <w:tcPr>
                  <w:tcW w:w="842"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rFonts w:hint="eastAsia"/>
                      <w:sz w:val="18"/>
                      <w:szCs w:val="18"/>
                    </w:rPr>
                    <w:t>其他区域</w:t>
                  </w:r>
                </w:p>
              </w:tc>
              <w:tc>
                <w:tcPr>
                  <w:tcW w:w="1780"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水泥硬化</w:t>
                  </w:r>
                </w:p>
              </w:tc>
              <w:tc>
                <w:tcPr>
                  <w:tcW w:w="1540" w:type="pct"/>
                  <w:tcBorders>
                    <w:top w:val="single" w:color="000000" w:sz="4" w:space="0"/>
                    <w:left w:val="single" w:color="000000" w:sz="4" w:space="0"/>
                    <w:bottom w:val="single" w:color="000000" w:sz="4" w:space="0"/>
                    <w:right w:val="single" w:color="000000" w:sz="4" w:space="0"/>
                  </w:tcBorders>
                  <w:vAlign w:val="center"/>
                </w:tcPr>
                <w:p>
                  <w:pPr>
                    <w:autoSpaceDE w:val="0"/>
                    <w:snapToGrid w:val="0"/>
                    <w:spacing w:line="360" w:lineRule="exact"/>
                    <w:ind w:firstLine="0" w:firstLineChars="0"/>
                    <w:jc w:val="center"/>
                    <w:rPr>
                      <w:sz w:val="18"/>
                      <w:szCs w:val="18"/>
                    </w:rPr>
                  </w:pPr>
                  <w:r>
                    <w:rPr>
                      <w:sz w:val="18"/>
                      <w:szCs w:val="18"/>
                    </w:rPr>
                    <w:t>一般地面硬化</w:t>
                  </w:r>
                </w:p>
              </w:tc>
            </w:tr>
          </w:tbl>
          <w:p>
            <w:pPr>
              <w:ind w:firstLine="480"/>
              <w:rPr>
                <w:b/>
                <w:bCs/>
              </w:rPr>
            </w:pPr>
            <w:r>
              <w:t>项目采取以上防渗措施处理后，可有效阻止污染物下渗，综上所述，本项目建设对周围水环境影响较小，且项目厂界外500m范围内无地下水集中式饮用水水源和热水、矿泉水、温泉等特殊地下水资源，可不开展地下水跟踪监测。</w:t>
            </w:r>
          </w:p>
          <w:p>
            <w:pPr>
              <w:ind w:firstLine="442"/>
              <w:rPr>
                <w:b/>
                <w:spacing w:val="-10"/>
              </w:rPr>
            </w:pPr>
            <w:r>
              <w:rPr>
                <w:rFonts w:hint="eastAsia"/>
                <w:b/>
                <w:spacing w:val="-10"/>
              </w:rPr>
              <w:t>6、土壤</w:t>
            </w:r>
          </w:p>
          <w:p>
            <w:pPr>
              <w:ind w:firstLine="480"/>
            </w:pPr>
            <w:r>
              <w:t>本项目生产过程产生的废气为颗粒物</w:t>
            </w:r>
            <w:r>
              <w:rPr>
                <w:rFonts w:hint="eastAsia"/>
              </w:rPr>
              <w:t>、二氧化硫</w:t>
            </w:r>
            <w:r>
              <w:t>、</w:t>
            </w:r>
            <w:r>
              <w:rPr>
                <w:rFonts w:hint="eastAsia"/>
              </w:rPr>
              <w:t>氮氧化物，</w:t>
            </w:r>
            <w:r>
              <w:t>不含重金属且排放量较少，因此不会对土壤环境产生明显不利影响。</w:t>
            </w:r>
          </w:p>
          <w:p>
            <w:pPr>
              <w:pStyle w:val="153"/>
              <w:spacing w:line="360" w:lineRule="auto"/>
              <w:ind w:firstLine="480"/>
              <w:rPr>
                <w:rFonts w:ascii="Times New Roman" w:hAnsi="Times New Roman" w:cs="Times New Roman"/>
                <w:color w:val="auto"/>
              </w:rPr>
            </w:pPr>
            <w:r>
              <w:rPr>
                <w:rFonts w:ascii="Times New Roman" w:hAnsi="Times New Roman" w:cs="Times New Roman"/>
              </w:rPr>
              <w:t>本项目</w:t>
            </w:r>
            <w:r>
              <w:rPr>
                <w:rFonts w:hint="eastAsia"/>
              </w:rPr>
              <w:t>混床再生产生的酸、碱废水经地沟排至机组排水槽内，并加入少量酸、碱进行调节后与其他生产废水排入</w:t>
            </w:r>
            <w:r>
              <w:rPr>
                <w:rFonts w:hint="eastAsia" w:cs="Times New Roman" w:eastAsiaTheme="minorEastAsia"/>
                <w:color w:val="auto"/>
              </w:rPr>
              <w:t>迁安市九江线材有限责任公司</w:t>
            </w:r>
            <w:r>
              <w:rPr>
                <w:rFonts w:hint="eastAsia" w:ascii="宋体" w:hAnsi="宋体"/>
                <w:lang w:bidi="ar"/>
              </w:rPr>
              <w:t>厂区综合污水处理站</w:t>
            </w:r>
            <w:r>
              <w:rPr>
                <w:rFonts w:hint="eastAsia"/>
              </w:rPr>
              <w:t>，处理后回用于生产，不外排，不会对土壤产生影响。</w:t>
            </w:r>
          </w:p>
          <w:p>
            <w:pPr>
              <w:ind w:firstLine="480"/>
              <w:rPr>
                <w:b/>
                <w:bCs/>
              </w:rPr>
            </w:pPr>
            <w:r>
              <w:t>本项目可能对土壤产生影响的途径为项目使用的润滑油、液压油及废润滑油、废液压油</w:t>
            </w:r>
            <w:r>
              <w:rPr>
                <w:rFonts w:hint="eastAsia"/>
              </w:rPr>
              <w:t>、氨水</w:t>
            </w:r>
            <w:r>
              <w:rPr>
                <w:rFonts w:hint="eastAsia"/>
                <w:lang w:eastAsia="zh-CN"/>
              </w:rPr>
              <w:t>、</w:t>
            </w:r>
            <w:r>
              <w:rPr>
                <w:rFonts w:hint="eastAsia"/>
                <w:lang w:val="en-US" w:eastAsia="zh-CN"/>
              </w:rPr>
              <w:t>酸碱</w:t>
            </w:r>
            <w:r>
              <w:t>等滴落至地面垂直入渗进入土壤，针对可能产生的影响源，本项目采用如下防渗措施：</w:t>
            </w:r>
          </w:p>
          <w:p>
            <w:pPr>
              <w:ind w:firstLine="480"/>
              <w:rPr>
                <w:rFonts w:hint="default"/>
                <w:lang w:val="en-US"/>
              </w:rPr>
            </w:pPr>
            <w:r>
              <w:rPr>
                <w:rFonts w:hint="eastAsia"/>
              </w:rPr>
              <w:t>(1)</w:t>
            </w:r>
            <w:r>
              <w:t>危废间内的地面与裙角设置防渗层，</w:t>
            </w:r>
            <w:r>
              <w:rPr>
                <w:rFonts w:hint="eastAsia"/>
              </w:rPr>
              <w:t>采用“玻璃钢+水泥”硬化防渗，渗透系数小于10</w:t>
            </w:r>
            <w:r>
              <w:rPr>
                <w:rFonts w:hint="eastAsia"/>
                <w:vertAlign w:val="superscript"/>
              </w:rPr>
              <w:t>-10</w:t>
            </w:r>
            <w:r>
              <w:rPr>
                <w:rFonts w:hint="eastAsia"/>
              </w:rPr>
              <w:t>cm/s</w:t>
            </w:r>
            <w:r>
              <w:t>。生产设备下设托盘，用于收集生产过程产生的废油，确保危废不落地</w:t>
            </w:r>
            <w:r>
              <w:rPr>
                <w:rFonts w:hint="eastAsia"/>
              </w:rPr>
              <w:t>；氨水储罐区</w:t>
            </w:r>
            <w:r>
              <w:rPr>
                <w:rFonts w:hint="eastAsia"/>
                <w:lang w:eastAsia="zh-CN"/>
              </w:rPr>
              <w:t>、</w:t>
            </w:r>
            <w:r>
              <w:rPr>
                <w:rFonts w:hint="eastAsia"/>
                <w:lang w:val="en-US" w:eastAsia="zh-CN"/>
              </w:rPr>
              <w:t>酸碱罐区池、</w:t>
            </w:r>
            <w:r>
              <w:rPr>
                <w:rFonts w:hint="eastAsia"/>
                <w:szCs w:val="21"/>
                <w:lang w:val="en-US" w:eastAsia="zh-CN"/>
              </w:rPr>
              <w:t>事故油池</w:t>
            </w:r>
            <w:r>
              <w:rPr>
                <w:szCs w:val="21"/>
              </w:rPr>
              <w:t>采用20cm厚防渗混凝土浇筑，并铺设2mm厚高密度聚乙烯</w:t>
            </w:r>
            <w:r>
              <w:rPr>
                <w:rFonts w:hint="eastAsia"/>
                <w:szCs w:val="21"/>
              </w:rPr>
              <w:t>进行防渗</w:t>
            </w:r>
            <w:r>
              <w:rPr>
                <w:rFonts w:hint="eastAsia"/>
                <w:szCs w:val="21"/>
                <w:lang w:eastAsia="zh-CN"/>
              </w:rPr>
              <w:t>，</w:t>
            </w:r>
            <w:r>
              <w:rPr>
                <w:rFonts w:hint="eastAsia"/>
              </w:rPr>
              <w:t>渗透系数小于</w:t>
            </w:r>
            <w:r>
              <w:rPr>
                <w:rFonts w:hint="eastAsia"/>
                <w:szCs w:val="21"/>
                <w:lang w:eastAsia="zh-CN"/>
              </w:rPr>
              <w:t>10</w:t>
            </w:r>
            <w:r>
              <w:rPr>
                <w:rFonts w:hint="eastAsia"/>
                <w:szCs w:val="21"/>
                <w:vertAlign w:val="superscript"/>
                <w:lang w:eastAsia="zh-CN"/>
              </w:rPr>
              <w:t>-10</w:t>
            </w:r>
            <w:r>
              <w:rPr>
                <w:rFonts w:hint="eastAsia"/>
                <w:szCs w:val="21"/>
                <w:lang w:eastAsia="zh-CN"/>
              </w:rPr>
              <w:t>cm/s。</w:t>
            </w:r>
          </w:p>
          <w:p>
            <w:pPr>
              <w:ind w:firstLine="480"/>
            </w:pPr>
            <w:r>
              <w:rPr>
                <w:rFonts w:hint="eastAsia"/>
              </w:rPr>
              <w:t>(2)生产车间进行硬化，厂区其他区域非硬即绿。</w:t>
            </w:r>
          </w:p>
          <w:p>
            <w:pPr>
              <w:ind w:firstLine="480"/>
            </w:pPr>
            <w:r>
              <w:t>采取上述措施后，项目的建设不会对土壤环境环境产生影响，无需进行跟踪监测。</w:t>
            </w:r>
          </w:p>
          <w:p>
            <w:pPr>
              <w:ind w:firstLine="442"/>
              <w:rPr>
                <w:b/>
                <w:spacing w:val="-10"/>
              </w:rPr>
            </w:pPr>
            <w:r>
              <w:rPr>
                <w:rFonts w:hint="eastAsia"/>
                <w:b/>
                <w:spacing w:val="-10"/>
              </w:rPr>
              <w:t>7、生态影响分析</w:t>
            </w:r>
          </w:p>
          <w:p>
            <w:pPr>
              <w:ind w:firstLine="480"/>
              <w:rPr>
                <w:b/>
                <w:spacing w:val="-10"/>
              </w:rPr>
            </w:pPr>
            <w:r>
              <w:t>本项目位于</w:t>
            </w:r>
            <w:r>
              <w:rPr>
                <w:rFonts w:hint="eastAsia" w:eastAsiaTheme="minorEastAsia"/>
                <w:kern w:val="0"/>
              </w:rPr>
              <w:t>河北迁安经济开发区(迁安市木厂口镇)，公司现有厂区内</w:t>
            </w:r>
            <w:r>
              <w:t>，</w:t>
            </w:r>
            <w:r>
              <w:rPr>
                <w:rFonts w:hint="eastAsia"/>
              </w:rPr>
              <w:t>附近无敏感</w:t>
            </w:r>
            <w:r>
              <w:t>生态保护目标，</w:t>
            </w:r>
            <w:r>
              <w:rPr>
                <w:rFonts w:hint="eastAsia"/>
              </w:rPr>
              <w:t>对周围生态环境影响很小</w:t>
            </w:r>
            <w:r>
              <w:t>。</w:t>
            </w:r>
          </w:p>
          <w:p>
            <w:pPr>
              <w:ind w:firstLine="442"/>
              <w:rPr>
                <w:b/>
                <w:spacing w:val="-10"/>
              </w:rPr>
            </w:pPr>
            <w:r>
              <w:rPr>
                <w:rFonts w:hint="eastAsia"/>
                <w:b/>
                <w:spacing w:val="-10"/>
              </w:rPr>
              <w:t>8</w:t>
            </w:r>
            <w:r>
              <w:rPr>
                <w:b/>
                <w:spacing w:val="-10"/>
              </w:rPr>
              <w:t>、环境风险</w:t>
            </w:r>
          </w:p>
          <w:p>
            <w:pPr>
              <w:adjustRightInd w:val="0"/>
              <w:snapToGrid w:val="0"/>
              <w:ind w:firstLine="480"/>
            </w:pPr>
            <w:r>
              <w:t>从预测结果分析，风险事故发生后对周围环境产生影响较小。若发生风险事故，应及时启动风险应急预案，将事故影响程度减少到最低。在建设单位严格落实各项风险防范措施和风险应急预案的前提下，工程环境风险可防可控，项目建设是可行的，详见环境风险评价专章。</w:t>
            </w:r>
          </w:p>
        </w:tc>
      </w:tr>
    </w:tbl>
    <w:p>
      <w:pPr>
        <w:adjustRightInd w:val="0"/>
        <w:snapToGrid w:val="0"/>
        <w:ind w:firstLine="723"/>
        <w:rPr>
          <w:rFonts w:eastAsiaTheme="minorEastAsia"/>
          <w:b/>
          <w:color w:val="0000FF"/>
          <w:kern w:val="0"/>
          <w:sz w:val="36"/>
          <w:szCs w:val="36"/>
        </w:rPr>
        <w:sectPr>
          <w:pgSz w:w="11905" w:h="16838"/>
          <w:pgMar w:top="1701" w:right="1531" w:bottom="1701" w:left="1531" w:header="851" w:footer="850" w:gutter="0"/>
          <w:cols w:space="0" w:num="1"/>
          <w:docGrid w:linePitch="312" w:charSpace="0"/>
        </w:sectPr>
      </w:pPr>
    </w:p>
    <w:p>
      <w:pPr>
        <w:pStyle w:val="72"/>
        <w:snapToGrid w:val="0"/>
        <w:spacing w:before="0" w:beforeAutospacing="0" w:after="0" w:afterAutospacing="0" w:line="240" w:lineRule="auto"/>
        <w:ind w:firstLine="0" w:firstLineChars="0"/>
        <w:outlineLvl w:val="0"/>
        <w:rPr>
          <w:rFonts w:ascii="Times New Roman" w:hAnsi="Times New Roman" w:eastAsiaTheme="minorEastAsia"/>
          <w:b/>
          <w:bCs/>
          <w:snapToGrid w:val="0"/>
          <w:sz w:val="32"/>
          <w:szCs w:val="32"/>
        </w:rPr>
      </w:pPr>
      <w:r>
        <w:rPr>
          <w:rFonts w:ascii="Times New Roman" w:hAnsi="Times New Roman" w:eastAsiaTheme="minorEastAsia"/>
          <w:b/>
          <w:bCs/>
          <w:snapToGrid w:val="0"/>
          <w:sz w:val="32"/>
          <w:szCs w:val="32"/>
        </w:rPr>
        <w:t>五、</w:t>
      </w:r>
      <w:bookmarkStart w:id="2" w:name="_Hlk54167917"/>
      <w:r>
        <w:rPr>
          <w:rFonts w:ascii="Times New Roman" w:hAnsi="Times New Roman" w:eastAsiaTheme="minorEastAsia"/>
          <w:b/>
          <w:bCs/>
          <w:snapToGrid w:val="0"/>
          <w:sz w:val="32"/>
          <w:szCs w:val="32"/>
        </w:rPr>
        <w:t>环境保护措施监督检查清单</w:t>
      </w:r>
      <w:bookmarkEnd w:id="2"/>
    </w:p>
    <w:tbl>
      <w:tblPr>
        <w:tblStyle w:val="7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25"/>
        <w:gridCol w:w="1569"/>
        <w:gridCol w:w="1185"/>
        <w:gridCol w:w="852"/>
        <w:gridCol w:w="755"/>
        <w:gridCol w:w="34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tcBorders>
              <w:tl2br w:val="single" w:color="auto" w:sz="4" w:space="0"/>
            </w:tcBorders>
          </w:tcPr>
          <w:p>
            <w:pPr>
              <w:adjustRightInd w:val="0"/>
              <w:snapToGrid w:val="0"/>
              <w:spacing w:line="240" w:lineRule="auto"/>
              <w:ind w:firstLine="0" w:firstLineChars="0"/>
              <w:jc w:val="right"/>
              <w:rPr>
                <w:b/>
                <w:bCs/>
              </w:rPr>
            </w:pPr>
            <w:r>
              <w:rPr>
                <w:b/>
                <w:bCs/>
              </w:rPr>
              <w:t>内容</w:t>
            </w:r>
          </w:p>
          <w:p>
            <w:pPr>
              <w:adjustRightInd w:val="0"/>
              <w:snapToGrid w:val="0"/>
              <w:spacing w:line="240" w:lineRule="auto"/>
              <w:ind w:firstLine="0" w:firstLineChars="0"/>
              <w:rPr>
                <w:b/>
                <w:bCs/>
              </w:rPr>
            </w:pPr>
            <w:r>
              <w:rPr>
                <w:b/>
                <w:bCs/>
              </w:rPr>
              <w:t>要素</w:t>
            </w:r>
          </w:p>
        </w:tc>
        <w:tc>
          <w:tcPr>
            <w:tcW w:w="1569" w:type="dxa"/>
            <w:vAlign w:val="center"/>
          </w:tcPr>
          <w:p>
            <w:pPr>
              <w:adjustRightInd w:val="0"/>
              <w:snapToGrid w:val="0"/>
              <w:spacing w:line="240" w:lineRule="auto"/>
              <w:ind w:firstLine="0" w:firstLineChars="0"/>
              <w:jc w:val="center"/>
              <w:rPr>
                <w:b/>
                <w:bCs/>
              </w:rPr>
            </w:pPr>
            <w:r>
              <w:rPr>
                <w:b/>
                <w:bCs/>
              </w:rPr>
              <w:t>排放口(编号、</w:t>
            </w:r>
          </w:p>
          <w:p>
            <w:pPr>
              <w:adjustRightInd w:val="0"/>
              <w:snapToGrid w:val="0"/>
              <w:spacing w:line="240" w:lineRule="auto"/>
              <w:ind w:firstLine="0" w:firstLineChars="0"/>
              <w:jc w:val="center"/>
              <w:rPr>
                <w:b/>
                <w:bCs/>
              </w:rPr>
            </w:pPr>
            <w:r>
              <w:rPr>
                <w:b/>
                <w:bCs/>
              </w:rPr>
              <w:t>名称)/污染源</w:t>
            </w:r>
          </w:p>
        </w:tc>
        <w:tc>
          <w:tcPr>
            <w:tcW w:w="1185" w:type="dxa"/>
            <w:vAlign w:val="center"/>
          </w:tcPr>
          <w:p>
            <w:pPr>
              <w:adjustRightInd w:val="0"/>
              <w:snapToGrid w:val="0"/>
              <w:spacing w:line="240" w:lineRule="auto"/>
              <w:ind w:firstLine="0" w:firstLineChars="0"/>
              <w:jc w:val="center"/>
              <w:rPr>
                <w:b/>
                <w:bCs/>
              </w:rPr>
            </w:pPr>
            <w:r>
              <w:rPr>
                <w:b/>
                <w:bCs/>
              </w:rPr>
              <w:t>污染物项目</w:t>
            </w:r>
          </w:p>
        </w:tc>
        <w:tc>
          <w:tcPr>
            <w:tcW w:w="1607" w:type="dxa"/>
            <w:gridSpan w:val="2"/>
            <w:vAlign w:val="center"/>
          </w:tcPr>
          <w:p>
            <w:pPr>
              <w:adjustRightInd w:val="0"/>
              <w:snapToGrid w:val="0"/>
              <w:spacing w:line="240" w:lineRule="auto"/>
              <w:ind w:firstLine="0" w:firstLineChars="0"/>
              <w:jc w:val="center"/>
              <w:rPr>
                <w:b/>
                <w:bCs/>
              </w:rPr>
            </w:pPr>
            <w:r>
              <w:rPr>
                <w:b/>
                <w:bCs/>
              </w:rPr>
              <w:t>环境保护措施</w:t>
            </w:r>
          </w:p>
        </w:tc>
        <w:tc>
          <w:tcPr>
            <w:tcW w:w="3415" w:type="dxa"/>
            <w:vAlign w:val="center"/>
          </w:tcPr>
          <w:p>
            <w:pPr>
              <w:adjustRightInd w:val="0"/>
              <w:snapToGrid w:val="0"/>
              <w:spacing w:line="240" w:lineRule="auto"/>
              <w:ind w:firstLine="0" w:firstLineChars="0"/>
              <w:jc w:val="center"/>
              <w:rPr>
                <w:b/>
                <w:bCs/>
              </w:rPr>
            </w:pPr>
            <w:r>
              <w:rPr>
                <w:b/>
                <w:bCs/>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Merge w:val="restart"/>
            <w:vAlign w:val="center"/>
          </w:tcPr>
          <w:p>
            <w:pPr>
              <w:adjustRightInd w:val="0"/>
              <w:snapToGrid w:val="0"/>
              <w:spacing w:line="240" w:lineRule="auto"/>
              <w:ind w:firstLine="0" w:firstLineChars="0"/>
              <w:jc w:val="center"/>
              <w:rPr>
                <w:kern w:val="0"/>
                <w:sz w:val="21"/>
                <w:szCs w:val="21"/>
                <w:lang w:bidi="ar"/>
              </w:rPr>
            </w:pPr>
            <w:r>
              <w:rPr>
                <w:kern w:val="0"/>
                <w:sz w:val="21"/>
                <w:szCs w:val="21"/>
                <w:lang w:bidi="ar"/>
              </w:rPr>
              <w:t>大气环境</w:t>
            </w:r>
          </w:p>
        </w:tc>
        <w:tc>
          <w:tcPr>
            <w:tcW w:w="1569" w:type="dxa"/>
            <w:vMerge w:val="restart"/>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煤气锅炉</w:t>
            </w:r>
          </w:p>
        </w:tc>
        <w:tc>
          <w:tcPr>
            <w:tcW w:w="1185" w:type="dxa"/>
            <w:vAlign w:val="center"/>
          </w:tcPr>
          <w:p>
            <w:pPr>
              <w:adjustRightInd w:val="0"/>
              <w:snapToGrid w:val="0"/>
              <w:spacing w:line="240" w:lineRule="auto"/>
              <w:ind w:firstLine="0" w:firstLineChars="0"/>
              <w:jc w:val="center"/>
              <w:rPr>
                <w:sz w:val="21"/>
                <w:szCs w:val="21"/>
              </w:rPr>
            </w:pPr>
            <w:r>
              <w:rPr>
                <w:rFonts w:hint="eastAsia"/>
                <w:sz w:val="21"/>
                <w:szCs w:val="21"/>
              </w:rPr>
              <w:t>颗粒物、SO</w:t>
            </w:r>
            <w:r>
              <w:rPr>
                <w:rFonts w:hint="eastAsia"/>
                <w:sz w:val="21"/>
                <w:szCs w:val="21"/>
                <w:vertAlign w:val="subscript"/>
              </w:rPr>
              <w:t>2</w:t>
            </w:r>
            <w:r>
              <w:rPr>
                <w:rFonts w:hint="eastAsia"/>
                <w:sz w:val="21"/>
                <w:szCs w:val="21"/>
              </w:rPr>
              <w:t>、NOx</w:t>
            </w:r>
          </w:p>
        </w:tc>
        <w:tc>
          <w:tcPr>
            <w:tcW w:w="1607" w:type="dxa"/>
            <w:gridSpan w:val="2"/>
            <w:vMerge w:val="restart"/>
            <w:vAlign w:val="center"/>
          </w:tcPr>
          <w:p>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低氮燃烧器+SCR脱硝+干法脱硫+布袋除尘器+100m排气筒</w:t>
            </w:r>
            <w:r>
              <w:rPr>
                <w:rFonts w:hint="eastAsia"/>
                <w:sz w:val="21"/>
                <w:szCs w:val="21"/>
                <w:lang w:val="en-US" w:eastAsia="zh-CN"/>
              </w:rPr>
              <w:t>(NOx、氨在线监测，风量为1150000m</w:t>
            </w:r>
            <w:r>
              <w:rPr>
                <w:rFonts w:hint="eastAsia"/>
                <w:sz w:val="21"/>
                <w:szCs w:val="21"/>
                <w:vertAlign w:val="superscript"/>
                <w:lang w:val="en-US" w:eastAsia="zh-CN"/>
              </w:rPr>
              <w:t>3</w:t>
            </w:r>
            <w:r>
              <w:rPr>
                <w:rFonts w:hint="eastAsia"/>
                <w:sz w:val="21"/>
                <w:szCs w:val="21"/>
                <w:lang w:val="en-US" w:eastAsia="zh-CN"/>
              </w:rPr>
              <w:t>/h)</w:t>
            </w:r>
          </w:p>
        </w:tc>
        <w:tc>
          <w:tcPr>
            <w:tcW w:w="3415" w:type="dxa"/>
            <w:vAlign w:val="center"/>
          </w:tcPr>
          <w:p>
            <w:pPr>
              <w:adjustRightInd w:val="0"/>
              <w:snapToGrid w:val="0"/>
              <w:spacing w:line="240" w:lineRule="auto"/>
              <w:ind w:firstLine="0" w:firstLineChars="0"/>
              <w:jc w:val="center"/>
              <w:rPr>
                <w:sz w:val="21"/>
                <w:szCs w:val="21"/>
              </w:rPr>
            </w:pPr>
            <w:r>
              <w:rPr>
                <w:rFonts w:hint="eastAsia"/>
                <w:sz w:val="21"/>
                <w:szCs w:val="21"/>
              </w:rPr>
              <w:t>《火电厂大气污染物排放标准》(GB13223-2011)表2大气污染物特别排放限值，同时满足唐山市钢铁、焦化超低排放和燃煤电厂深度减排实施方案》唐气领办2018(38)号钢铁企业自备电厂超低排放要求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Merge w:val="continue"/>
            <w:vAlign w:val="center"/>
          </w:tcPr>
          <w:p>
            <w:pPr>
              <w:adjustRightInd w:val="0"/>
              <w:snapToGrid w:val="0"/>
              <w:spacing w:line="240" w:lineRule="auto"/>
              <w:ind w:firstLine="0" w:firstLineChars="0"/>
              <w:jc w:val="center"/>
              <w:rPr>
                <w:kern w:val="0"/>
                <w:sz w:val="21"/>
                <w:szCs w:val="21"/>
                <w:lang w:bidi="ar"/>
              </w:rPr>
            </w:pPr>
          </w:p>
        </w:tc>
        <w:tc>
          <w:tcPr>
            <w:tcW w:w="1569" w:type="dxa"/>
            <w:vMerge w:val="continue"/>
            <w:vAlign w:val="center"/>
          </w:tcPr>
          <w:p>
            <w:pPr>
              <w:adjustRightInd w:val="0"/>
              <w:snapToGrid w:val="0"/>
              <w:spacing w:line="240" w:lineRule="auto"/>
              <w:ind w:firstLine="0" w:firstLineChars="0"/>
              <w:jc w:val="center"/>
              <w:rPr>
                <w:kern w:val="0"/>
                <w:sz w:val="21"/>
                <w:szCs w:val="21"/>
                <w:lang w:bidi="ar"/>
              </w:rPr>
            </w:pPr>
          </w:p>
        </w:tc>
        <w:tc>
          <w:tcPr>
            <w:tcW w:w="1185" w:type="dxa"/>
            <w:vAlign w:val="center"/>
          </w:tcPr>
          <w:p>
            <w:pPr>
              <w:adjustRightInd w:val="0"/>
              <w:snapToGrid w:val="0"/>
              <w:spacing w:line="240" w:lineRule="auto"/>
              <w:ind w:firstLine="0" w:firstLineChars="0"/>
              <w:jc w:val="center"/>
              <w:rPr>
                <w:sz w:val="21"/>
                <w:szCs w:val="21"/>
              </w:rPr>
            </w:pPr>
            <w:r>
              <w:rPr>
                <w:rFonts w:hint="eastAsia"/>
                <w:sz w:val="21"/>
                <w:szCs w:val="21"/>
              </w:rPr>
              <w:t>NH</w:t>
            </w:r>
            <w:r>
              <w:rPr>
                <w:rFonts w:hint="eastAsia"/>
                <w:sz w:val="21"/>
                <w:szCs w:val="21"/>
                <w:vertAlign w:val="subscript"/>
              </w:rPr>
              <w:t>3</w:t>
            </w:r>
          </w:p>
        </w:tc>
        <w:tc>
          <w:tcPr>
            <w:tcW w:w="1607" w:type="dxa"/>
            <w:gridSpan w:val="2"/>
            <w:vMerge w:val="continue"/>
            <w:vAlign w:val="center"/>
          </w:tcPr>
          <w:p>
            <w:pPr>
              <w:adjustRightInd w:val="0"/>
              <w:snapToGrid w:val="0"/>
              <w:spacing w:line="240" w:lineRule="auto"/>
              <w:ind w:firstLine="0" w:firstLineChars="0"/>
              <w:jc w:val="center"/>
              <w:rPr>
                <w:sz w:val="21"/>
                <w:szCs w:val="21"/>
              </w:rPr>
            </w:pPr>
          </w:p>
        </w:tc>
        <w:tc>
          <w:tcPr>
            <w:tcW w:w="3415" w:type="dxa"/>
            <w:vAlign w:val="center"/>
          </w:tcPr>
          <w:p>
            <w:pPr>
              <w:adjustRightInd w:val="0"/>
              <w:snapToGrid w:val="0"/>
              <w:spacing w:line="240" w:lineRule="auto"/>
              <w:ind w:firstLine="0" w:firstLineChars="0"/>
              <w:jc w:val="center"/>
              <w:rPr>
                <w:sz w:val="21"/>
                <w:szCs w:val="21"/>
              </w:rPr>
            </w:pPr>
            <w:r>
              <w:rPr>
                <w:rFonts w:hint="eastAsia"/>
                <w:sz w:val="21"/>
                <w:szCs w:val="21"/>
              </w:rPr>
              <w:t>《火电厂氮氧化物防治技术政策》(环发[2010]10号)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Merge w:val="continue"/>
            <w:vAlign w:val="center"/>
          </w:tcPr>
          <w:p>
            <w:pPr>
              <w:adjustRightInd w:val="0"/>
              <w:snapToGrid w:val="0"/>
              <w:spacing w:line="240" w:lineRule="auto"/>
              <w:ind w:firstLine="0" w:firstLineChars="0"/>
              <w:jc w:val="center"/>
              <w:rPr>
                <w:kern w:val="0"/>
                <w:sz w:val="21"/>
                <w:szCs w:val="21"/>
                <w:lang w:bidi="ar"/>
              </w:rPr>
            </w:pPr>
          </w:p>
        </w:tc>
        <w:tc>
          <w:tcPr>
            <w:tcW w:w="1569" w:type="dxa"/>
            <w:vAlign w:val="center"/>
          </w:tcPr>
          <w:p>
            <w:pPr>
              <w:adjustRightInd w:val="0"/>
              <w:snapToGrid w:val="0"/>
              <w:spacing w:line="240" w:lineRule="auto"/>
              <w:ind w:firstLine="0" w:firstLineChars="0"/>
              <w:jc w:val="center"/>
              <w:rPr>
                <w:kern w:val="0"/>
                <w:sz w:val="21"/>
                <w:szCs w:val="21"/>
                <w:lang w:bidi="ar"/>
              </w:rPr>
            </w:pPr>
            <w:r>
              <w:rPr>
                <w:rFonts w:hint="eastAsia"/>
                <w:kern w:val="0"/>
                <w:sz w:val="18"/>
                <w:szCs w:val="18"/>
              </w:rPr>
              <w:t>氨水罐</w:t>
            </w:r>
          </w:p>
        </w:tc>
        <w:tc>
          <w:tcPr>
            <w:tcW w:w="1185" w:type="dxa"/>
            <w:vAlign w:val="center"/>
          </w:tcPr>
          <w:p>
            <w:pPr>
              <w:pStyle w:val="128"/>
              <w:adjustRightInd/>
              <w:snapToGrid/>
              <w:spacing w:beforeLines="0" w:afterLines="0" w:line="280" w:lineRule="exact"/>
              <w:ind w:left="-120" w:leftChars="-50" w:right="-120" w:rightChars="-50" w:firstLine="0" w:firstLineChars="0"/>
              <w:rPr>
                <w:rFonts w:ascii="Times New Roman"/>
                <w:szCs w:val="21"/>
              </w:rPr>
            </w:pPr>
            <w:r>
              <w:rPr>
                <w:rFonts w:ascii="Times New Roman"/>
                <w:szCs w:val="21"/>
              </w:rPr>
              <w:t>NH</w:t>
            </w:r>
            <w:r>
              <w:rPr>
                <w:rFonts w:ascii="Times New Roman"/>
                <w:szCs w:val="21"/>
                <w:vertAlign w:val="subscript"/>
              </w:rPr>
              <w:t>3</w:t>
            </w:r>
          </w:p>
        </w:tc>
        <w:tc>
          <w:tcPr>
            <w:tcW w:w="1607" w:type="dxa"/>
            <w:gridSpan w:val="2"/>
            <w:vAlign w:val="center"/>
          </w:tcPr>
          <w:p>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密闭</w:t>
            </w:r>
            <w:r>
              <w:rPr>
                <w:rFonts w:hint="eastAsia"/>
                <w:sz w:val="21"/>
                <w:szCs w:val="21"/>
              </w:rPr>
              <w:t>氨水罐、管路均采用全密闭工艺</w:t>
            </w:r>
            <w:r>
              <w:rPr>
                <w:rFonts w:hint="eastAsia"/>
                <w:sz w:val="21"/>
                <w:szCs w:val="21"/>
                <w:lang w:eastAsia="zh-CN"/>
              </w:rPr>
              <w:t>，</w:t>
            </w:r>
            <w:r>
              <w:rPr>
                <w:rFonts w:hint="eastAsia"/>
                <w:sz w:val="21"/>
                <w:szCs w:val="21"/>
                <w:lang w:val="en-US" w:eastAsia="zh-CN"/>
              </w:rPr>
              <w:t>装卸料采取平衡管工艺。</w:t>
            </w:r>
          </w:p>
        </w:tc>
        <w:tc>
          <w:tcPr>
            <w:tcW w:w="3415" w:type="dxa"/>
            <w:vAlign w:val="center"/>
          </w:tcPr>
          <w:p>
            <w:pPr>
              <w:adjustRightInd w:val="0"/>
              <w:snapToGrid w:val="0"/>
              <w:spacing w:line="240" w:lineRule="auto"/>
              <w:ind w:firstLine="0" w:firstLineChars="0"/>
              <w:jc w:val="center"/>
              <w:rPr>
                <w:sz w:val="21"/>
                <w:szCs w:val="21"/>
              </w:rPr>
            </w:pPr>
            <w:r>
              <w:rPr>
                <w:rFonts w:hint="eastAsia"/>
                <w:sz w:val="21"/>
                <w:szCs w:val="21"/>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Merge w:val="continue"/>
            <w:vAlign w:val="center"/>
          </w:tcPr>
          <w:p>
            <w:pPr>
              <w:adjustRightInd w:val="0"/>
              <w:snapToGrid w:val="0"/>
              <w:spacing w:line="240" w:lineRule="auto"/>
              <w:ind w:firstLine="0" w:firstLineChars="0"/>
              <w:jc w:val="center"/>
              <w:rPr>
                <w:kern w:val="0"/>
                <w:sz w:val="21"/>
                <w:szCs w:val="21"/>
                <w:lang w:bidi="ar"/>
              </w:rPr>
            </w:pPr>
          </w:p>
        </w:tc>
        <w:tc>
          <w:tcPr>
            <w:tcW w:w="1569" w:type="dxa"/>
            <w:vAlign w:val="center"/>
          </w:tcPr>
          <w:p>
            <w:pPr>
              <w:adjustRightInd w:val="0"/>
              <w:snapToGrid w:val="0"/>
              <w:spacing w:line="240" w:lineRule="auto"/>
              <w:ind w:firstLine="0" w:firstLineChars="0"/>
              <w:jc w:val="center"/>
              <w:rPr>
                <w:rFonts w:hint="default" w:eastAsia="宋体"/>
                <w:kern w:val="0"/>
                <w:sz w:val="18"/>
                <w:szCs w:val="18"/>
                <w:lang w:val="en-US" w:eastAsia="zh-CN"/>
              </w:rPr>
            </w:pPr>
            <w:r>
              <w:rPr>
                <w:rFonts w:hint="eastAsia"/>
                <w:kern w:val="0"/>
                <w:sz w:val="18"/>
                <w:szCs w:val="18"/>
                <w:lang w:val="en-US" w:eastAsia="zh-CN"/>
              </w:rPr>
              <w:t>酸罐</w:t>
            </w:r>
          </w:p>
        </w:tc>
        <w:tc>
          <w:tcPr>
            <w:tcW w:w="1185" w:type="dxa"/>
            <w:vAlign w:val="center"/>
          </w:tcPr>
          <w:p>
            <w:pPr>
              <w:pStyle w:val="128"/>
              <w:adjustRightInd/>
              <w:snapToGrid/>
              <w:spacing w:beforeLines="0" w:afterLines="0" w:line="280" w:lineRule="exact"/>
              <w:ind w:left="-120" w:leftChars="-50" w:right="-120" w:rightChars="-50" w:firstLine="0" w:firstLineChars="0"/>
              <w:rPr>
                <w:rFonts w:hint="eastAsia" w:ascii="Times New Roman" w:eastAsia="宋体"/>
                <w:szCs w:val="21"/>
                <w:lang w:val="en-US" w:eastAsia="zh-CN"/>
              </w:rPr>
            </w:pPr>
            <w:r>
              <w:rPr>
                <w:rFonts w:hint="eastAsia" w:ascii="Times New Roman"/>
                <w:szCs w:val="21"/>
                <w:lang w:val="en-US" w:eastAsia="zh-CN"/>
              </w:rPr>
              <w:t>HCl</w:t>
            </w:r>
          </w:p>
        </w:tc>
        <w:tc>
          <w:tcPr>
            <w:tcW w:w="1607" w:type="dxa"/>
            <w:gridSpan w:val="2"/>
            <w:vAlign w:val="center"/>
          </w:tcPr>
          <w:p>
            <w:pPr>
              <w:adjustRightInd w:val="0"/>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密闭酸罐，</w:t>
            </w:r>
            <w:r>
              <w:rPr>
                <w:rFonts w:hint="eastAsia"/>
                <w:sz w:val="21"/>
                <w:szCs w:val="21"/>
              </w:rPr>
              <w:t>管路均采用全密闭工艺</w:t>
            </w:r>
            <w:r>
              <w:rPr>
                <w:rFonts w:hint="eastAsia"/>
                <w:sz w:val="21"/>
                <w:szCs w:val="21"/>
                <w:lang w:val="en-US" w:eastAsia="zh-CN"/>
              </w:rPr>
              <w:t>。</w:t>
            </w:r>
          </w:p>
        </w:tc>
        <w:tc>
          <w:tcPr>
            <w:tcW w:w="3415" w:type="dxa"/>
            <w:vAlign w:val="center"/>
          </w:tcPr>
          <w:p>
            <w:pPr>
              <w:adjustRightInd w:val="0"/>
              <w:snapToGrid w:val="0"/>
              <w:spacing w:line="240" w:lineRule="auto"/>
              <w:ind w:firstLine="0" w:firstLineChars="0"/>
              <w:jc w:val="center"/>
              <w:rPr>
                <w:rFonts w:hint="eastAsia"/>
                <w:sz w:val="21"/>
                <w:szCs w:val="21"/>
              </w:rPr>
            </w:pPr>
            <w:r>
              <w:rPr>
                <w:rFonts w:hint="eastAsia"/>
                <w:sz w:val="21"/>
                <w:szCs w:val="21"/>
                <w:lang w:val="en-US" w:eastAsia="zh-CN"/>
              </w:rPr>
              <w:t>钢铁工业大气污染物超低排放标准</w:t>
            </w:r>
            <w:r>
              <w:rPr>
                <w:rFonts w:hint="eastAsia"/>
                <w:sz w:val="21"/>
                <w:szCs w:val="21"/>
                <w:lang w:eastAsia="zh-CN"/>
              </w:rPr>
              <w:t>》（</w:t>
            </w:r>
            <w:r>
              <w:rPr>
                <w:rFonts w:hint="eastAsia"/>
                <w:sz w:val="21"/>
                <w:szCs w:val="21"/>
                <w:lang w:val="en-US" w:eastAsia="zh-CN"/>
              </w:rPr>
              <w:t>DB13/2169-2018</w:t>
            </w:r>
            <w:r>
              <w:rPr>
                <w:rFonts w:hint="eastAsia"/>
                <w:sz w:val="21"/>
                <w:szCs w:val="21"/>
                <w:lang w:eastAsia="zh-CN"/>
              </w:rPr>
              <w:t>）</w:t>
            </w:r>
            <w:r>
              <w:rPr>
                <w:rFonts w:hint="eastAsia"/>
                <w:sz w:val="21"/>
                <w:szCs w:val="21"/>
                <w:lang w:val="en-US" w:eastAsia="zh-CN"/>
              </w:rPr>
              <w:t>表5氯化氢排放浓度限值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Merge w:val="restart"/>
            <w:vAlign w:val="center"/>
          </w:tcPr>
          <w:p>
            <w:pPr>
              <w:pStyle w:val="128"/>
              <w:adjustRightInd/>
              <w:snapToGrid/>
              <w:spacing w:beforeLines="0" w:afterLines="0" w:line="280" w:lineRule="exact"/>
              <w:ind w:left="-120" w:leftChars="-50" w:right="-120" w:rightChars="-50" w:firstLine="0" w:firstLineChars="0"/>
              <w:rPr>
                <w:rFonts w:ascii="Times New Roman"/>
                <w:szCs w:val="21"/>
              </w:rPr>
            </w:pPr>
            <w:r>
              <w:rPr>
                <w:rFonts w:hint="eastAsia" w:ascii="Times New Roman"/>
                <w:szCs w:val="21"/>
              </w:rPr>
              <w:t>地表水环境</w:t>
            </w:r>
          </w:p>
        </w:tc>
        <w:tc>
          <w:tcPr>
            <w:tcW w:w="1569" w:type="dxa"/>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循环冷却水系统排污水</w:t>
            </w:r>
          </w:p>
        </w:tc>
        <w:tc>
          <w:tcPr>
            <w:tcW w:w="1185" w:type="dxa"/>
            <w:vMerge w:val="restart"/>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SS、COD</w:t>
            </w:r>
          </w:p>
        </w:tc>
        <w:tc>
          <w:tcPr>
            <w:tcW w:w="852" w:type="dxa"/>
            <w:vMerge w:val="restart"/>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污水管道</w:t>
            </w:r>
          </w:p>
        </w:tc>
        <w:tc>
          <w:tcPr>
            <w:tcW w:w="755" w:type="dxa"/>
            <w:vMerge w:val="restart"/>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迁安市九江线材有限责任公司污水处理站</w:t>
            </w:r>
          </w:p>
        </w:tc>
        <w:tc>
          <w:tcPr>
            <w:tcW w:w="3415" w:type="dxa"/>
            <w:vMerge w:val="restart"/>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处理后回用于生产，不外排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Merge w:val="continue"/>
            <w:vAlign w:val="center"/>
          </w:tcPr>
          <w:p>
            <w:pPr>
              <w:pStyle w:val="128"/>
              <w:adjustRightInd/>
              <w:snapToGrid/>
              <w:spacing w:beforeLines="0" w:afterLines="0" w:line="280" w:lineRule="exact"/>
              <w:ind w:left="-120" w:leftChars="-50" w:right="-120" w:rightChars="-50" w:firstLine="0" w:firstLineChars="0"/>
              <w:rPr>
                <w:rFonts w:ascii="Times New Roman"/>
                <w:szCs w:val="21"/>
              </w:rPr>
            </w:pPr>
          </w:p>
        </w:tc>
        <w:tc>
          <w:tcPr>
            <w:tcW w:w="1569" w:type="dxa"/>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锅炉启动系统冲洗排水</w:t>
            </w:r>
          </w:p>
        </w:tc>
        <w:tc>
          <w:tcPr>
            <w:tcW w:w="1185" w:type="dxa"/>
            <w:vMerge w:val="continue"/>
            <w:vAlign w:val="center"/>
          </w:tcPr>
          <w:p>
            <w:pPr>
              <w:adjustRightInd w:val="0"/>
              <w:snapToGrid w:val="0"/>
              <w:spacing w:line="240" w:lineRule="auto"/>
              <w:ind w:firstLine="0" w:firstLineChars="0"/>
              <w:jc w:val="center"/>
              <w:rPr>
                <w:kern w:val="0"/>
                <w:sz w:val="21"/>
                <w:szCs w:val="21"/>
                <w:lang w:bidi="ar"/>
              </w:rPr>
            </w:pPr>
          </w:p>
        </w:tc>
        <w:tc>
          <w:tcPr>
            <w:tcW w:w="852" w:type="dxa"/>
            <w:vMerge w:val="continue"/>
            <w:vAlign w:val="center"/>
          </w:tcPr>
          <w:p>
            <w:pPr>
              <w:adjustRightInd w:val="0"/>
              <w:snapToGrid w:val="0"/>
              <w:spacing w:line="240" w:lineRule="auto"/>
              <w:ind w:firstLine="0" w:firstLineChars="0"/>
              <w:jc w:val="center"/>
              <w:rPr>
                <w:kern w:val="0"/>
                <w:sz w:val="21"/>
                <w:szCs w:val="21"/>
                <w:lang w:bidi="ar"/>
              </w:rPr>
            </w:pPr>
          </w:p>
        </w:tc>
        <w:tc>
          <w:tcPr>
            <w:tcW w:w="755" w:type="dxa"/>
            <w:vMerge w:val="continue"/>
            <w:vAlign w:val="center"/>
          </w:tcPr>
          <w:p>
            <w:pPr>
              <w:pStyle w:val="128"/>
              <w:adjustRightInd/>
              <w:snapToGrid/>
              <w:spacing w:beforeLines="0" w:afterLines="0" w:line="280" w:lineRule="exact"/>
              <w:ind w:left="-120" w:leftChars="-50" w:right="-120" w:rightChars="-50" w:firstLine="0" w:firstLineChars="0"/>
              <w:rPr>
                <w:rFonts w:ascii="Times New Roman"/>
                <w:szCs w:val="21"/>
                <w:highlight w:val="yellow"/>
              </w:rPr>
            </w:pPr>
          </w:p>
        </w:tc>
        <w:tc>
          <w:tcPr>
            <w:tcW w:w="3415" w:type="dxa"/>
            <w:vMerge w:val="continue"/>
            <w:vAlign w:val="center"/>
          </w:tcPr>
          <w:p>
            <w:pPr>
              <w:pStyle w:val="128"/>
              <w:adjustRightInd/>
              <w:snapToGrid/>
              <w:spacing w:beforeLines="0" w:afterLines="0" w:line="280" w:lineRule="exact"/>
              <w:ind w:left="-120" w:leftChars="-50" w:right="-120" w:rightChars="-50" w:firstLine="0" w:firstLineChars="0"/>
              <w:rPr>
                <w:rFonts w:ascii="Times New Roman"/>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Merge w:val="continue"/>
            <w:vAlign w:val="center"/>
          </w:tcPr>
          <w:p>
            <w:pPr>
              <w:pStyle w:val="128"/>
              <w:adjustRightInd/>
              <w:snapToGrid/>
              <w:spacing w:beforeLines="0" w:afterLines="0" w:line="280" w:lineRule="exact"/>
              <w:ind w:left="-120" w:leftChars="-50" w:right="-120" w:rightChars="-50" w:firstLine="0" w:firstLineChars="0"/>
              <w:rPr>
                <w:rFonts w:ascii="Times New Roman"/>
                <w:szCs w:val="21"/>
              </w:rPr>
            </w:pPr>
          </w:p>
        </w:tc>
        <w:tc>
          <w:tcPr>
            <w:tcW w:w="1569" w:type="dxa"/>
            <w:vAlign w:val="center"/>
          </w:tcPr>
          <w:p>
            <w:pPr>
              <w:adjustRightInd w:val="0"/>
              <w:snapToGrid w:val="0"/>
              <w:spacing w:line="240" w:lineRule="auto"/>
              <w:ind w:firstLine="0" w:firstLineChars="0"/>
              <w:jc w:val="center"/>
              <w:rPr>
                <w:kern w:val="0"/>
                <w:sz w:val="21"/>
                <w:szCs w:val="21"/>
                <w:lang w:bidi="ar"/>
              </w:rPr>
            </w:pPr>
            <w:r>
              <w:rPr>
                <w:kern w:val="0"/>
                <w:sz w:val="21"/>
                <w:szCs w:val="21"/>
                <w:lang w:bidi="ar"/>
              </w:rPr>
              <w:t>除盐水制备工序产生的浓盐水</w:t>
            </w:r>
          </w:p>
        </w:tc>
        <w:tc>
          <w:tcPr>
            <w:tcW w:w="1185" w:type="dxa"/>
            <w:vMerge w:val="continue"/>
            <w:vAlign w:val="center"/>
          </w:tcPr>
          <w:p>
            <w:pPr>
              <w:adjustRightInd w:val="0"/>
              <w:snapToGrid w:val="0"/>
              <w:spacing w:line="240" w:lineRule="auto"/>
              <w:ind w:firstLine="0" w:firstLineChars="0"/>
              <w:jc w:val="center"/>
              <w:rPr>
                <w:kern w:val="0"/>
                <w:sz w:val="21"/>
                <w:szCs w:val="21"/>
                <w:lang w:bidi="ar"/>
              </w:rPr>
            </w:pPr>
          </w:p>
        </w:tc>
        <w:tc>
          <w:tcPr>
            <w:tcW w:w="852" w:type="dxa"/>
            <w:vMerge w:val="continue"/>
            <w:vAlign w:val="center"/>
          </w:tcPr>
          <w:p>
            <w:pPr>
              <w:adjustRightInd w:val="0"/>
              <w:snapToGrid w:val="0"/>
              <w:spacing w:line="240" w:lineRule="auto"/>
              <w:ind w:firstLine="0" w:firstLineChars="0"/>
              <w:jc w:val="center"/>
              <w:rPr>
                <w:kern w:val="0"/>
                <w:sz w:val="21"/>
                <w:szCs w:val="21"/>
                <w:lang w:bidi="ar"/>
              </w:rPr>
            </w:pPr>
          </w:p>
        </w:tc>
        <w:tc>
          <w:tcPr>
            <w:tcW w:w="755" w:type="dxa"/>
            <w:vMerge w:val="continue"/>
            <w:vAlign w:val="center"/>
          </w:tcPr>
          <w:p>
            <w:pPr>
              <w:pStyle w:val="128"/>
              <w:adjustRightInd/>
              <w:snapToGrid/>
              <w:spacing w:beforeLines="0" w:afterLines="0" w:line="280" w:lineRule="exact"/>
              <w:ind w:left="-120" w:leftChars="-50" w:right="-120" w:rightChars="-50" w:firstLine="0" w:firstLineChars="0"/>
              <w:rPr>
                <w:rFonts w:ascii="Times New Roman"/>
                <w:szCs w:val="21"/>
                <w:highlight w:val="yellow"/>
              </w:rPr>
            </w:pPr>
          </w:p>
        </w:tc>
        <w:tc>
          <w:tcPr>
            <w:tcW w:w="3415" w:type="dxa"/>
            <w:vMerge w:val="continue"/>
            <w:vAlign w:val="center"/>
          </w:tcPr>
          <w:p>
            <w:pPr>
              <w:pStyle w:val="128"/>
              <w:adjustRightInd/>
              <w:snapToGrid/>
              <w:spacing w:beforeLines="0" w:afterLines="0" w:line="280" w:lineRule="exact"/>
              <w:ind w:left="-120" w:leftChars="-50" w:right="-120" w:rightChars="-50" w:firstLine="0" w:firstLineChars="0"/>
              <w:rPr>
                <w:rFonts w:ascii="Times New Roman"/>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Merge w:val="continue"/>
            <w:vAlign w:val="center"/>
          </w:tcPr>
          <w:p>
            <w:pPr>
              <w:pStyle w:val="128"/>
              <w:adjustRightInd/>
              <w:snapToGrid/>
              <w:spacing w:beforeLines="0" w:afterLines="0" w:line="280" w:lineRule="exact"/>
              <w:ind w:left="-120" w:leftChars="-50" w:right="-120" w:rightChars="-50" w:firstLine="0" w:firstLineChars="0"/>
              <w:rPr>
                <w:rFonts w:ascii="Times New Roman"/>
                <w:szCs w:val="21"/>
              </w:rPr>
            </w:pPr>
          </w:p>
        </w:tc>
        <w:tc>
          <w:tcPr>
            <w:tcW w:w="1569" w:type="dxa"/>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混床再生</w:t>
            </w:r>
          </w:p>
        </w:tc>
        <w:tc>
          <w:tcPr>
            <w:tcW w:w="1185" w:type="dxa"/>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pH、COD、SS</w:t>
            </w:r>
          </w:p>
        </w:tc>
        <w:tc>
          <w:tcPr>
            <w:tcW w:w="852" w:type="dxa"/>
            <w:vAlign w:val="center"/>
          </w:tcPr>
          <w:p>
            <w:pPr>
              <w:adjustRightInd w:val="0"/>
              <w:snapToGrid w:val="0"/>
              <w:spacing w:line="240" w:lineRule="auto"/>
              <w:ind w:firstLine="0" w:firstLineChars="0"/>
              <w:jc w:val="center"/>
              <w:rPr>
                <w:kern w:val="0"/>
                <w:sz w:val="21"/>
                <w:szCs w:val="21"/>
                <w:lang w:bidi="ar"/>
              </w:rPr>
            </w:pPr>
            <w:r>
              <w:rPr>
                <w:rFonts w:hint="eastAsia"/>
                <w:kern w:val="0"/>
                <w:sz w:val="21"/>
                <w:szCs w:val="21"/>
                <w:lang w:bidi="ar"/>
              </w:rPr>
              <w:t>加入少量酸、碱进行调节</w:t>
            </w:r>
          </w:p>
        </w:tc>
        <w:tc>
          <w:tcPr>
            <w:tcW w:w="755" w:type="dxa"/>
            <w:vMerge w:val="continue"/>
            <w:vAlign w:val="center"/>
          </w:tcPr>
          <w:p>
            <w:pPr>
              <w:pStyle w:val="128"/>
              <w:adjustRightInd/>
              <w:snapToGrid/>
              <w:spacing w:beforeLines="0" w:afterLines="0" w:line="280" w:lineRule="exact"/>
              <w:ind w:left="-120" w:leftChars="-50" w:right="-120" w:rightChars="-50" w:firstLine="0" w:firstLineChars="0"/>
              <w:rPr>
                <w:rFonts w:ascii="Times New Roman"/>
                <w:kern w:val="2"/>
                <w:sz w:val="18"/>
                <w:szCs w:val="18"/>
                <w:highlight w:val="green"/>
              </w:rPr>
            </w:pPr>
          </w:p>
        </w:tc>
        <w:tc>
          <w:tcPr>
            <w:tcW w:w="3415" w:type="dxa"/>
            <w:vMerge w:val="continue"/>
            <w:vAlign w:val="center"/>
          </w:tcPr>
          <w:p>
            <w:pPr>
              <w:pStyle w:val="128"/>
              <w:adjustRightInd/>
              <w:snapToGrid/>
              <w:spacing w:beforeLines="0" w:afterLines="0" w:line="280" w:lineRule="exact"/>
              <w:ind w:left="-120" w:leftChars="-50" w:right="-120" w:rightChars="-50" w:firstLine="0" w:firstLineChars="0"/>
              <w:rPr>
                <w:rFonts w:ascii="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pStyle w:val="128"/>
              <w:adjustRightInd/>
              <w:snapToGrid/>
              <w:spacing w:beforeLines="0" w:afterLines="0" w:line="280" w:lineRule="exact"/>
              <w:ind w:firstLine="0" w:firstLineChars="0"/>
              <w:rPr>
                <w:rFonts w:ascii="Times New Roman"/>
                <w:szCs w:val="21"/>
              </w:rPr>
            </w:pPr>
            <w:r>
              <w:rPr>
                <w:rFonts w:hint="eastAsia" w:ascii="Times New Roman"/>
                <w:szCs w:val="21"/>
              </w:rPr>
              <w:t>声环境</w:t>
            </w:r>
          </w:p>
        </w:tc>
        <w:tc>
          <w:tcPr>
            <w:tcW w:w="1569" w:type="dxa"/>
            <w:vAlign w:val="center"/>
          </w:tcPr>
          <w:p>
            <w:pPr>
              <w:pStyle w:val="128"/>
              <w:adjustRightInd/>
              <w:snapToGrid/>
              <w:spacing w:beforeLines="0" w:afterLines="0" w:line="280" w:lineRule="exact"/>
              <w:ind w:firstLine="0" w:firstLineChars="0"/>
              <w:rPr>
                <w:rFonts w:ascii="Times New Roman"/>
                <w:szCs w:val="21"/>
              </w:rPr>
            </w:pPr>
            <w:r>
              <w:rPr>
                <w:rFonts w:hint="eastAsia" w:ascii="Times New Roman"/>
                <w:szCs w:val="21"/>
              </w:rPr>
              <w:t>生产设备、锅炉风机</w:t>
            </w:r>
          </w:p>
        </w:tc>
        <w:tc>
          <w:tcPr>
            <w:tcW w:w="1185" w:type="dxa"/>
            <w:vAlign w:val="center"/>
          </w:tcPr>
          <w:p>
            <w:pPr>
              <w:pStyle w:val="128"/>
              <w:adjustRightInd/>
              <w:snapToGrid/>
              <w:spacing w:beforeLines="0" w:afterLines="0" w:line="280" w:lineRule="exact"/>
              <w:ind w:firstLine="0" w:firstLineChars="0"/>
              <w:rPr>
                <w:rFonts w:ascii="Times New Roman"/>
                <w:szCs w:val="21"/>
              </w:rPr>
            </w:pPr>
            <w:r>
              <w:rPr>
                <w:rFonts w:hint="eastAsia" w:ascii="Times New Roman"/>
                <w:szCs w:val="21"/>
              </w:rPr>
              <w:t>Leq(A)</w:t>
            </w:r>
          </w:p>
        </w:tc>
        <w:tc>
          <w:tcPr>
            <w:tcW w:w="1607" w:type="dxa"/>
            <w:gridSpan w:val="2"/>
            <w:vAlign w:val="center"/>
          </w:tcPr>
          <w:p>
            <w:pPr>
              <w:pStyle w:val="128"/>
              <w:adjustRightInd/>
              <w:snapToGrid/>
              <w:spacing w:beforeLines="0" w:afterLines="0" w:line="280" w:lineRule="exact"/>
              <w:ind w:firstLine="0" w:firstLineChars="0"/>
              <w:rPr>
                <w:rFonts w:ascii="Times New Roman"/>
                <w:szCs w:val="21"/>
              </w:rPr>
            </w:pPr>
            <w:r>
              <w:rPr>
                <w:rFonts w:hint="eastAsia" w:ascii="Times New Roman"/>
                <w:szCs w:val="21"/>
                <w:lang w:val="zh-CN"/>
              </w:rPr>
              <w:t>采取选用低噪声设备、厂房隔声、基础减振、</w:t>
            </w:r>
            <w:r>
              <w:rPr>
                <w:rFonts w:hint="eastAsia" w:ascii="Times New Roman"/>
                <w:szCs w:val="21"/>
              </w:rPr>
              <w:t>风机加装消声器</w:t>
            </w:r>
            <w:r>
              <w:rPr>
                <w:rFonts w:hint="eastAsia" w:ascii="Times New Roman"/>
                <w:szCs w:val="21"/>
                <w:lang w:val="zh-CN"/>
              </w:rPr>
              <w:t>等措施</w:t>
            </w:r>
          </w:p>
        </w:tc>
        <w:tc>
          <w:tcPr>
            <w:tcW w:w="3415" w:type="dxa"/>
            <w:vAlign w:val="center"/>
          </w:tcPr>
          <w:p>
            <w:pPr>
              <w:pStyle w:val="128"/>
              <w:adjustRightInd/>
              <w:snapToGrid/>
              <w:spacing w:beforeLines="0" w:afterLines="0" w:line="280" w:lineRule="exact"/>
              <w:ind w:firstLine="0" w:firstLineChars="0"/>
              <w:rPr>
                <w:rFonts w:ascii="Times New Roman"/>
                <w:szCs w:val="21"/>
              </w:rPr>
            </w:pPr>
            <w:r>
              <w:rPr>
                <w:rFonts w:ascii="Times New Roman"/>
                <w:szCs w:val="21"/>
              </w:rPr>
              <w:t>《工业企业厂界环境噪声排放标准》</w:t>
            </w:r>
            <w:r>
              <w:rPr>
                <w:rFonts w:hint="eastAsia" w:ascii="Times New Roman"/>
                <w:szCs w:val="21"/>
              </w:rPr>
              <w:t>(</w:t>
            </w:r>
            <w:r>
              <w:rPr>
                <w:rFonts w:ascii="Times New Roman"/>
                <w:szCs w:val="21"/>
              </w:rPr>
              <w:t>GB12348-2008</w:t>
            </w:r>
            <w:r>
              <w:rPr>
                <w:rFonts w:hint="eastAsia" w:ascii="Times New Roman"/>
                <w:szCs w:val="21"/>
              </w:rPr>
              <w:t>)</w:t>
            </w:r>
            <w:r>
              <w:rPr>
                <w:rFonts w:ascii="Times New Roman"/>
                <w:szCs w:val="21"/>
              </w:rPr>
              <w:t>3类标准要求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adjustRightInd w:val="0"/>
              <w:snapToGrid w:val="0"/>
              <w:spacing w:line="240" w:lineRule="auto"/>
              <w:ind w:firstLine="0" w:firstLineChars="0"/>
              <w:jc w:val="center"/>
              <w:rPr>
                <w:sz w:val="21"/>
                <w:szCs w:val="21"/>
              </w:rPr>
            </w:pPr>
            <w:r>
              <w:rPr>
                <w:sz w:val="21"/>
                <w:szCs w:val="21"/>
              </w:rPr>
              <w:t>电磁辐射</w:t>
            </w:r>
          </w:p>
        </w:tc>
        <w:tc>
          <w:tcPr>
            <w:tcW w:w="1569" w:type="dxa"/>
            <w:vAlign w:val="center"/>
          </w:tcPr>
          <w:p>
            <w:pPr>
              <w:adjustRightInd w:val="0"/>
              <w:snapToGrid w:val="0"/>
              <w:spacing w:line="240" w:lineRule="auto"/>
              <w:ind w:firstLine="0" w:firstLineChars="0"/>
              <w:jc w:val="center"/>
              <w:rPr>
                <w:sz w:val="21"/>
                <w:szCs w:val="21"/>
              </w:rPr>
            </w:pPr>
            <w:r>
              <w:rPr>
                <w:rFonts w:hint="eastAsia"/>
                <w:sz w:val="21"/>
                <w:szCs w:val="21"/>
              </w:rPr>
              <w:t>—</w:t>
            </w:r>
          </w:p>
        </w:tc>
        <w:tc>
          <w:tcPr>
            <w:tcW w:w="1185" w:type="dxa"/>
            <w:vAlign w:val="center"/>
          </w:tcPr>
          <w:p>
            <w:pPr>
              <w:adjustRightInd w:val="0"/>
              <w:snapToGrid w:val="0"/>
              <w:spacing w:line="240" w:lineRule="auto"/>
              <w:ind w:firstLine="0" w:firstLineChars="0"/>
              <w:jc w:val="center"/>
              <w:rPr>
                <w:sz w:val="21"/>
                <w:szCs w:val="21"/>
              </w:rPr>
            </w:pPr>
            <w:r>
              <w:rPr>
                <w:rFonts w:hint="eastAsia"/>
                <w:sz w:val="21"/>
                <w:szCs w:val="21"/>
              </w:rPr>
              <w:t>—</w:t>
            </w:r>
          </w:p>
        </w:tc>
        <w:tc>
          <w:tcPr>
            <w:tcW w:w="1607" w:type="dxa"/>
            <w:gridSpan w:val="2"/>
            <w:vAlign w:val="center"/>
          </w:tcPr>
          <w:p>
            <w:pPr>
              <w:adjustRightInd w:val="0"/>
              <w:snapToGrid w:val="0"/>
              <w:spacing w:line="240" w:lineRule="auto"/>
              <w:ind w:firstLine="0" w:firstLineChars="0"/>
              <w:jc w:val="center"/>
              <w:rPr>
                <w:sz w:val="21"/>
                <w:szCs w:val="21"/>
              </w:rPr>
            </w:pPr>
            <w:r>
              <w:rPr>
                <w:rFonts w:hint="eastAsia"/>
                <w:sz w:val="21"/>
                <w:szCs w:val="21"/>
              </w:rPr>
              <w:t>—</w:t>
            </w:r>
          </w:p>
        </w:tc>
        <w:tc>
          <w:tcPr>
            <w:tcW w:w="3415" w:type="dxa"/>
            <w:vAlign w:val="center"/>
          </w:tcPr>
          <w:p>
            <w:pPr>
              <w:adjustRightInd w:val="0"/>
              <w:snapToGrid w:val="0"/>
              <w:spacing w:line="240" w:lineRule="auto"/>
              <w:ind w:firstLine="0" w:firstLineChars="0"/>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adjustRightInd w:val="0"/>
              <w:snapToGrid w:val="0"/>
              <w:spacing w:line="240" w:lineRule="auto"/>
              <w:ind w:firstLine="0" w:firstLineChars="0"/>
              <w:jc w:val="center"/>
              <w:rPr>
                <w:sz w:val="21"/>
                <w:szCs w:val="21"/>
              </w:rPr>
            </w:pPr>
            <w:r>
              <w:rPr>
                <w:sz w:val="21"/>
                <w:szCs w:val="21"/>
              </w:rPr>
              <w:t>固体废物</w:t>
            </w:r>
          </w:p>
        </w:tc>
        <w:tc>
          <w:tcPr>
            <w:tcW w:w="7776" w:type="dxa"/>
            <w:gridSpan w:val="5"/>
            <w:vAlign w:val="center"/>
          </w:tcPr>
          <w:p>
            <w:pPr>
              <w:adjustRightInd w:val="0"/>
              <w:snapToGrid w:val="0"/>
              <w:spacing w:line="240" w:lineRule="auto"/>
              <w:ind w:firstLine="0" w:firstLineChars="0"/>
              <w:rPr>
                <w:sz w:val="21"/>
                <w:szCs w:val="21"/>
              </w:rPr>
            </w:pPr>
            <w:r>
              <w:rPr>
                <w:rFonts w:hint="eastAsia"/>
                <w:sz w:val="21"/>
                <w:szCs w:val="21"/>
              </w:rPr>
              <w:t>一般固废：废树脂再生后循环使用；除尘灰收集后作为化工原料外售</w:t>
            </w:r>
            <w:r>
              <w:rPr>
                <w:rFonts w:hint="eastAsia"/>
                <w:sz w:val="21"/>
                <w:szCs w:val="21"/>
                <w:lang w:eastAsia="zh-CN"/>
              </w:rPr>
              <w:t>；</w:t>
            </w:r>
            <w:r>
              <w:rPr>
                <w:rFonts w:hint="eastAsia"/>
                <w:sz w:val="21"/>
                <w:szCs w:val="21"/>
                <w:lang w:val="en-US" w:eastAsia="zh-CN"/>
              </w:rPr>
              <w:t>废布袋收集后由厂家回收</w:t>
            </w:r>
            <w:r>
              <w:rPr>
                <w:rFonts w:hint="eastAsia"/>
                <w:sz w:val="21"/>
                <w:szCs w:val="21"/>
              </w:rPr>
              <w:t>。</w:t>
            </w:r>
          </w:p>
          <w:p>
            <w:pPr>
              <w:adjustRightInd w:val="0"/>
              <w:snapToGrid w:val="0"/>
              <w:spacing w:line="240" w:lineRule="auto"/>
              <w:ind w:firstLine="0" w:firstLineChars="0"/>
              <w:rPr>
                <w:sz w:val="21"/>
                <w:szCs w:val="21"/>
              </w:rPr>
            </w:pPr>
            <w:r>
              <w:rPr>
                <w:rFonts w:hint="eastAsia"/>
                <w:sz w:val="21"/>
                <w:szCs w:val="21"/>
              </w:rPr>
              <w:t>危险废物：废SCR催化剂(HW50，钒钛系)、废矿物油(废液压油、废润滑油)、废滤芯、滤纸和滤网等危险废物集中收集于塑料桶内与废油桶在危废间暂存后，定期交与有资质的单位处置。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adjustRightInd w:val="0"/>
              <w:snapToGrid w:val="0"/>
              <w:spacing w:line="240" w:lineRule="auto"/>
              <w:ind w:firstLine="0" w:firstLineChars="0"/>
              <w:jc w:val="center"/>
              <w:rPr>
                <w:sz w:val="21"/>
                <w:szCs w:val="21"/>
              </w:rPr>
            </w:pPr>
            <w:r>
              <w:rPr>
                <w:sz w:val="21"/>
                <w:szCs w:val="21"/>
              </w:rPr>
              <w:t>土壤及地下水污染防治措施</w:t>
            </w:r>
          </w:p>
        </w:tc>
        <w:tc>
          <w:tcPr>
            <w:tcW w:w="7776" w:type="dxa"/>
            <w:gridSpan w:val="5"/>
            <w:vAlign w:val="center"/>
          </w:tcPr>
          <w:p>
            <w:pPr>
              <w:adjustRightInd w:val="0"/>
              <w:snapToGrid w:val="0"/>
              <w:spacing w:line="240" w:lineRule="auto"/>
              <w:ind w:firstLine="0" w:firstLineChars="0"/>
              <w:jc w:val="both"/>
              <w:rPr>
                <w:sz w:val="21"/>
                <w:szCs w:val="21"/>
              </w:rPr>
            </w:pPr>
            <w:r>
              <w:rPr>
                <w:rFonts w:hint="eastAsia"/>
                <w:sz w:val="21"/>
                <w:szCs w:val="21"/>
              </w:rPr>
              <w:t>氨水储罐区</w:t>
            </w:r>
            <w:r>
              <w:rPr>
                <w:rFonts w:hint="eastAsia"/>
                <w:sz w:val="21"/>
                <w:szCs w:val="21"/>
                <w:lang w:eastAsia="zh-CN"/>
              </w:rPr>
              <w:t>、</w:t>
            </w:r>
            <w:r>
              <w:rPr>
                <w:rFonts w:hint="eastAsia"/>
                <w:sz w:val="21"/>
                <w:szCs w:val="21"/>
                <w:lang w:val="en-US" w:eastAsia="zh-CN"/>
              </w:rPr>
              <w:t>酸碱罐区、事故油池</w:t>
            </w:r>
            <w:r>
              <w:rPr>
                <w:rFonts w:hint="eastAsia"/>
                <w:sz w:val="21"/>
                <w:szCs w:val="21"/>
              </w:rPr>
              <w:t>为重点防渗区，地面采取2mm厚高密度聚乙烯防渗，渗透系数≤1.0×10</w:t>
            </w:r>
            <w:r>
              <w:rPr>
                <w:rFonts w:hint="eastAsia"/>
                <w:sz w:val="21"/>
                <w:szCs w:val="21"/>
                <w:vertAlign w:val="superscript"/>
              </w:rPr>
              <w:t>-10</w:t>
            </w:r>
            <w:r>
              <w:rPr>
                <w:rFonts w:hint="eastAsia"/>
                <w:sz w:val="21"/>
                <w:szCs w:val="21"/>
              </w:rPr>
              <w:t>cm/s（或采取其他具有同等防渗效力的防渗材料）。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adjustRightInd w:val="0"/>
              <w:snapToGrid w:val="0"/>
              <w:spacing w:line="240" w:lineRule="auto"/>
              <w:ind w:firstLine="0" w:firstLineChars="0"/>
              <w:jc w:val="center"/>
              <w:rPr>
                <w:sz w:val="21"/>
                <w:szCs w:val="21"/>
              </w:rPr>
            </w:pPr>
            <w:r>
              <w:rPr>
                <w:sz w:val="21"/>
                <w:szCs w:val="21"/>
              </w:rPr>
              <w:t>生态保护措施</w:t>
            </w:r>
          </w:p>
        </w:tc>
        <w:tc>
          <w:tcPr>
            <w:tcW w:w="7776" w:type="dxa"/>
            <w:gridSpan w:val="5"/>
            <w:vAlign w:val="center"/>
          </w:tcPr>
          <w:p>
            <w:pPr>
              <w:adjustRightInd w:val="0"/>
              <w:snapToGrid w:val="0"/>
              <w:spacing w:line="240" w:lineRule="auto"/>
              <w:ind w:firstLine="0" w:firstLineChars="0"/>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adjustRightInd w:val="0"/>
              <w:snapToGrid w:val="0"/>
              <w:spacing w:line="240" w:lineRule="auto"/>
              <w:ind w:firstLine="0" w:firstLineChars="0"/>
              <w:jc w:val="center"/>
              <w:rPr>
                <w:sz w:val="21"/>
                <w:szCs w:val="21"/>
              </w:rPr>
            </w:pPr>
            <w:r>
              <w:rPr>
                <w:sz w:val="21"/>
                <w:szCs w:val="21"/>
              </w:rPr>
              <w:t>环境风险</w:t>
            </w:r>
          </w:p>
          <w:p>
            <w:pPr>
              <w:adjustRightInd w:val="0"/>
              <w:snapToGrid w:val="0"/>
              <w:spacing w:line="240" w:lineRule="auto"/>
              <w:ind w:firstLine="0" w:firstLineChars="0"/>
              <w:jc w:val="center"/>
              <w:rPr>
                <w:sz w:val="21"/>
                <w:szCs w:val="21"/>
              </w:rPr>
            </w:pPr>
            <w:r>
              <w:rPr>
                <w:sz w:val="21"/>
                <w:szCs w:val="21"/>
              </w:rPr>
              <w:t>防范措施</w:t>
            </w:r>
          </w:p>
        </w:tc>
        <w:tc>
          <w:tcPr>
            <w:tcW w:w="7776" w:type="dxa"/>
            <w:gridSpan w:val="5"/>
            <w:vAlign w:val="center"/>
          </w:tcPr>
          <w:p>
            <w:pPr>
              <w:adjustRightInd w:val="0"/>
              <w:snapToGrid w:val="0"/>
              <w:spacing w:line="240" w:lineRule="auto"/>
              <w:ind w:firstLine="0" w:firstLineChars="0"/>
              <w:jc w:val="both"/>
              <w:rPr>
                <w:rFonts w:hint="default" w:eastAsia="宋体"/>
                <w:lang w:val="en-US" w:eastAsia="zh-CN"/>
              </w:rPr>
            </w:pPr>
            <w:r>
              <w:rPr>
                <w:rFonts w:hint="eastAsia"/>
                <w:sz w:val="21"/>
                <w:szCs w:val="21"/>
              </w:rPr>
              <w:t>①煤气管道设置自动调压、自动点火放散装置；②煤气系统设置一氧化碳和氧含量连续监测和自控控制系统；③在易发生气体泄漏的工艺现场设置可燃、有毒气体监测器；④可能发生有毒气体泄漏区巡视人员配备便携式有毒气体探测器；⑤对高炉煤气管道设置识别色和流向压力，温度等标识；⑥</w:t>
            </w:r>
            <w:r>
              <w:rPr>
                <w:rFonts w:hint="eastAsia"/>
                <w:sz w:val="21"/>
                <w:szCs w:val="21"/>
                <w:lang w:val="en-US" w:eastAsia="zh-CN"/>
              </w:rPr>
              <w:t>主油箱采用碳钢防渗漏材质制成，周围设置围堰，</w:t>
            </w:r>
            <w:r>
              <w:rPr>
                <w:rFonts w:hint="eastAsia" w:cs="Times New Roman"/>
                <w:sz w:val="21"/>
                <w:szCs w:val="21"/>
                <w:lang w:val="en-US" w:eastAsia="zh-CN"/>
              </w:rPr>
              <w:t>主油箱围堰</w:t>
            </w:r>
            <w:r>
              <w:rPr>
                <w:rFonts w:hint="eastAsia" w:cs="Times New Roman"/>
                <w:sz w:val="21"/>
                <w:szCs w:val="21"/>
                <w:highlight w:val="none"/>
                <w:lang w:val="en-US" w:eastAsia="zh-CN"/>
              </w:rPr>
              <w:t>高度为0.3m，</w:t>
            </w:r>
            <w:r>
              <w:rPr>
                <w:rFonts w:hint="eastAsia"/>
                <w:sz w:val="21"/>
                <w:szCs w:val="21"/>
                <w:highlight w:val="none"/>
                <w:lang w:val="en-US" w:eastAsia="zh-CN"/>
              </w:rPr>
              <w:t>罐</w:t>
            </w:r>
            <w:r>
              <w:rPr>
                <w:rFonts w:hint="eastAsia"/>
                <w:sz w:val="21"/>
                <w:szCs w:val="21"/>
                <w:lang w:val="en-US" w:eastAsia="zh-CN"/>
              </w:rPr>
              <w:t>区周围设置围堰，</w:t>
            </w:r>
            <w:r>
              <w:rPr>
                <w:rFonts w:hint="eastAsia" w:ascii="Times New Roman" w:hAnsi="Times New Roman" w:cs="Times New Roman"/>
                <w:sz w:val="21"/>
                <w:szCs w:val="21"/>
                <w:lang w:val="en-US" w:eastAsia="zh-CN"/>
              </w:rPr>
              <w:t>氨水储罐</w:t>
            </w:r>
            <w:r>
              <w:rPr>
                <w:rFonts w:hint="eastAsia" w:ascii="Times New Roman" w:hAnsi="Times New Roman" w:cs="Times New Roman"/>
                <w:sz w:val="21"/>
                <w:szCs w:val="21"/>
              </w:rPr>
              <w:t>围堰高度1.2m</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酸碱储罐围堰高度为0.3m</w:t>
            </w:r>
            <w:r>
              <w:rPr>
                <w:rFonts w:hint="eastAsia" w:cs="Times New Roman"/>
                <w:sz w:val="21"/>
                <w:szCs w:val="21"/>
                <w:lang w:val="en-US" w:eastAsia="zh-CN"/>
              </w:rPr>
              <w:t>，</w:t>
            </w:r>
            <w:r>
              <w:rPr>
                <w:rFonts w:hint="eastAsia"/>
                <w:sz w:val="21"/>
                <w:szCs w:val="21"/>
                <w:lang w:val="en-US" w:eastAsia="zh-CN"/>
              </w:rPr>
              <w:t>事故油池、</w:t>
            </w:r>
            <w:r>
              <w:rPr>
                <w:rFonts w:hint="eastAsia" w:ascii="Times New Roman" w:hAnsi="Times New Roman" w:cs="Times New Roman"/>
                <w:sz w:val="21"/>
                <w:szCs w:val="21"/>
              </w:rPr>
              <w:t>罐区地面及围堰用20cm厚防渗混凝土浇筑，并铺设2mm厚高密度聚乙烯进行防渗，等效黏土防渗层Mb≥6m，K≤10</w:t>
            </w:r>
            <w:r>
              <w:rPr>
                <w:rFonts w:hint="eastAsia" w:ascii="Times New Roman" w:hAnsi="Times New Roman" w:cs="Times New Roman"/>
                <w:sz w:val="21"/>
                <w:szCs w:val="21"/>
                <w:vertAlign w:val="superscript"/>
              </w:rPr>
              <w:t>-10</w:t>
            </w:r>
            <w:r>
              <w:rPr>
                <w:rFonts w:hint="eastAsia" w:ascii="Times New Roman" w:hAnsi="Times New Roman" w:cs="Times New Roman"/>
                <w:sz w:val="21"/>
                <w:szCs w:val="21"/>
              </w:rPr>
              <w:t>cm/s，</w:t>
            </w:r>
            <w:r>
              <w:rPr>
                <w:rFonts w:hint="eastAsia" w:cs="Times New Roman"/>
                <w:sz w:val="21"/>
                <w:szCs w:val="21"/>
                <w:lang w:val="en-US" w:eastAsia="zh-CN"/>
              </w:rPr>
              <w:t>事故油池容积为48m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(3m×4m×4m)。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25" w:type="dxa"/>
            <w:vAlign w:val="center"/>
          </w:tcPr>
          <w:p>
            <w:pPr>
              <w:adjustRightInd w:val="0"/>
              <w:snapToGrid w:val="0"/>
              <w:spacing w:line="240" w:lineRule="auto"/>
              <w:ind w:firstLine="0" w:firstLineChars="0"/>
            </w:pPr>
            <w:r>
              <w:t>其他环境</w:t>
            </w:r>
          </w:p>
          <w:p>
            <w:pPr>
              <w:adjustRightInd w:val="0"/>
              <w:snapToGrid w:val="0"/>
              <w:spacing w:line="240" w:lineRule="auto"/>
              <w:ind w:firstLine="0" w:firstLineChars="0"/>
              <w:jc w:val="center"/>
            </w:pPr>
            <w:r>
              <w:t>管理要求</w:t>
            </w:r>
          </w:p>
        </w:tc>
        <w:tc>
          <w:tcPr>
            <w:tcW w:w="7776" w:type="dxa"/>
            <w:gridSpan w:val="5"/>
            <w:vAlign w:val="center"/>
          </w:tcPr>
          <w:p>
            <w:pPr>
              <w:adjustRightInd w:val="0"/>
              <w:snapToGrid w:val="0"/>
              <w:spacing w:line="360" w:lineRule="exact"/>
              <w:ind w:firstLine="420"/>
              <w:rPr>
                <w:sz w:val="21"/>
                <w:szCs w:val="21"/>
              </w:rPr>
            </w:pPr>
            <w:r>
              <w:rPr>
                <w:rFonts w:hint="eastAsia"/>
                <w:sz w:val="21"/>
                <w:szCs w:val="21"/>
              </w:rPr>
              <w:t>1.排放口规范化</w:t>
            </w:r>
          </w:p>
          <w:p>
            <w:pPr>
              <w:adjustRightInd w:val="0"/>
              <w:snapToGrid w:val="0"/>
              <w:spacing w:line="360" w:lineRule="exact"/>
              <w:ind w:firstLine="420"/>
              <w:rPr>
                <w:sz w:val="21"/>
                <w:szCs w:val="21"/>
              </w:rPr>
            </w:pPr>
            <w:r>
              <w:rPr>
                <w:rFonts w:hint="eastAsia"/>
                <w:sz w:val="21"/>
                <w:szCs w:val="21"/>
              </w:rPr>
              <w:t>按照《排污口规范化整治技术要求(试行)》（环监[1996]470号）相关要求设置规范化排污口。</w:t>
            </w:r>
          </w:p>
          <w:p>
            <w:pPr>
              <w:adjustRightInd w:val="0"/>
              <w:snapToGrid w:val="0"/>
              <w:spacing w:line="360" w:lineRule="exact"/>
              <w:ind w:firstLine="420"/>
              <w:rPr>
                <w:sz w:val="21"/>
                <w:szCs w:val="21"/>
              </w:rPr>
            </w:pPr>
            <w:r>
              <w:rPr>
                <w:rFonts w:hint="eastAsia"/>
                <w:sz w:val="21"/>
                <w:szCs w:val="21"/>
              </w:rPr>
              <w:t>(1)废气排放口设置便于采样、监测的采样口，废气监测平台、监测断面和监测孔的设置应符合GB/T16157、HJ/T397等的要求；监测平台应便于开展监测活动，应能保证监测人员的安全。</w:t>
            </w:r>
          </w:p>
          <w:p>
            <w:pPr>
              <w:adjustRightInd w:val="0"/>
              <w:snapToGrid w:val="0"/>
              <w:spacing w:line="360" w:lineRule="exact"/>
              <w:ind w:firstLine="420"/>
              <w:rPr>
                <w:sz w:val="21"/>
                <w:szCs w:val="21"/>
              </w:rPr>
            </w:pPr>
            <w:r>
              <w:rPr>
                <w:rFonts w:hint="eastAsia"/>
                <w:sz w:val="21"/>
                <w:szCs w:val="21"/>
              </w:rPr>
              <w:t>(2)按照国家标准《环境保护图形标志》（GB15562.1-1995）的规定，设置与之相适应的环境保护图形标志牌，标明废气排放单位，排放口编号，污染物种类等。</w:t>
            </w:r>
          </w:p>
          <w:p>
            <w:pPr>
              <w:adjustRightInd w:val="0"/>
              <w:snapToGrid w:val="0"/>
              <w:spacing w:line="360" w:lineRule="exact"/>
              <w:ind w:firstLine="420"/>
              <w:rPr>
                <w:sz w:val="21"/>
                <w:szCs w:val="21"/>
              </w:rPr>
            </w:pPr>
            <w:r>
              <w:rPr>
                <w:rFonts w:hint="eastAsia"/>
                <w:sz w:val="21"/>
                <w:szCs w:val="21"/>
              </w:rPr>
              <w:t>2.严格落实排污许可证制度</w:t>
            </w:r>
          </w:p>
          <w:p>
            <w:pPr>
              <w:adjustRightInd w:val="0"/>
              <w:snapToGrid w:val="0"/>
              <w:spacing w:line="360" w:lineRule="exact"/>
              <w:ind w:firstLine="420"/>
              <w:jc w:val="both"/>
              <w:rPr>
                <w:sz w:val="21"/>
                <w:szCs w:val="21"/>
              </w:rPr>
            </w:pPr>
            <w:r>
              <w:rPr>
                <w:rFonts w:hint="eastAsia" w:eastAsiaTheme="minorEastAsia"/>
                <w:kern w:val="0"/>
                <w:sz w:val="21"/>
                <w:szCs w:val="21"/>
              </w:rPr>
              <w:t>迁安市九江线材有限责任公司</w:t>
            </w:r>
            <w:r>
              <w:rPr>
                <w:rFonts w:hint="eastAsia"/>
                <w:sz w:val="21"/>
                <w:szCs w:val="21"/>
              </w:rPr>
              <w:t>已取得排污许可证，证书编号为：911302007356029939001P，本项目在启动生产设施或者发生实际排污之前，需对公司现有排污许可证进行变更，将本项目的相关内容纳入排污许可管理。</w:t>
            </w:r>
          </w:p>
          <w:p>
            <w:pPr>
              <w:pStyle w:val="51"/>
              <w:ind w:firstLine="420"/>
              <w:rPr>
                <w:sz w:val="21"/>
                <w:szCs w:val="21"/>
              </w:rPr>
            </w:pPr>
          </w:p>
          <w:p>
            <w:pPr>
              <w:widowControl/>
              <w:ind w:firstLine="420"/>
              <w:rPr>
                <w:sz w:val="21"/>
                <w:szCs w:val="21"/>
              </w:rPr>
            </w:pPr>
          </w:p>
          <w:p>
            <w:pPr>
              <w:ind w:firstLine="420"/>
              <w:rPr>
                <w:sz w:val="21"/>
                <w:szCs w:val="21"/>
              </w:rPr>
            </w:pPr>
          </w:p>
          <w:p>
            <w:pPr>
              <w:pStyle w:val="2"/>
            </w:pPr>
          </w:p>
        </w:tc>
      </w:tr>
    </w:tbl>
    <w:p>
      <w:pPr>
        <w:pStyle w:val="72"/>
        <w:snapToGrid w:val="0"/>
        <w:spacing w:before="0" w:beforeAutospacing="0" w:after="0" w:afterAutospacing="0" w:line="240" w:lineRule="auto"/>
        <w:ind w:firstLine="0" w:firstLineChars="0"/>
        <w:outlineLvl w:val="0"/>
        <w:rPr>
          <w:rFonts w:ascii="Times New Roman" w:hAnsi="Times New Roman" w:eastAsiaTheme="minorEastAsia"/>
          <w:b/>
          <w:bCs/>
          <w:snapToGrid w:val="0"/>
          <w:sz w:val="32"/>
          <w:szCs w:val="32"/>
        </w:rPr>
      </w:pPr>
      <w:r>
        <w:rPr>
          <w:rFonts w:ascii="Times New Roman" w:hAnsi="Times New Roman" w:eastAsiaTheme="minorEastAsia"/>
          <w:snapToGrid w:val="0"/>
          <w:color w:val="0000FF"/>
          <w:sz w:val="32"/>
          <w:szCs w:val="22"/>
        </w:rPr>
        <w:br w:type="page"/>
      </w:r>
      <w:r>
        <w:rPr>
          <w:rFonts w:ascii="Times New Roman" w:hAnsi="Times New Roman" w:eastAsiaTheme="minorEastAsia"/>
          <w:b/>
          <w:bCs/>
          <w:snapToGrid w:val="0"/>
          <w:sz w:val="32"/>
          <w:szCs w:val="32"/>
        </w:rPr>
        <w:t>六、结论</w:t>
      </w:r>
    </w:p>
    <w:tbl>
      <w:tblPr>
        <w:tblStyle w:val="7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72"/>
              <w:adjustRightInd w:val="0"/>
              <w:snapToGrid w:val="0"/>
              <w:spacing w:before="0" w:beforeAutospacing="0" w:after="0" w:afterAutospacing="0"/>
              <w:ind w:firstLine="480"/>
              <w:jc w:val="both"/>
              <w:rPr>
                <w:rFonts w:ascii="Times New Roman" w:hAnsi="Times New Roman"/>
                <w:szCs w:val="24"/>
              </w:rPr>
            </w:pPr>
            <w:r>
              <w:rPr>
                <w:rFonts w:hint="eastAsia" w:ascii="Times New Roman" w:hAnsi="Times New Roman"/>
                <w:szCs w:val="24"/>
              </w:rPr>
              <w:t>迁安市九江线材有限责任公司整合重组减量置换项目配套资源综合利用项目</w:t>
            </w:r>
            <w:r>
              <w:rPr>
                <w:rFonts w:ascii="Times New Roman" w:hAnsi="Times New Roman"/>
                <w:szCs w:val="24"/>
              </w:rPr>
              <w:t>符合国家和地方产业政策，项目拟采取的环保措施技术可靠、经济可行，项目建设符合达标排放、总量控制的基本原则。厂区所在区域环境质量现状适合项目建设，项目建设对周围环境影响较小，厂址选择从环保角度合理。</w:t>
            </w:r>
          </w:p>
          <w:p>
            <w:pPr>
              <w:pStyle w:val="72"/>
              <w:adjustRightInd w:val="0"/>
              <w:snapToGrid w:val="0"/>
              <w:spacing w:before="0" w:beforeAutospacing="0" w:after="0" w:afterAutospacing="0"/>
              <w:ind w:firstLine="480"/>
              <w:jc w:val="both"/>
              <w:rPr>
                <w:rFonts w:ascii="Times New Roman" w:hAnsi="Times New Roman"/>
                <w:szCs w:val="24"/>
              </w:rPr>
            </w:pPr>
            <w:r>
              <w:rPr>
                <w:rFonts w:ascii="Times New Roman" w:hAnsi="Times New Roman"/>
                <w:szCs w:val="24"/>
              </w:rPr>
              <w:t>建设单位在全面加强管理，落实主管部门的环保要求，严格认真落实各项环境保护措施和风险防范措施后，项目运营期对环境空气、水环境、声环境等的影响较小，能够满足功能区环境质量标准要求。项目运营期存在事故风险，通过采取严格的环境风险防范措施，并建立完善的风险应急预案，可使事故风险发生率降至较小程度，减少危害，其风险在可接受水平。</w:t>
            </w:r>
          </w:p>
          <w:p>
            <w:pPr>
              <w:pStyle w:val="72"/>
              <w:adjustRightInd w:val="0"/>
              <w:snapToGrid w:val="0"/>
              <w:spacing w:before="0" w:beforeAutospacing="0" w:after="0" w:afterAutospacing="0"/>
              <w:ind w:firstLine="480"/>
              <w:jc w:val="both"/>
              <w:rPr>
                <w:rFonts w:ascii="Times New Roman" w:hAnsi="Times New Roman"/>
                <w:szCs w:val="24"/>
              </w:rPr>
            </w:pPr>
            <w:r>
              <w:rPr>
                <w:rFonts w:ascii="Times New Roman" w:hAnsi="Times New Roman"/>
                <w:szCs w:val="24"/>
              </w:rPr>
              <w:t>综上所述，本项目在严格执行国家、地方的各项环保政策、法规和规定</w:t>
            </w:r>
            <w:r>
              <w:rPr>
                <w:rFonts w:hint="eastAsia" w:ascii="Times New Roman" w:hAnsi="Times New Roman"/>
                <w:szCs w:val="24"/>
              </w:rPr>
              <w:t>，</w:t>
            </w:r>
            <w:r>
              <w:rPr>
                <w:rFonts w:ascii="Times New Roman" w:hAnsi="Times New Roman"/>
                <w:szCs w:val="24"/>
              </w:rPr>
              <w:t>保证废气、废水、噪声达标排放和固废合理处置，落实报告</w:t>
            </w:r>
            <w:r>
              <w:rPr>
                <w:rFonts w:hint="eastAsia" w:ascii="Times New Roman" w:hAnsi="Times New Roman"/>
                <w:szCs w:val="24"/>
              </w:rPr>
              <w:t>表</w:t>
            </w:r>
            <w:r>
              <w:rPr>
                <w:rFonts w:ascii="Times New Roman" w:hAnsi="Times New Roman"/>
                <w:szCs w:val="24"/>
              </w:rPr>
              <w:t>提出的各项环境保护措施和风险防范措施要求的前提下，</w:t>
            </w:r>
            <w:r>
              <w:rPr>
                <w:rFonts w:hint="eastAsia" w:ascii="Times New Roman" w:hAnsi="Times New Roman"/>
                <w:szCs w:val="24"/>
              </w:rPr>
              <w:t>项目各项污染物均能合理处置或达标排放，对周围环境影响较小。因此，从环保角度分析，本项目的建设是可行的。</w:t>
            </w:r>
          </w:p>
          <w:p>
            <w:pPr>
              <w:ind w:firstLine="480"/>
              <w:rPr>
                <w:rFonts w:eastAsiaTheme="minorEastAsia"/>
                <w:color w:val="0000FF"/>
              </w:rPr>
            </w:pPr>
          </w:p>
        </w:tc>
      </w:tr>
    </w:tbl>
    <w:p>
      <w:pPr>
        <w:ind w:firstLine="640"/>
        <w:rPr>
          <w:rFonts w:eastAsiaTheme="minorEastAsia"/>
          <w:color w:val="0000FF"/>
          <w:sz w:val="32"/>
          <w:szCs w:val="32"/>
        </w:rPr>
        <w:sectPr>
          <w:pgSz w:w="11905" w:h="16838"/>
          <w:pgMar w:top="1701" w:right="1531" w:bottom="1701" w:left="1531" w:header="851" w:footer="850" w:gutter="0"/>
          <w:cols w:space="0" w:num="1"/>
          <w:docGrid w:linePitch="312" w:charSpace="0"/>
        </w:sectPr>
      </w:pPr>
    </w:p>
    <w:p>
      <w:pPr>
        <w:pStyle w:val="72"/>
        <w:snapToGrid w:val="0"/>
        <w:spacing w:before="0" w:beforeAutospacing="0" w:after="0" w:afterAutospacing="0" w:line="240" w:lineRule="auto"/>
        <w:ind w:firstLine="0" w:firstLineChars="0"/>
        <w:outlineLvl w:val="0"/>
        <w:rPr>
          <w:rFonts w:ascii="Times New Roman" w:hAnsi="Times New Roman" w:eastAsiaTheme="minorEastAsia"/>
          <w:b/>
          <w:bCs/>
          <w:snapToGrid w:val="0"/>
          <w:sz w:val="32"/>
          <w:szCs w:val="32"/>
        </w:rPr>
      </w:pPr>
      <w:r>
        <w:rPr>
          <w:rFonts w:ascii="Times New Roman" w:hAnsi="Times New Roman" w:eastAsiaTheme="minorEastAsia"/>
          <w:b/>
          <w:bCs/>
          <w:snapToGrid w:val="0"/>
          <w:sz w:val="32"/>
          <w:szCs w:val="32"/>
        </w:rPr>
        <w:t>附表</w:t>
      </w:r>
    </w:p>
    <w:p>
      <w:pPr>
        <w:pStyle w:val="72"/>
        <w:adjustRightInd w:val="0"/>
        <w:snapToGrid w:val="0"/>
        <w:spacing w:before="0" w:beforeAutospacing="0" w:after="0" w:afterAutospacing="0" w:line="240" w:lineRule="auto"/>
        <w:ind w:firstLine="0" w:firstLineChars="0"/>
        <w:jc w:val="center"/>
        <w:outlineLvl w:val="0"/>
        <w:rPr>
          <w:rFonts w:ascii="Times New Roman" w:hAnsi="Times New Roman" w:eastAsiaTheme="minorEastAsia"/>
          <w:b/>
          <w:bCs/>
          <w:snapToGrid w:val="0"/>
          <w:sz w:val="48"/>
          <w:szCs w:val="48"/>
        </w:rPr>
      </w:pPr>
      <w:r>
        <w:rPr>
          <w:rFonts w:ascii="Times New Roman" w:hAnsi="Times New Roman" w:eastAsiaTheme="minorEastAsia"/>
          <w:b/>
          <w:bCs/>
          <w:snapToGrid w:val="0"/>
          <w:sz w:val="48"/>
          <w:szCs w:val="48"/>
        </w:rPr>
        <w:t>建设项目污染物排放量汇总表</w:t>
      </w:r>
    </w:p>
    <w:tbl>
      <w:tblPr>
        <w:tblStyle w:val="7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819"/>
        <w:gridCol w:w="1701"/>
        <w:gridCol w:w="1386"/>
        <w:gridCol w:w="1591"/>
        <w:gridCol w:w="1559"/>
        <w:gridCol w:w="1448"/>
        <w:gridCol w:w="1719"/>
        <w:gridCol w:w="13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86" w:type="dxa"/>
            <w:tcBorders>
              <w:tl2br w:val="single" w:color="auto" w:sz="4" w:space="0"/>
            </w:tcBorders>
            <w:tcMar>
              <w:left w:w="28" w:type="dxa"/>
              <w:right w:w="28" w:type="dxa"/>
            </w:tcMar>
            <w:vAlign w:val="center"/>
          </w:tcPr>
          <w:p>
            <w:pPr>
              <w:pStyle w:val="128"/>
              <w:spacing w:beforeLines="0" w:afterLines="0" w:line="240" w:lineRule="auto"/>
              <w:ind w:firstLine="0" w:firstLineChars="0"/>
              <w:jc w:val="right"/>
              <w:rPr>
                <w:rFonts w:ascii="Times New Roman" w:eastAsiaTheme="minorEastAsia"/>
                <w:b/>
                <w:bCs/>
                <w:snapToGrid w:val="0"/>
                <w:kern w:val="21"/>
                <w:sz w:val="24"/>
                <w:szCs w:val="24"/>
              </w:rPr>
            </w:pPr>
            <w:r>
              <w:rPr>
                <w:rFonts w:ascii="Times New Roman" w:eastAsiaTheme="minorEastAsia"/>
                <w:b/>
                <w:bCs/>
                <w:snapToGrid w:val="0"/>
                <w:kern w:val="21"/>
                <w:sz w:val="24"/>
                <w:szCs w:val="24"/>
              </w:rPr>
              <w:t>项目</w:t>
            </w:r>
          </w:p>
          <w:p>
            <w:pPr>
              <w:pStyle w:val="128"/>
              <w:spacing w:beforeLines="0" w:afterLines="0" w:line="240" w:lineRule="auto"/>
              <w:ind w:firstLine="0" w:firstLineChars="0"/>
              <w:jc w:val="both"/>
              <w:rPr>
                <w:rFonts w:ascii="Times New Roman" w:eastAsiaTheme="minorEastAsia"/>
                <w:b/>
                <w:bCs/>
                <w:snapToGrid w:val="0"/>
                <w:kern w:val="21"/>
                <w:sz w:val="24"/>
                <w:szCs w:val="24"/>
              </w:rPr>
            </w:pPr>
            <w:r>
              <w:rPr>
                <w:rFonts w:ascii="Times New Roman" w:eastAsiaTheme="minorEastAsia"/>
                <w:b/>
                <w:bCs/>
                <w:snapToGrid w:val="0"/>
                <w:kern w:val="21"/>
                <w:sz w:val="24"/>
                <w:szCs w:val="24"/>
              </w:rPr>
              <w:t>分类</w:t>
            </w:r>
          </w:p>
        </w:tc>
        <w:tc>
          <w:tcPr>
            <w:tcW w:w="1819" w:type="dxa"/>
            <w:tcMar>
              <w:left w:w="28" w:type="dxa"/>
              <w:right w:w="28" w:type="dxa"/>
            </w:tcMar>
            <w:vAlign w:val="center"/>
          </w:tcPr>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污染物名称</w:t>
            </w:r>
          </w:p>
        </w:tc>
        <w:tc>
          <w:tcPr>
            <w:tcW w:w="1701" w:type="dxa"/>
            <w:tcMar>
              <w:left w:w="28" w:type="dxa"/>
              <w:right w:w="28" w:type="dxa"/>
            </w:tcMar>
            <w:vAlign w:val="center"/>
          </w:tcPr>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现有工程</w:t>
            </w:r>
          </w:p>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排放量</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t>固体废物产生量</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fldChar w:fldCharType="begin"/>
            </w:r>
            <w:r>
              <w:rPr>
                <w:rFonts w:ascii="Times New Roman" w:eastAsiaTheme="minorEastAsia"/>
                <w:b/>
                <w:bCs/>
                <w:snapToGrid w:val="0"/>
                <w:kern w:val="21"/>
                <w:sz w:val="24"/>
                <w:szCs w:val="24"/>
              </w:rPr>
              <w:instrText xml:space="preserve"> = 1 \* GB3 \* MERGEFORMAT </w:instrText>
            </w:r>
            <w:r>
              <w:rPr>
                <w:rFonts w:ascii="Times New Roman" w:eastAsiaTheme="minorEastAsia"/>
                <w:b/>
                <w:bCs/>
                <w:snapToGrid w:val="0"/>
                <w:kern w:val="21"/>
                <w:sz w:val="24"/>
                <w:szCs w:val="24"/>
              </w:rPr>
              <w:fldChar w:fldCharType="separate"/>
            </w:r>
            <w:r>
              <w:rPr>
                <w:rFonts w:ascii="Times New Roman" w:eastAsiaTheme="minorEastAsia"/>
                <w:b/>
                <w:bCs/>
                <w:snapToGrid w:val="0"/>
                <w:kern w:val="21"/>
                <w:sz w:val="24"/>
                <w:szCs w:val="24"/>
              </w:rPr>
              <w:t>①</w:t>
            </w:r>
            <w:r>
              <w:rPr>
                <w:rFonts w:ascii="Times New Roman" w:eastAsiaTheme="minorEastAsia"/>
                <w:b/>
                <w:bCs/>
                <w:snapToGrid w:val="0"/>
                <w:kern w:val="21"/>
                <w:sz w:val="24"/>
                <w:szCs w:val="24"/>
              </w:rPr>
              <w:fldChar w:fldCharType="end"/>
            </w:r>
          </w:p>
        </w:tc>
        <w:tc>
          <w:tcPr>
            <w:tcW w:w="1386" w:type="dxa"/>
            <w:tcMar>
              <w:left w:w="28" w:type="dxa"/>
              <w:right w:w="28" w:type="dxa"/>
            </w:tcMar>
            <w:vAlign w:val="center"/>
          </w:tcPr>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现有工程</w:t>
            </w:r>
          </w:p>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许可排放量</w:t>
            </w:r>
          </w:p>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fldChar w:fldCharType="begin"/>
            </w:r>
            <w:r>
              <w:rPr>
                <w:rFonts w:ascii="Times New Roman" w:eastAsiaTheme="minorEastAsia"/>
                <w:b/>
                <w:bCs/>
                <w:snapToGrid w:val="0"/>
                <w:kern w:val="21"/>
                <w:sz w:val="24"/>
                <w:szCs w:val="24"/>
              </w:rPr>
              <w:instrText xml:space="preserve"> = 2 \* GB3 \* MERGEFORMAT </w:instrText>
            </w:r>
            <w:r>
              <w:rPr>
                <w:rFonts w:ascii="Times New Roman" w:eastAsiaTheme="minorEastAsia"/>
                <w:b/>
                <w:bCs/>
                <w:snapToGrid w:val="0"/>
                <w:kern w:val="21"/>
                <w:sz w:val="24"/>
                <w:szCs w:val="24"/>
              </w:rPr>
              <w:fldChar w:fldCharType="separate"/>
            </w:r>
            <w:r>
              <w:rPr>
                <w:rFonts w:ascii="Times New Roman" w:eastAsiaTheme="minorEastAsia"/>
                <w:b/>
                <w:bCs/>
                <w:snapToGrid w:val="0"/>
                <w:kern w:val="21"/>
                <w:sz w:val="24"/>
                <w:szCs w:val="24"/>
              </w:rPr>
              <w:t>②</w:t>
            </w:r>
            <w:r>
              <w:rPr>
                <w:rFonts w:ascii="Times New Roman" w:eastAsiaTheme="minorEastAsia"/>
                <w:b/>
                <w:bCs/>
                <w:snapToGrid w:val="0"/>
                <w:kern w:val="21"/>
                <w:sz w:val="24"/>
                <w:szCs w:val="24"/>
              </w:rPr>
              <w:fldChar w:fldCharType="end"/>
            </w:r>
          </w:p>
        </w:tc>
        <w:tc>
          <w:tcPr>
            <w:tcW w:w="1591" w:type="dxa"/>
            <w:tcMar>
              <w:left w:w="28" w:type="dxa"/>
              <w:right w:w="28" w:type="dxa"/>
            </w:tcMar>
            <w:vAlign w:val="center"/>
          </w:tcPr>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在建工程</w:t>
            </w:r>
          </w:p>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排放量</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t>固体废物产生量</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fldChar w:fldCharType="begin"/>
            </w:r>
            <w:r>
              <w:rPr>
                <w:rFonts w:ascii="Times New Roman" w:eastAsiaTheme="minorEastAsia"/>
                <w:b/>
                <w:bCs/>
                <w:snapToGrid w:val="0"/>
                <w:kern w:val="21"/>
                <w:sz w:val="24"/>
                <w:szCs w:val="24"/>
              </w:rPr>
              <w:instrText xml:space="preserve"> = 3 \* GB3 \* MERGEFORMAT </w:instrText>
            </w:r>
            <w:r>
              <w:rPr>
                <w:rFonts w:ascii="Times New Roman" w:eastAsiaTheme="minorEastAsia"/>
                <w:b/>
                <w:bCs/>
                <w:snapToGrid w:val="0"/>
                <w:kern w:val="21"/>
                <w:sz w:val="24"/>
                <w:szCs w:val="24"/>
              </w:rPr>
              <w:fldChar w:fldCharType="separate"/>
            </w:r>
            <w:r>
              <w:rPr>
                <w:rFonts w:ascii="Times New Roman" w:eastAsiaTheme="minorEastAsia"/>
                <w:b/>
                <w:bCs/>
                <w:snapToGrid w:val="0"/>
                <w:kern w:val="21"/>
                <w:sz w:val="24"/>
                <w:szCs w:val="24"/>
              </w:rPr>
              <w:t>③</w:t>
            </w:r>
            <w:r>
              <w:rPr>
                <w:rFonts w:ascii="Times New Roman" w:eastAsiaTheme="minorEastAsia"/>
                <w:b/>
                <w:bCs/>
                <w:snapToGrid w:val="0"/>
                <w:kern w:val="21"/>
                <w:sz w:val="24"/>
                <w:szCs w:val="24"/>
              </w:rPr>
              <w:fldChar w:fldCharType="end"/>
            </w:r>
          </w:p>
        </w:tc>
        <w:tc>
          <w:tcPr>
            <w:tcW w:w="1559" w:type="dxa"/>
            <w:tcMar>
              <w:left w:w="28" w:type="dxa"/>
              <w:right w:w="28" w:type="dxa"/>
            </w:tcMar>
            <w:vAlign w:val="center"/>
          </w:tcPr>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本项目</w:t>
            </w:r>
          </w:p>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排放量</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t>固体废物产生量</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fldChar w:fldCharType="begin"/>
            </w:r>
            <w:r>
              <w:rPr>
                <w:rFonts w:ascii="Times New Roman" w:eastAsiaTheme="minorEastAsia"/>
                <w:b/>
                <w:bCs/>
                <w:snapToGrid w:val="0"/>
                <w:kern w:val="21"/>
                <w:sz w:val="24"/>
                <w:szCs w:val="24"/>
              </w:rPr>
              <w:instrText xml:space="preserve"> = 4 \* GB3 \* MERGEFORMAT </w:instrText>
            </w:r>
            <w:r>
              <w:rPr>
                <w:rFonts w:ascii="Times New Roman" w:eastAsiaTheme="minorEastAsia"/>
                <w:b/>
                <w:bCs/>
                <w:snapToGrid w:val="0"/>
                <w:kern w:val="21"/>
                <w:sz w:val="24"/>
                <w:szCs w:val="24"/>
              </w:rPr>
              <w:fldChar w:fldCharType="separate"/>
            </w:r>
            <w:r>
              <w:rPr>
                <w:rFonts w:ascii="Times New Roman" w:eastAsiaTheme="minorEastAsia"/>
                <w:b/>
                <w:bCs/>
                <w:snapToGrid w:val="0"/>
                <w:kern w:val="21"/>
                <w:sz w:val="24"/>
                <w:szCs w:val="24"/>
              </w:rPr>
              <w:t>④</w:t>
            </w:r>
            <w:r>
              <w:rPr>
                <w:rFonts w:ascii="Times New Roman" w:eastAsiaTheme="minorEastAsia"/>
                <w:b/>
                <w:bCs/>
                <w:snapToGrid w:val="0"/>
                <w:kern w:val="21"/>
                <w:sz w:val="24"/>
                <w:szCs w:val="24"/>
              </w:rPr>
              <w:fldChar w:fldCharType="end"/>
            </w:r>
          </w:p>
        </w:tc>
        <w:tc>
          <w:tcPr>
            <w:tcW w:w="1448" w:type="dxa"/>
            <w:tcMar>
              <w:left w:w="28" w:type="dxa"/>
              <w:right w:w="28" w:type="dxa"/>
            </w:tcMar>
            <w:vAlign w:val="center"/>
          </w:tcPr>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以新带老削减量</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t>新建项目不填</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fldChar w:fldCharType="begin"/>
            </w:r>
            <w:r>
              <w:rPr>
                <w:rFonts w:ascii="Times New Roman" w:eastAsiaTheme="minorEastAsia"/>
                <w:b/>
                <w:bCs/>
                <w:snapToGrid w:val="0"/>
                <w:kern w:val="21"/>
                <w:sz w:val="24"/>
                <w:szCs w:val="24"/>
              </w:rPr>
              <w:instrText xml:space="preserve"> = 5 \* GB3 \* MERGEFORMAT </w:instrText>
            </w:r>
            <w:r>
              <w:rPr>
                <w:rFonts w:ascii="Times New Roman" w:eastAsiaTheme="minorEastAsia"/>
                <w:b/>
                <w:bCs/>
                <w:snapToGrid w:val="0"/>
                <w:kern w:val="21"/>
                <w:sz w:val="24"/>
                <w:szCs w:val="24"/>
              </w:rPr>
              <w:fldChar w:fldCharType="separate"/>
            </w:r>
            <w:r>
              <w:rPr>
                <w:rFonts w:ascii="Times New Roman" w:eastAsiaTheme="minorEastAsia"/>
                <w:b/>
                <w:bCs/>
                <w:snapToGrid w:val="0"/>
                <w:kern w:val="21"/>
                <w:sz w:val="24"/>
                <w:szCs w:val="24"/>
              </w:rPr>
              <w:t>⑤</w:t>
            </w:r>
            <w:r>
              <w:rPr>
                <w:rFonts w:ascii="Times New Roman" w:eastAsiaTheme="minorEastAsia"/>
                <w:b/>
                <w:bCs/>
                <w:snapToGrid w:val="0"/>
                <w:kern w:val="21"/>
                <w:sz w:val="24"/>
                <w:szCs w:val="24"/>
              </w:rPr>
              <w:fldChar w:fldCharType="end"/>
            </w:r>
          </w:p>
        </w:tc>
        <w:tc>
          <w:tcPr>
            <w:tcW w:w="1719" w:type="dxa"/>
            <w:tcMar>
              <w:left w:w="28" w:type="dxa"/>
              <w:right w:w="28" w:type="dxa"/>
            </w:tcMar>
            <w:vAlign w:val="center"/>
          </w:tcPr>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本项目建成后</w:t>
            </w:r>
          </w:p>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全厂排放量</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t>固体废物产生量</w:t>
            </w:r>
            <w:r>
              <w:rPr>
                <w:rFonts w:hint="eastAsia" w:ascii="Times New Roman" w:eastAsiaTheme="minorEastAsia"/>
                <w:b/>
                <w:bCs/>
                <w:snapToGrid w:val="0"/>
                <w:kern w:val="21"/>
                <w:sz w:val="24"/>
                <w:szCs w:val="24"/>
              </w:rPr>
              <w:t>)</w:t>
            </w:r>
            <w:r>
              <w:rPr>
                <w:rFonts w:ascii="Times New Roman" w:eastAsiaTheme="minorEastAsia"/>
                <w:b/>
                <w:bCs/>
                <w:snapToGrid w:val="0"/>
                <w:kern w:val="21"/>
                <w:sz w:val="24"/>
                <w:szCs w:val="24"/>
              </w:rPr>
              <w:fldChar w:fldCharType="begin"/>
            </w:r>
            <w:r>
              <w:rPr>
                <w:rFonts w:ascii="Times New Roman" w:eastAsiaTheme="minorEastAsia"/>
                <w:b/>
                <w:bCs/>
                <w:snapToGrid w:val="0"/>
                <w:kern w:val="21"/>
                <w:sz w:val="24"/>
                <w:szCs w:val="24"/>
              </w:rPr>
              <w:instrText xml:space="preserve"> = 6 \* GB3 \* MERGEFORMAT </w:instrText>
            </w:r>
            <w:r>
              <w:rPr>
                <w:rFonts w:ascii="Times New Roman" w:eastAsiaTheme="minorEastAsia"/>
                <w:b/>
                <w:bCs/>
                <w:snapToGrid w:val="0"/>
                <w:kern w:val="21"/>
                <w:sz w:val="24"/>
                <w:szCs w:val="24"/>
              </w:rPr>
              <w:fldChar w:fldCharType="separate"/>
            </w:r>
            <w:r>
              <w:rPr>
                <w:rFonts w:ascii="Times New Roman" w:eastAsiaTheme="minorEastAsia"/>
                <w:b/>
                <w:bCs/>
                <w:snapToGrid w:val="0"/>
                <w:kern w:val="21"/>
                <w:sz w:val="24"/>
                <w:szCs w:val="24"/>
              </w:rPr>
              <w:t>⑥</w:t>
            </w:r>
            <w:r>
              <w:rPr>
                <w:rFonts w:ascii="Times New Roman" w:eastAsiaTheme="minorEastAsia"/>
                <w:b/>
                <w:bCs/>
                <w:snapToGrid w:val="0"/>
                <w:kern w:val="21"/>
                <w:sz w:val="24"/>
                <w:szCs w:val="24"/>
              </w:rPr>
              <w:fldChar w:fldCharType="end"/>
            </w:r>
          </w:p>
        </w:tc>
        <w:tc>
          <w:tcPr>
            <w:tcW w:w="1379" w:type="dxa"/>
            <w:tcMar>
              <w:left w:w="28" w:type="dxa"/>
              <w:right w:w="28" w:type="dxa"/>
            </w:tcMar>
            <w:vAlign w:val="center"/>
          </w:tcPr>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t>变化量</w:t>
            </w:r>
          </w:p>
          <w:p>
            <w:pPr>
              <w:pStyle w:val="128"/>
              <w:spacing w:beforeLines="0" w:afterLines="0" w:line="240" w:lineRule="auto"/>
              <w:ind w:firstLine="0" w:firstLineChars="0"/>
              <w:rPr>
                <w:rFonts w:ascii="Times New Roman" w:eastAsiaTheme="minorEastAsia"/>
                <w:b/>
                <w:bCs/>
                <w:snapToGrid w:val="0"/>
                <w:kern w:val="21"/>
                <w:sz w:val="24"/>
                <w:szCs w:val="24"/>
              </w:rPr>
            </w:pPr>
            <w:r>
              <w:rPr>
                <w:rFonts w:ascii="Times New Roman" w:eastAsiaTheme="minorEastAsia"/>
                <w:b/>
                <w:bCs/>
                <w:snapToGrid w:val="0"/>
                <w:kern w:val="21"/>
                <w:sz w:val="24"/>
                <w:szCs w:val="24"/>
              </w:rPr>
              <w:fldChar w:fldCharType="begin"/>
            </w:r>
            <w:r>
              <w:rPr>
                <w:rFonts w:ascii="Times New Roman" w:eastAsiaTheme="minorEastAsia"/>
                <w:b/>
                <w:bCs/>
                <w:snapToGrid w:val="0"/>
                <w:kern w:val="21"/>
                <w:sz w:val="24"/>
                <w:szCs w:val="24"/>
              </w:rPr>
              <w:instrText xml:space="preserve"> = 7 \* GB3 \* MERGEFORMAT </w:instrText>
            </w:r>
            <w:r>
              <w:rPr>
                <w:rFonts w:ascii="Times New Roman" w:eastAsiaTheme="minorEastAsia"/>
                <w:b/>
                <w:bCs/>
                <w:snapToGrid w:val="0"/>
                <w:kern w:val="21"/>
                <w:sz w:val="24"/>
                <w:szCs w:val="24"/>
              </w:rPr>
              <w:fldChar w:fldCharType="separate"/>
            </w:r>
            <w:r>
              <w:rPr>
                <w:rFonts w:ascii="Times New Roman" w:eastAsiaTheme="minorEastAsia"/>
                <w:b/>
                <w:bCs/>
                <w:snapToGrid w:val="0"/>
                <w:kern w:val="21"/>
                <w:sz w:val="24"/>
                <w:szCs w:val="24"/>
              </w:rPr>
              <w:t>⑦</w:t>
            </w:r>
            <w:r>
              <w:rPr>
                <w:rFonts w:ascii="Times New Roman" w:eastAsiaTheme="minorEastAsia"/>
                <w:b/>
                <w:bCs/>
                <w:snapToGrid w:val="0"/>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186" w:type="dxa"/>
            <w:vMerge w:val="restart"/>
            <w:vAlign w:val="center"/>
          </w:tcPr>
          <w:p>
            <w:pPr>
              <w:pStyle w:val="128"/>
              <w:spacing w:beforeLines="0" w:afterLines="0" w:line="240" w:lineRule="exact"/>
              <w:ind w:firstLine="0" w:firstLineChars="0"/>
              <w:rPr>
                <w:rFonts w:ascii="Times New Roman"/>
                <w:snapToGrid w:val="0"/>
                <w:kern w:val="21"/>
                <w:szCs w:val="21"/>
              </w:rPr>
            </w:pPr>
            <w:r>
              <w:rPr>
                <w:rFonts w:ascii="Times New Roman"/>
                <w:snapToGrid w:val="0"/>
                <w:kern w:val="21"/>
                <w:szCs w:val="21"/>
                <w:lang w:bidi="ar"/>
              </w:rPr>
              <w:t>废气</w:t>
            </w:r>
          </w:p>
        </w:tc>
        <w:tc>
          <w:tcPr>
            <w:tcW w:w="1819" w:type="dxa"/>
            <w:vAlign w:val="center"/>
          </w:tcPr>
          <w:p>
            <w:pPr>
              <w:snapToGrid w:val="0"/>
              <w:spacing w:line="240" w:lineRule="auto"/>
              <w:ind w:firstLine="0" w:firstLineChars="0"/>
              <w:jc w:val="center"/>
              <w:rPr>
                <w:snapToGrid w:val="0"/>
                <w:kern w:val="21"/>
                <w:sz w:val="21"/>
                <w:szCs w:val="21"/>
                <w:lang w:bidi="ar"/>
              </w:rPr>
            </w:pPr>
            <w:r>
              <w:rPr>
                <w:snapToGrid w:val="0"/>
                <w:kern w:val="21"/>
                <w:sz w:val="21"/>
                <w:szCs w:val="21"/>
                <w:lang w:bidi="ar"/>
              </w:rPr>
              <w:t>颗粒物</w:t>
            </w:r>
          </w:p>
        </w:tc>
        <w:tc>
          <w:tcPr>
            <w:tcW w:w="1701" w:type="dxa"/>
            <w:vAlign w:val="center"/>
          </w:tcPr>
          <w:p>
            <w:pPr>
              <w:widowControl/>
              <w:spacing w:line="280" w:lineRule="exact"/>
              <w:ind w:firstLine="0" w:firstLineChars="0"/>
              <w:jc w:val="center"/>
              <w:textAlignment w:val="center"/>
              <w:rPr>
                <w:kern w:val="0"/>
                <w:sz w:val="21"/>
                <w:szCs w:val="21"/>
                <w:lang w:bidi="ar"/>
              </w:rPr>
            </w:pPr>
            <w:r>
              <w:rPr>
                <w:rFonts w:hint="default"/>
                <w:kern w:val="0"/>
                <w:sz w:val="21"/>
                <w:szCs w:val="21"/>
                <w:lang w:val="en-US" w:eastAsia="zh-CN" w:bidi="ar"/>
              </w:rPr>
              <w:t>2113.217</w:t>
            </w:r>
          </w:p>
        </w:tc>
        <w:tc>
          <w:tcPr>
            <w:tcW w:w="1386" w:type="dxa"/>
            <w:vAlign w:val="center"/>
          </w:tcPr>
          <w:p>
            <w:pPr>
              <w:widowControl/>
              <w:spacing w:line="280" w:lineRule="exact"/>
              <w:ind w:firstLine="0" w:firstLineChars="0"/>
              <w:jc w:val="center"/>
              <w:textAlignment w:val="center"/>
              <w:rPr>
                <w:kern w:val="0"/>
                <w:sz w:val="21"/>
                <w:szCs w:val="21"/>
                <w:lang w:bidi="ar"/>
              </w:rPr>
            </w:pPr>
            <w:r>
              <w:rPr>
                <w:kern w:val="0"/>
                <w:sz w:val="21"/>
                <w:szCs w:val="21"/>
                <w:lang w:bidi="ar"/>
              </w:rPr>
              <w:t>1785.9815</w:t>
            </w:r>
          </w:p>
        </w:tc>
        <w:tc>
          <w:tcPr>
            <w:tcW w:w="1591" w:type="dxa"/>
            <w:vAlign w:val="center"/>
          </w:tcPr>
          <w:p>
            <w:pPr>
              <w:widowControl/>
              <w:spacing w:line="280" w:lineRule="exact"/>
              <w:ind w:firstLine="0" w:firstLineChars="0"/>
              <w:jc w:val="center"/>
              <w:textAlignment w:val="center"/>
              <w:rPr>
                <w:kern w:val="0"/>
                <w:sz w:val="21"/>
                <w:szCs w:val="21"/>
                <w:lang w:bidi="ar"/>
              </w:rPr>
            </w:pPr>
            <w:r>
              <w:rPr>
                <w:kern w:val="0"/>
                <w:sz w:val="21"/>
                <w:szCs w:val="21"/>
                <w:lang w:bidi="ar"/>
              </w:rPr>
              <w:t>875.544</w:t>
            </w:r>
          </w:p>
        </w:tc>
        <w:tc>
          <w:tcPr>
            <w:tcW w:w="1559" w:type="dxa"/>
            <w:vAlign w:val="center"/>
          </w:tcPr>
          <w:p>
            <w:pPr>
              <w:pStyle w:val="2"/>
              <w:snapToGrid w:val="0"/>
              <w:spacing w:line="240" w:lineRule="auto"/>
              <w:ind w:firstLine="0" w:firstLineChars="0"/>
              <w:jc w:val="center"/>
              <w:rPr>
                <w:snapToGrid w:val="0"/>
                <w:kern w:val="21"/>
              </w:rPr>
            </w:pPr>
            <w:r>
              <w:rPr>
                <w:rFonts w:hint="eastAsia"/>
                <w:snapToGrid w:val="0"/>
                <w:kern w:val="21"/>
                <w:lang w:bidi="ar"/>
              </w:rPr>
              <w:t>15.049</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pStyle w:val="2"/>
              <w:snapToGrid w:val="0"/>
              <w:spacing w:line="240" w:lineRule="auto"/>
              <w:ind w:firstLine="0" w:firstLineChars="0"/>
              <w:jc w:val="center"/>
              <w:rPr>
                <w:rFonts w:hint="default" w:eastAsia="宋体"/>
                <w:snapToGrid w:val="0"/>
                <w:kern w:val="21"/>
                <w:lang w:val="en-US" w:eastAsia="zh-CN"/>
              </w:rPr>
            </w:pPr>
            <w:r>
              <w:rPr>
                <w:rFonts w:hint="eastAsia"/>
                <w:snapToGrid w:val="0"/>
                <w:kern w:val="21"/>
                <w:lang w:val="en-US" w:eastAsia="zh-CN" w:bidi="ar"/>
              </w:rPr>
              <w:t>3003.81</w:t>
            </w:r>
          </w:p>
        </w:tc>
        <w:tc>
          <w:tcPr>
            <w:tcW w:w="1379" w:type="dxa"/>
            <w:vAlign w:val="center"/>
          </w:tcPr>
          <w:p>
            <w:pPr>
              <w:pStyle w:val="2"/>
              <w:snapToGrid w:val="0"/>
              <w:spacing w:line="240" w:lineRule="auto"/>
              <w:ind w:firstLine="0" w:firstLineChars="0"/>
              <w:jc w:val="center"/>
              <w:rPr>
                <w:snapToGrid w:val="0"/>
                <w:kern w:val="21"/>
              </w:rPr>
            </w:pPr>
            <w:r>
              <w:rPr>
                <w:rFonts w:hint="eastAsia"/>
                <w:snapToGrid w:val="0"/>
                <w:kern w:val="21"/>
                <w:lang w:bidi="ar"/>
              </w:rPr>
              <w:t>+15.049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8"/>
              <w:spacing w:beforeLines="0" w:afterLines="0" w:line="240" w:lineRule="exact"/>
              <w:ind w:firstLine="0" w:firstLineChars="0"/>
              <w:rPr>
                <w:rFonts w:ascii="Times New Roman"/>
                <w:snapToGrid w:val="0"/>
                <w:kern w:val="21"/>
                <w:szCs w:val="21"/>
              </w:rPr>
            </w:pPr>
          </w:p>
        </w:tc>
        <w:tc>
          <w:tcPr>
            <w:tcW w:w="18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SO</w:t>
            </w:r>
            <w:r>
              <w:rPr>
                <w:rFonts w:hint="eastAsia"/>
                <w:snapToGrid w:val="0"/>
                <w:kern w:val="21"/>
                <w:sz w:val="21"/>
                <w:szCs w:val="21"/>
                <w:vertAlign w:val="subscript"/>
                <w:lang w:bidi="ar"/>
              </w:rPr>
              <w:t>2</w:t>
            </w:r>
          </w:p>
        </w:tc>
        <w:tc>
          <w:tcPr>
            <w:tcW w:w="1701" w:type="dxa"/>
            <w:vAlign w:val="center"/>
          </w:tcPr>
          <w:p>
            <w:pPr>
              <w:widowControl/>
              <w:spacing w:line="280" w:lineRule="exact"/>
              <w:ind w:firstLine="0" w:firstLineChars="0"/>
              <w:jc w:val="center"/>
              <w:textAlignment w:val="center"/>
              <w:rPr>
                <w:kern w:val="0"/>
                <w:sz w:val="21"/>
                <w:szCs w:val="21"/>
                <w:lang w:bidi="ar"/>
              </w:rPr>
            </w:pPr>
            <w:r>
              <w:rPr>
                <w:rFonts w:hint="default"/>
                <w:kern w:val="0"/>
                <w:sz w:val="21"/>
                <w:szCs w:val="21"/>
                <w:lang w:val="en-US" w:eastAsia="zh-CN" w:bidi="ar"/>
              </w:rPr>
              <w:t>347.52</w:t>
            </w:r>
          </w:p>
        </w:tc>
        <w:tc>
          <w:tcPr>
            <w:tcW w:w="1386" w:type="dxa"/>
            <w:vAlign w:val="center"/>
          </w:tcPr>
          <w:p>
            <w:pPr>
              <w:widowControl/>
              <w:spacing w:line="280" w:lineRule="exact"/>
              <w:ind w:firstLine="0" w:firstLineChars="0"/>
              <w:jc w:val="center"/>
              <w:textAlignment w:val="center"/>
              <w:rPr>
                <w:kern w:val="0"/>
                <w:sz w:val="21"/>
                <w:szCs w:val="21"/>
                <w:lang w:bidi="ar"/>
              </w:rPr>
            </w:pPr>
            <w:r>
              <w:rPr>
                <w:kern w:val="0"/>
                <w:sz w:val="21"/>
                <w:szCs w:val="21"/>
                <w:lang w:bidi="ar"/>
              </w:rPr>
              <w:t>1432.854</w:t>
            </w:r>
          </w:p>
        </w:tc>
        <w:tc>
          <w:tcPr>
            <w:tcW w:w="1591" w:type="dxa"/>
            <w:vAlign w:val="center"/>
          </w:tcPr>
          <w:p>
            <w:pPr>
              <w:widowControl/>
              <w:spacing w:line="280" w:lineRule="exact"/>
              <w:ind w:firstLine="0" w:firstLineChars="0"/>
              <w:jc w:val="center"/>
              <w:textAlignment w:val="center"/>
              <w:rPr>
                <w:kern w:val="0"/>
                <w:sz w:val="21"/>
                <w:szCs w:val="21"/>
                <w:lang w:bidi="ar"/>
              </w:rPr>
            </w:pPr>
            <w:r>
              <w:rPr>
                <w:kern w:val="0"/>
                <w:sz w:val="21"/>
                <w:szCs w:val="21"/>
                <w:lang w:bidi="ar"/>
              </w:rPr>
              <w:t>423.182</w:t>
            </w:r>
          </w:p>
        </w:tc>
        <w:tc>
          <w:tcPr>
            <w:tcW w:w="1559" w:type="dxa"/>
            <w:vAlign w:val="center"/>
          </w:tcPr>
          <w:p>
            <w:pPr>
              <w:pStyle w:val="2"/>
              <w:snapToGrid w:val="0"/>
              <w:spacing w:line="240" w:lineRule="auto"/>
              <w:ind w:firstLine="0" w:firstLineChars="0"/>
              <w:jc w:val="center"/>
              <w:rPr>
                <w:snapToGrid w:val="0"/>
                <w:kern w:val="21"/>
              </w:rPr>
            </w:pPr>
            <w:r>
              <w:rPr>
                <w:rFonts w:hint="eastAsia"/>
                <w:snapToGrid w:val="0"/>
                <w:kern w:val="21"/>
                <w:lang w:bidi="ar"/>
              </w:rPr>
              <w:t>32.163</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pStyle w:val="2"/>
              <w:snapToGrid w:val="0"/>
              <w:spacing w:line="240" w:lineRule="auto"/>
              <w:ind w:firstLine="0" w:firstLineChars="0"/>
              <w:jc w:val="center"/>
              <w:rPr>
                <w:rFonts w:hint="default" w:eastAsia="宋体"/>
                <w:snapToGrid w:val="0"/>
                <w:kern w:val="21"/>
                <w:lang w:val="en-US" w:eastAsia="zh-CN"/>
              </w:rPr>
            </w:pPr>
            <w:r>
              <w:rPr>
                <w:rFonts w:hint="eastAsia"/>
                <w:snapToGrid w:val="0"/>
                <w:kern w:val="21"/>
                <w:lang w:val="en-US" w:eastAsia="zh-CN" w:bidi="ar"/>
              </w:rPr>
              <w:t>802.865</w:t>
            </w:r>
          </w:p>
        </w:tc>
        <w:tc>
          <w:tcPr>
            <w:tcW w:w="1379" w:type="dxa"/>
            <w:vAlign w:val="center"/>
          </w:tcPr>
          <w:p>
            <w:pPr>
              <w:pStyle w:val="2"/>
              <w:snapToGrid w:val="0"/>
              <w:spacing w:line="240" w:lineRule="auto"/>
              <w:ind w:firstLine="0" w:firstLineChars="0"/>
              <w:jc w:val="center"/>
              <w:rPr>
                <w:snapToGrid w:val="0"/>
                <w:kern w:val="21"/>
              </w:rPr>
            </w:pPr>
            <w:r>
              <w:rPr>
                <w:rFonts w:hint="eastAsia"/>
                <w:snapToGrid w:val="0"/>
                <w:kern w:val="21"/>
                <w:lang w:bidi="ar"/>
              </w:rPr>
              <w:t>+32.163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8"/>
              <w:spacing w:beforeLines="0" w:afterLines="0" w:line="240" w:lineRule="exact"/>
              <w:ind w:firstLine="0" w:firstLineChars="0"/>
              <w:rPr>
                <w:rFonts w:ascii="Times New Roman"/>
                <w:snapToGrid w:val="0"/>
                <w:kern w:val="21"/>
                <w:szCs w:val="21"/>
              </w:rPr>
            </w:pPr>
          </w:p>
        </w:tc>
        <w:tc>
          <w:tcPr>
            <w:tcW w:w="18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NOx</w:t>
            </w:r>
          </w:p>
        </w:tc>
        <w:tc>
          <w:tcPr>
            <w:tcW w:w="1701" w:type="dxa"/>
            <w:vAlign w:val="center"/>
          </w:tcPr>
          <w:p>
            <w:pPr>
              <w:widowControl/>
              <w:spacing w:line="280" w:lineRule="exact"/>
              <w:ind w:firstLine="0" w:firstLineChars="0"/>
              <w:jc w:val="center"/>
              <w:textAlignment w:val="center"/>
              <w:rPr>
                <w:kern w:val="0"/>
                <w:sz w:val="21"/>
                <w:szCs w:val="21"/>
                <w:lang w:bidi="ar"/>
              </w:rPr>
            </w:pPr>
            <w:r>
              <w:rPr>
                <w:rFonts w:hint="default"/>
                <w:kern w:val="0"/>
                <w:sz w:val="21"/>
                <w:szCs w:val="21"/>
                <w:lang w:val="en-US" w:eastAsia="zh-CN" w:bidi="ar"/>
              </w:rPr>
              <w:t>856.292</w:t>
            </w:r>
          </w:p>
        </w:tc>
        <w:tc>
          <w:tcPr>
            <w:tcW w:w="1386" w:type="dxa"/>
            <w:vAlign w:val="center"/>
          </w:tcPr>
          <w:p>
            <w:pPr>
              <w:widowControl/>
              <w:spacing w:line="280" w:lineRule="exact"/>
              <w:ind w:firstLine="0" w:firstLineChars="0"/>
              <w:jc w:val="center"/>
              <w:textAlignment w:val="center"/>
              <w:rPr>
                <w:kern w:val="0"/>
                <w:sz w:val="21"/>
                <w:szCs w:val="21"/>
                <w:lang w:bidi="ar"/>
              </w:rPr>
            </w:pPr>
            <w:r>
              <w:rPr>
                <w:kern w:val="0"/>
                <w:sz w:val="21"/>
                <w:szCs w:val="21"/>
                <w:lang w:bidi="ar"/>
              </w:rPr>
              <w:t>2260.9759</w:t>
            </w:r>
          </w:p>
        </w:tc>
        <w:tc>
          <w:tcPr>
            <w:tcW w:w="1591" w:type="dxa"/>
            <w:vAlign w:val="center"/>
          </w:tcPr>
          <w:p>
            <w:pPr>
              <w:widowControl/>
              <w:spacing w:line="280" w:lineRule="exact"/>
              <w:ind w:firstLine="0" w:firstLineChars="0"/>
              <w:jc w:val="center"/>
              <w:textAlignment w:val="center"/>
              <w:rPr>
                <w:kern w:val="0"/>
                <w:sz w:val="21"/>
                <w:szCs w:val="21"/>
                <w:lang w:bidi="ar"/>
              </w:rPr>
            </w:pPr>
            <w:r>
              <w:rPr>
                <w:kern w:val="0"/>
                <w:sz w:val="21"/>
                <w:szCs w:val="21"/>
                <w:lang w:bidi="ar"/>
              </w:rPr>
              <w:t>628.918</w:t>
            </w:r>
          </w:p>
        </w:tc>
        <w:tc>
          <w:tcPr>
            <w:tcW w:w="1559" w:type="dxa"/>
            <w:vAlign w:val="center"/>
          </w:tcPr>
          <w:p>
            <w:pPr>
              <w:pStyle w:val="2"/>
              <w:snapToGrid w:val="0"/>
              <w:spacing w:line="240" w:lineRule="auto"/>
              <w:ind w:firstLine="0" w:firstLineChars="0"/>
              <w:jc w:val="center"/>
              <w:rPr>
                <w:snapToGrid w:val="0"/>
                <w:kern w:val="21"/>
              </w:rPr>
            </w:pPr>
            <w:r>
              <w:rPr>
                <w:rFonts w:hint="eastAsia"/>
                <w:snapToGrid w:val="0"/>
                <w:kern w:val="21"/>
                <w:lang w:bidi="ar"/>
              </w:rPr>
              <w:t>45.743</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pStyle w:val="2"/>
              <w:snapToGrid w:val="0"/>
              <w:spacing w:line="240" w:lineRule="auto"/>
              <w:ind w:firstLine="0" w:firstLineChars="0"/>
              <w:jc w:val="center"/>
              <w:rPr>
                <w:rFonts w:hint="default" w:eastAsia="宋体"/>
                <w:snapToGrid w:val="0"/>
                <w:kern w:val="21"/>
                <w:lang w:val="en-US" w:eastAsia="zh-CN"/>
              </w:rPr>
            </w:pPr>
            <w:r>
              <w:rPr>
                <w:rFonts w:hint="eastAsia"/>
                <w:snapToGrid w:val="0"/>
                <w:kern w:val="21"/>
                <w:lang w:val="en-US" w:eastAsia="zh-CN" w:bidi="ar"/>
              </w:rPr>
              <w:t>1530.953</w:t>
            </w:r>
          </w:p>
        </w:tc>
        <w:tc>
          <w:tcPr>
            <w:tcW w:w="1379" w:type="dxa"/>
            <w:vAlign w:val="center"/>
          </w:tcPr>
          <w:p>
            <w:pPr>
              <w:pStyle w:val="2"/>
              <w:snapToGrid w:val="0"/>
              <w:spacing w:line="240" w:lineRule="auto"/>
              <w:ind w:firstLine="0" w:firstLineChars="0"/>
              <w:jc w:val="center"/>
              <w:rPr>
                <w:snapToGrid w:val="0"/>
                <w:kern w:val="21"/>
              </w:rPr>
            </w:pPr>
            <w:r>
              <w:rPr>
                <w:rFonts w:hint="eastAsia"/>
                <w:snapToGrid w:val="0"/>
                <w:kern w:val="21"/>
                <w:lang w:bidi="ar"/>
              </w:rPr>
              <w:t>+45.743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86" w:type="dxa"/>
            <w:vMerge w:val="restart"/>
            <w:vAlign w:val="center"/>
          </w:tcPr>
          <w:p>
            <w:pPr>
              <w:pStyle w:val="128"/>
              <w:spacing w:beforeLines="0" w:afterLines="0" w:line="240" w:lineRule="exact"/>
              <w:ind w:firstLine="0" w:firstLineChars="0"/>
              <w:rPr>
                <w:rFonts w:ascii="Times New Roman"/>
                <w:snapToGrid w:val="0"/>
                <w:kern w:val="21"/>
                <w:szCs w:val="21"/>
              </w:rPr>
            </w:pPr>
            <w:r>
              <w:rPr>
                <w:rFonts w:ascii="Times New Roman"/>
                <w:snapToGrid w:val="0"/>
                <w:kern w:val="21"/>
                <w:szCs w:val="21"/>
              </w:rPr>
              <w:t>废水</w:t>
            </w:r>
          </w:p>
        </w:tc>
        <w:tc>
          <w:tcPr>
            <w:tcW w:w="1819" w:type="dxa"/>
            <w:vAlign w:val="center"/>
          </w:tcPr>
          <w:p>
            <w:pPr>
              <w:snapToGrid w:val="0"/>
              <w:spacing w:line="240" w:lineRule="auto"/>
              <w:ind w:firstLine="0" w:firstLineChars="0"/>
              <w:jc w:val="center"/>
              <w:rPr>
                <w:snapToGrid w:val="0"/>
                <w:kern w:val="21"/>
                <w:sz w:val="21"/>
                <w:szCs w:val="21"/>
                <w:lang w:bidi="ar"/>
              </w:rPr>
            </w:pPr>
            <w:r>
              <w:rPr>
                <w:snapToGrid w:val="0"/>
                <w:kern w:val="21"/>
                <w:sz w:val="21"/>
                <w:szCs w:val="21"/>
                <w:lang w:bidi="ar"/>
              </w:rPr>
              <w:t>COD</w:t>
            </w:r>
          </w:p>
        </w:tc>
        <w:tc>
          <w:tcPr>
            <w:tcW w:w="170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86"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9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5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7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86" w:type="dxa"/>
            <w:vMerge w:val="continue"/>
            <w:vAlign w:val="center"/>
          </w:tcPr>
          <w:p>
            <w:pPr>
              <w:pStyle w:val="128"/>
              <w:spacing w:beforeLines="0" w:afterLines="0" w:line="240" w:lineRule="exact"/>
              <w:ind w:firstLine="0" w:firstLineChars="0"/>
              <w:rPr>
                <w:rFonts w:ascii="Times New Roman"/>
                <w:snapToGrid w:val="0"/>
                <w:kern w:val="21"/>
                <w:szCs w:val="21"/>
              </w:rPr>
            </w:pPr>
          </w:p>
        </w:tc>
        <w:tc>
          <w:tcPr>
            <w:tcW w:w="1819" w:type="dxa"/>
            <w:vAlign w:val="center"/>
          </w:tcPr>
          <w:p>
            <w:pPr>
              <w:snapToGrid w:val="0"/>
              <w:spacing w:line="240" w:lineRule="auto"/>
              <w:ind w:firstLine="0" w:firstLineChars="0"/>
              <w:jc w:val="center"/>
              <w:rPr>
                <w:snapToGrid w:val="0"/>
                <w:kern w:val="21"/>
                <w:sz w:val="21"/>
                <w:szCs w:val="21"/>
                <w:lang w:bidi="ar"/>
              </w:rPr>
            </w:pPr>
            <w:r>
              <w:rPr>
                <w:snapToGrid w:val="0"/>
                <w:kern w:val="21"/>
                <w:sz w:val="21"/>
                <w:szCs w:val="21"/>
                <w:lang w:bidi="ar"/>
              </w:rPr>
              <w:t>氨氮</w:t>
            </w:r>
          </w:p>
        </w:tc>
        <w:tc>
          <w:tcPr>
            <w:tcW w:w="170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86"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9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5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7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restart"/>
            <w:vAlign w:val="center"/>
          </w:tcPr>
          <w:p>
            <w:pPr>
              <w:pStyle w:val="128"/>
              <w:spacing w:beforeLines="0" w:afterLines="0" w:line="240" w:lineRule="exact"/>
              <w:ind w:firstLine="0" w:firstLineChars="0"/>
              <w:rPr>
                <w:rFonts w:ascii="Times New Roman"/>
                <w:snapToGrid w:val="0"/>
                <w:kern w:val="21"/>
                <w:szCs w:val="21"/>
              </w:rPr>
            </w:pPr>
            <w:r>
              <w:rPr>
                <w:rFonts w:ascii="Times New Roman"/>
                <w:snapToGrid w:val="0"/>
                <w:kern w:val="21"/>
                <w:szCs w:val="21"/>
              </w:rPr>
              <w:t>一般工业</w:t>
            </w:r>
          </w:p>
          <w:p>
            <w:pPr>
              <w:pStyle w:val="128"/>
              <w:spacing w:beforeLines="0" w:afterLines="0" w:line="240" w:lineRule="exact"/>
              <w:ind w:firstLine="0" w:firstLineChars="0"/>
              <w:rPr>
                <w:rFonts w:ascii="Times New Roman"/>
                <w:snapToGrid w:val="0"/>
                <w:kern w:val="21"/>
                <w:szCs w:val="21"/>
              </w:rPr>
            </w:pPr>
            <w:r>
              <w:rPr>
                <w:rFonts w:ascii="Times New Roman"/>
                <w:snapToGrid w:val="0"/>
                <w:kern w:val="21"/>
                <w:szCs w:val="21"/>
              </w:rPr>
              <w:t>固体废物</w:t>
            </w:r>
          </w:p>
        </w:tc>
        <w:tc>
          <w:tcPr>
            <w:tcW w:w="1819" w:type="dxa"/>
            <w:vAlign w:val="center"/>
          </w:tcPr>
          <w:p>
            <w:pPr>
              <w:pStyle w:val="128"/>
              <w:spacing w:beforeLines="0" w:afterLines="0" w:line="240" w:lineRule="auto"/>
              <w:ind w:firstLine="0" w:firstLineChars="0"/>
              <w:rPr>
                <w:rFonts w:ascii="Times New Roman"/>
                <w:snapToGrid w:val="0"/>
                <w:kern w:val="21"/>
                <w:szCs w:val="21"/>
              </w:rPr>
            </w:pPr>
            <w:r>
              <w:rPr>
                <w:rFonts w:hint="eastAsia" w:ascii="Times New Roman"/>
                <w:snapToGrid w:val="0"/>
                <w:kern w:val="21"/>
                <w:szCs w:val="21"/>
                <w:lang w:bidi="ar"/>
              </w:rPr>
              <w:t>除尘灰</w:t>
            </w:r>
          </w:p>
        </w:tc>
        <w:tc>
          <w:tcPr>
            <w:tcW w:w="170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86"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9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59" w:type="dxa"/>
            <w:vAlign w:val="center"/>
          </w:tcPr>
          <w:p>
            <w:pPr>
              <w:snapToGrid w:val="0"/>
              <w:spacing w:line="240" w:lineRule="auto"/>
              <w:ind w:firstLine="0" w:firstLineChars="0"/>
              <w:jc w:val="center"/>
              <w:rPr>
                <w:rFonts w:hint="eastAsia" w:eastAsia="宋体"/>
                <w:snapToGrid w:val="0"/>
                <w:kern w:val="21"/>
                <w:sz w:val="21"/>
                <w:szCs w:val="21"/>
                <w:lang w:eastAsia="zh-CN" w:bidi="ar"/>
              </w:rPr>
            </w:pPr>
            <w:r>
              <w:rPr>
                <w:rFonts w:hint="eastAsia"/>
                <w:snapToGrid w:val="0"/>
                <w:kern w:val="21"/>
                <w:sz w:val="21"/>
                <w:szCs w:val="21"/>
                <w:lang w:eastAsia="zh-CN" w:bidi="ar"/>
              </w:rPr>
              <w:t>1173</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widowControl/>
              <w:spacing w:line="280" w:lineRule="exact"/>
              <w:ind w:firstLine="0" w:firstLineChars="0"/>
              <w:jc w:val="center"/>
              <w:textAlignment w:val="center"/>
              <w:rPr>
                <w:rFonts w:hint="eastAsia" w:eastAsia="宋体"/>
                <w:snapToGrid w:val="0"/>
                <w:kern w:val="21"/>
                <w:sz w:val="21"/>
                <w:szCs w:val="21"/>
                <w:lang w:eastAsia="zh-CN" w:bidi="ar"/>
              </w:rPr>
            </w:pPr>
            <w:r>
              <w:rPr>
                <w:rFonts w:hint="eastAsia"/>
                <w:kern w:val="0"/>
                <w:sz w:val="21"/>
                <w:szCs w:val="21"/>
                <w:lang w:eastAsia="zh-CN" w:bidi="ar"/>
              </w:rPr>
              <w:t>1173</w:t>
            </w:r>
          </w:p>
        </w:tc>
        <w:tc>
          <w:tcPr>
            <w:tcW w:w="1379" w:type="dxa"/>
            <w:vAlign w:val="center"/>
          </w:tcPr>
          <w:p>
            <w:pPr>
              <w:widowControl/>
              <w:spacing w:line="280" w:lineRule="exact"/>
              <w:ind w:firstLine="0" w:firstLineChars="0"/>
              <w:jc w:val="center"/>
              <w:textAlignment w:val="center"/>
              <w:rPr>
                <w:rFonts w:hint="eastAsia" w:eastAsia="宋体"/>
                <w:snapToGrid w:val="0"/>
                <w:kern w:val="21"/>
                <w:sz w:val="21"/>
                <w:szCs w:val="21"/>
                <w:lang w:eastAsia="zh-CN" w:bidi="ar"/>
              </w:rPr>
            </w:pPr>
            <w:r>
              <w:rPr>
                <w:snapToGrid w:val="0"/>
                <w:kern w:val="21"/>
                <w:sz w:val="21"/>
                <w:szCs w:val="21"/>
                <w:lang w:bidi="ar"/>
              </w:rPr>
              <w:t>+</w:t>
            </w:r>
            <w:r>
              <w:rPr>
                <w:rFonts w:hint="eastAsia"/>
                <w:kern w:val="0"/>
                <w:sz w:val="21"/>
                <w:szCs w:val="21"/>
                <w:lang w:eastAsia="zh-CN" w:bidi="ar"/>
              </w:rPr>
              <w:t>1173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8"/>
              <w:spacing w:beforeLines="0" w:afterLines="0" w:line="240" w:lineRule="exact"/>
              <w:ind w:firstLine="0" w:firstLineChars="0"/>
              <w:rPr>
                <w:rFonts w:ascii="Times New Roman"/>
                <w:snapToGrid w:val="0"/>
                <w:kern w:val="21"/>
                <w:szCs w:val="21"/>
              </w:rPr>
            </w:pPr>
          </w:p>
        </w:tc>
        <w:tc>
          <w:tcPr>
            <w:tcW w:w="1819" w:type="dxa"/>
            <w:vAlign w:val="center"/>
          </w:tcPr>
          <w:p>
            <w:pPr>
              <w:pStyle w:val="128"/>
              <w:spacing w:beforeLines="0" w:afterLines="0" w:line="240" w:lineRule="auto"/>
              <w:ind w:firstLine="0" w:firstLineChars="0"/>
              <w:rPr>
                <w:rFonts w:hint="eastAsia" w:ascii="Times New Roman" w:eastAsia="宋体"/>
                <w:snapToGrid w:val="0"/>
                <w:kern w:val="21"/>
                <w:szCs w:val="21"/>
                <w:lang w:val="en-US" w:eastAsia="zh-CN" w:bidi="ar"/>
              </w:rPr>
            </w:pPr>
            <w:r>
              <w:rPr>
                <w:rFonts w:hint="eastAsia" w:ascii="Times New Roman"/>
                <w:snapToGrid w:val="0"/>
                <w:kern w:val="21"/>
                <w:szCs w:val="21"/>
                <w:lang w:val="en-US" w:eastAsia="zh-CN" w:bidi="ar"/>
              </w:rPr>
              <w:t>废布袋</w:t>
            </w:r>
          </w:p>
        </w:tc>
        <w:tc>
          <w:tcPr>
            <w:tcW w:w="1701" w:type="dxa"/>
            <w:vAlign w:val="center"/>
          </w:tcPr>
          <w:p>
            <w:pPr>
              <w:snapToGrid w:val="0"/>
              <w:spacing w:line="240" w:lineRule="auto"/>
              <w:ind w:firstLine="0" w:firstLineChars="0"/>
              <w:jc w:val="center"/>
              <w:rPr>
                <w:rFonts w:hint="eastAsia" w:ascii="Times New Roman" w:hAnsi="Times New Roman" w:eastAsia="宋体" w:cs="Times New Roman"/>
                <w:snapToGrid w:val="0"/>
                <w:kern w:val="21"/>
                <w:sz w:val="21"/>
                <w:szCs w:val="21"/>
                <w:lang w:val="en-US" w:eastAsia="zh-CN" w:bidi="ar"/>
              </w:rPr>
            </w:pPr>
            <w:r>
              <w:rPr>
                <w:rFonts w:hint="eastAsia"/>
                <w:snapToGrid w:val="0"/>
                <w:kern w:val="21"/>
                <w:sz w:val="21"/>
                <w:szCs w:val="21"/>
                <w:lang w:bidi="ar"/>
              </w:rPr>
              <w:t>—</w:t>
            </w:r>
          </w:p>
        </w:tc>
        <w:tc>
          <w:tcPr>
            <w:tcW w:w="1386" w:type="dxa"/>
            <w:vAlign w:val="center"/>
          </w:tcPr>
          <w:p>
            <w:pPr>
              <w:snapToGrid w:val="0"/>
              <w:spacing w:line="240" w:lineRule="auto"/>
              <w:ind w:firstLine="0" w:firstLineChars="0"/>
              <w:jc w:val="center"/>
              <w:rPr>
                <w:rFonts w:hint="eastAsia" w:ascii="Times New Roman" w:hAnsi="Times New Roman" w:eastAsia="宋体" w:cs="Times New Roman"/>
                <w:snapToGrid w:val="0"/>
                <w:kern w:val="21"/>
                <w:sz w:val="21"/>
                <w:szCs w:val="21"/>
                <w:lang w:val="en-US" w:eastAsia="zh-CN" w:bidi="ar"/>
              </w:rPr>
            </w:pPr>
            <w:r>
              <w:rPr>
                <w:rFonts w:hint="eastAsia"/>
                <w:snapToGrid w:val="0"/>
                <w:kern w:val="21"/>
                <w:sz w:val="21"/>
                <w:szCs w:val="21"/>
                <w:lang w:bidi="ar"/>
              </w:rPr>
              <w:t>—</w:t>
            </w:r>
          </w:p>
        </w:tc>
        <w:tc>
          <w:tcPr>
            <w:tcW w:w="1591" w:type="dxa"/>
            <w:vAlign w:val="center"/>
          </w:tcPr>
          <w:p>
            <w:pPr>
              <w:snapToGrid w:val="0"/>
              <w:spacing w:line="240" w:lineRule="auto"/>
              <w:ind w:firstLine="0" w:firstLineChars="0"/>
              <w:jc w:val="center"/>
              <w:rPr>
                <w:rFonts w:hint="eastAsia" w:ascii="Times New Roman" w:hAnsi="Times New Roman" w:eastAsia="宋体" w:cs="Times New Roman"/>
                <w:snapToGrid w:val="0"/>
                <w:kern w:val="21"/>
                <w:sz w:val="21"/>
                <w:szCs w:val="21"/>
                <w:lang w:val="en-US" w:eastAsia="zh-CN" w:bidi="ar"/>
              </w:rPr>
            </w:pPr>
            <w:r>
              <w:rPr>
                <w:rFonts w:hint="eastAsia"/>
                <w:snapToGrid w:val="0"/>
                <w:kern w:val="21"/>
                <w:sz w:val="21"/>
                <w:szCs w:val="21"/>
                <w:lang w:bidi="ar"/>
              </w:rPr>
              <w:t>—</w:t>
            </w:r>
          </w:p>
        </w:tc>
        <w:tc>
          <w:tcPr>
            <w:tcW w:w="1559" w:type="dxa"/>
            <w:vAlign w:val="center"/>
          </w:tcPr>
          <w:p>
            <w:pPr>
              <w:snapToGrid w:val="0"/>
              <w:spacing w:line="240" w:lineRule="auto"/>
              <w:ind w:firstLine="0" w:firstLineChars="0"/>
              <w:jc w:val="center"/>
              <w:rPr>
                <w:rFonts w:hint="default" w:eastAsia="宋体"/>
                <w:snapToGrid w:val="0"/>
                <w:kern w:val="21"/>
                <w:sz w:val="21"/>
                <w:szCs w:val="21"/>
                <w:lang w:val="en-US" w:eastAsia="zh-CN" w:bidi="ar"/>
              </w:rPr>
            </w:pPr>
            <w:r>
              <w:rPr>
                <w:rFonts w:hint="eastAsia"/>
                <w:snapToGrid w:val="0"/>
                <w:kern w:val="21"/>
                <w:sz w:val="21"/>
                <w:szCs w:val="21"/>
                <w:lang w:val="en-US" w:eastAsia="zh-CN" w:bidi="ar"/>
              </w:rPr>
              <w:t>0.1</w:t>
            </w:r>
          </w:p>
        </w:tc>
        <w:tc>
          <w:tcPr>
            <w:tcW w:w="1448" w:type="dxa"/>
            <w:vAlign w:val="center"/>
          </w:tcPr>
          <w:p>
            <w:pPr>
              <w:snapToGrid w:val="0"/>
              <w:spacing w:line="240" w:lineRule="auto"/>
              <w:ind w:firstLine="0" w:firstLineChars="0"/>
              <w:jc w:val="center"/>
              <w:rPr>
                <w:rFonts w:hint="eastAsia"/>
                <w:snapToGrid w:val="0"/>
                <w:kern w:val="21"/>
                <w:sz w:val="21"/>
                <w:szCs w:val="21"/>
                <w:lang w:bidi="ar"/>
              </w:rPr>
            </w:pPr>
            <w:r>
              <w:rPr>
                <w:rFonts w:hint="eastAsia"/>
                <w:snapToGrid w:val="0"/>
                <w:kern w:val="21"/>
                <w:sz w:val="21"/>
                <w:szCs w:val="21"/>
                <w:lang w:bidi="ar"/>
              </w:rPr>
              <w:t>—</w:t>
            </w:r>
          </w:p>
        </w:tc>
        <w:tc>
          <w:tcPr>
            <w:tcW w:w="1719" w:type="dxa"/>
            <w:vAlign w:val="center"/>
          </w:tcPr>
          <w:p>
            <w:pPr>
              <w:widowControl/>
              <w:spacing w:line="280" w:lineRule="exact"/>
              <w:ind w:firstLine="0" w:firstLineChars="0"/>
              <w:jc w:val="center"/>
              <w:textAlignment w:val="center"/>
              <w:rPr>
                <w:rFonts w:hint="eastAsia"/>
                <w:kern w:val="0"/>
                <w:sz w:val="21"/>
                <w:szCs w:val="21"/>
                <w:lang w:bidi="ar"/>
              </w:rPr>
            </w:pPr>
            <w:r>
              <w:rPr>
                <w:rFonts w:hint="eastAsia"/>
                <w:snapToGrid w:val="0"/>
                <w:kern w:val="21"/>
                <w:sz w:val="21"/>
                <w:szCs w:val="21"/>
                <w:lang w:val="en-US" w:eastAsia="zh-CN" w:bidi="ar"/>
              </w:rPr>
              <w:t>0.1</w:t>
            </w:r>
          </w:p>
        </w:tc>
        <w:tc>
          <w:tcPr>
            <w:tcW w:w="1379" w:type="dxa"/>
            <w:vAlign w:val="center"/>
          </w:tcPr>
          <w:p>
            <w:pPr>
              <w:widowControl/>
              <w:spacing w:line="280" w:lineRule="exact"/>
              <w:ind w:firstLine="0" w:firstLineChars="0"/>
              <w:jc w:val="center"/>
              <w:textAlignment w:val="center"/>
              <w:rPr>
                <w:rFonts w:hint="default" w:eastAsia="宋体"/>
                <w:snapToGrid w:val="0"/>
                <w:kern w:val="21"/>
                <w:sz w:val="21"/>
                <w:szCs w:val="21"/>
                <w:lang w:val="en-US" w:eastAsia="zh-CN" w:bidi="ar"/>
              </w:rPr>
            </w:pPr>
            <w:r>
              <w:rPr>
                <w:rFonts w:hint="eastAsia"/>
                <w:snapToGrid w:val="0"/>
                <w:kern w:val="21"/>
                <w:sz w:val="21"/>
                <w:szCs w:val="21"/>
                <w:lang w:val="en-US" w:eastAsia="zh-CN" w:bidi="ar"/>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restart"/>
            <w:vAlign w:val="center"/>
          </w:tcPr>
          <w:p>
            <w:pPr>
              <w:pStyle w:val="128"/>
              <w:spacing w:beforeLines="0" w:afterLines="0" w:line="240" w:lineRule="exact"/>
              <w:ind w:firstLine="0" w:firstLineChars="0"/>
              <w:rPr>
                <w:rFonts w:ascii="Times New Roman"/>
                <w:snapToGrid w:val="0"/>
                <w:kern w:val="21"/>
                <w:szCs w:val="21"/>
              </w:rPr>
            </w:pPr>
            <w:r>
              <w:rPr>
                <w:rFonts w:ascii="Times New Roman"/>
                <w:snapToGrid w:val="0"/>
                <w:kern w:val="21"/>
                <w:szCs w:val="21"/>
              </w:rPr>
              <w:t>危险废物</w:t>
            </w:r>
          </w:p>
        </w:tc>
        <w:tc>
          <w:tcPr>
            <w:tcW w:w="18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废SCR催化剂</w:t>
            </w:r>
          </w:p>
        </w:tc>
        <w:tc>
          <w:tcPr>
            <w:tcW w:w="170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86"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9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5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10t/3a</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10t/3a</w:t>
            </w:r>
          </w:p>
        </w:tc>
        <w:tc>
          <w:tcPr>
            <w:tcW w:w="137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+10t/3a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8"/>
              <w:spacing w:beforeLines="0" w:afterLines="0" w:line="240" w:lineRule="exact"/>
              <w:ind w:firstLine="0" w:firstLineChars="0"/>
              <w:rPr>
                <w:rFonts w:ascii="Times New Roman"/>
                <w:snapToGrid w:val="0"/>
                <w:kern w:val="21"/>
                <w:szCs w:val="21"/>
              </w:rPr>
            </w:pPr>
          </w:p>
        </w:tc>
        <w:tc>
          <w:tcPr>
            <w:tcW w:w="18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废滤芯、滤纸和滤网</w:t>
            </w:r>
          </w:p>
        </w:tc>
        <w:tc>
          <w:tcPr>
            <w:tcW w:w="170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86"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9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5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0.5</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0.5</w:t>
            </w:r>
          </w:p>
        </w:tc>
        <w:tc>
          <w:tcPr>
            <w:tcW w:w="137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8"/>
              <w:spacing w:beforeLines="0" w:afterLines="0" w:line="240" w:lineRule="exact"/>
              <w:ind w:firstLine="0" w:firstLineChars="0"/>
              <w:rPr>
                <w:rFonts w:ascii="Times New Roman"/>
                <w:snapToGrid w:val="0"/>
                <w:kern w:val="21"/>
                <w:szCs w:val="21"/>
              </w:rPr>
            </w:pPr>
          </w:p>
        </w:tc>
        <w:tc>
          <w:tcPr>
            <w:tcW w:w="1819" w:type="dxa"/>
            <w:vAlign w:val="center"/>
          </w:tcPr>
          <w:p>
            <w:pPr>
              <w:snapToGrid w:val="0"/>
              <w:spacing w:line="240" w:lineRule="auto"/>
              <w:ind w:firstLine="0" w:firstLineChars="0"/>
              <w:jc w:val="center"/>
              <w:rPr>
                <w:snapToGrid w:val="0"/>
                <w:kern w:val="21"/>
                <w:sz w:val="21"/>
                <w:szCs w:val="21"/>
                <w:lang w:bidi="ar"/>
              </w:rPr>
            </w:pPr>
            <w:r>
              <w:rPr>
                <w:snapToGrid w:val="0"/>
                <w:kern w:val="21"/>
                <w:sz w:val="21"/>
                <w:szCs w:val="21"/>
                <w:lang w:bidi="ar"/>
              </w:rPr>
              <w:t>废润滑油</w:t>
            </w:r>
          </w:p>
        </w:tc>
        <w:tc>
          <w:tcPr>
            <w:tcW w:w="170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86"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91" w:type="dxa"/>
            <w:vAlign w:val="center"/>
          </w:tcPr>
          <w:p>
            <w:pPr>
              <w:snapToGrid w:val="0"/>
              <w:spacing w:line="240" w:lineRule="auto"/>
              <w:ind w:firstLine="0" w:firstLineChars="0"/>
              <w:jc w:val="center"/>
              <w:rPr>
                <w:b/>
                <w:bCs/>
                <w:snapToGrid w:val="0"/>
                <w:kern w:val="21"/>
                <w:sz w:val="21"/>
                <w:szCs w:val="21"/>
                <w:lang w:bidi="ar"/>
              </w:rPr>
            </w:pPr>
            <w:r>
              <w:rPr>
                <w:rFonts w:hint="eastAsia"/>
                <w:snapToGrid w:val="0"/>
                <w:kern w:val="21"/>
                <w:sz w:val="21"/>
                <w:szCs w:val="21"/>
                <w:lang w:bidi="ar"/>
              </w:rPr>
              <w:t>—</w:t>
            </w:r>
          </w:p>
        </w:tc>
        <w:tc>
          <w:tcPr>
            <w:tcW w:w="155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0.6</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0.6</w:t>
            </w:r>
          </w:p>
        </w:tc>
        <w:tc>
          <w:tcPr>
            <w:tcW w:w="137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8"/>
              <w:spacing w:beforeLines="0" w:afterLines="0" w:line="240" w:lineRule="exact"/>
              <w:ind w:firstLine="0" w:firstLineChars="0"/>
              <w:rPr>
                <w:rFonts w:ascii="Times New Roman"/>
                <w:snapToGrid w:val="0"/>
                <w:kern w:val="21"/>
                <w:szCs w:val="21"/>
              </w:rPr>
            </w:pPr>
          </w:p>
        </w:tc>
        <w:tc>
          <w:tcPr>
            <w:tcW w:w="1819" w:type="dxa"/>
            <w:vAlign w:val="center"/>
          </w:tcPr>
          <w:p>
            <w:pPr>
              <w:snapToGrid w:val="0"/>
              <w:spacing w:line="240" w:lineRule="auto"/>
              <w:ind w:firstLine="0" w:firstLineChars="0"/>
              <w:jc w:val="center"/>
              <w:rPr>
                <w:snapToGrid w:val="0"/>
                <w:kern w:val="21"/>
                <w:sz w:val="21"/>
                <w:szCs w:val="21"/>
                <w:lang w:bidi="ar"/>
              </w:rPr>
            </w:pPr>
            <w:r>
              <w:rPr>
                <w:snapToGrid w:val="0"/>
                <w:kern w:val="21"/>
                <w:sz w:val="21"/>
                <w:szCs w:val="21"/>
                <w:lang w:bidi="ar"/>
              </w:rPr>
              <w:t>废液压油</w:t>
            </w:r>
          </w:p>
        </w:tc>
        <w:tc>
          <w:tcPr>
            <w:tcW w:w="170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86"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91" w:type="dxa"/>
            <w:vAlign w:val="center"/>
          </w:tcPr>
          <w:p>
            <w:pPr>
              <w:snapToGrid w:val="0"/>
              <w:spacing w:line="240" w:lineRule="auto"/>
              <w:ind w:firstLine="0" w:firstLineChars="0"/>
              <w:jc w:val="center"/>
              <w:rPr>
                <w:b/>
                <w:bCs/>
                <w:snapToGrid w:val="0"/>
                <w:kern w:val="21"/>
                <w:sz w:val="21"/>
                <w:szCs w:val="21"/>
                <w:lang w:bidi="ar"/>
              </w:rPr>
            </w:pPr>
            <w:r>
              <w:rPr>
                <w:rFonts w:hint="eastAsia"/>
                <w:snapToGrid w:val="0"/>
                <w:kern w:val="21"/>
                <w:sz w:val="21"/>
                <w:szCs w:val="21"/>
                <w:lang w:bidi="ar"/>
              </w:rPr>
              <w:t>—</w:t>
            </w:r>
          </w:p>
        </w:tc>
        <w:tc>
          <w:tcPr>
            <w:tcW w:w="155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0.2</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0.2</w:t>
            </w:r>
          </w:p>
        </w:tc>
        <w:tc>
          <w:tcPr>
            <w:tcW w:w="137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6" w:type="dxa"/>
            <w:vMerge w:val="continue"/>
            <w:vAlign w:val="center"/>
          </w:tcPr>
          <w:p>
            <w:pPr>
              <w:pStyle w:val="128"/>
              <w:spacing w:beforeLines="0" w:afterLines="0" w:line="240" w:lineRule="exact"/>
              <w:ind w:firstLine="0" w:firstLineChars="0"/>
              <w:rPr>
                <w:rFonts w:ascii="Times New Roman"/>
                <w:snapToGrid w:val="0"/>
                <w:kern w:val="21"/>
                <w:szCs w:val="21"/>
              </w:rPr>
            </w:pPr>
          </w:p>
        </w:tc>
        <w:tc>
          <w:tcPr>
            <w:tcW w:w="1819" w:type="dxa"/>
            <w:vAlign w:val="center"/>
          </w:tcPr>
          <w:p>
            <w:pPr>
              <w:snapToGrid w:val="0"/>
              <w:spacing w:line="240" w:lineRule="auto"/>
              <w:ind w:firstLine="0" w:firstLineChars="0"/>
              <w:jc w:val="center"/>
              <w:rPr>
                <w:snapToGrid w:val="0"/>
                <w:kern w:val="21"/>
                <w:sz w:val="21"/>
                <w:szCs w:val="21"/>
                <w:lang w:bidi="ar"/>
              </w:rPr>
            </w:pPr>
            <w:r>
              <w:rPr>
                <w:snapToGrid w:val="0"/>
                <w:kern w:val="21"/>
                <w:sz w:val="21"/>
                <w:szCs w:val="21"/>
                <w:lang w:bidi="ar"/>
              </w:rPr>
              <w:t>废油桶</w:t>
            </w:r>
          </w:p>
        </w:tc>
        <w:tc>
          <w:tcPr>
            <w:tcW w:w="1701"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386"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591" w:type="dxa"/>
            <w:vAlign w:val="center"/>
          </w:tcPr>
          <w:p>
            <w:pPr>
              <w:snapToGrid w:val="0"/>
              <w:spacing w:line="240" w:lineRule="auto"/>
              <w:ind w:firstLine="0" w:firstLineChars="0"/>
              <w:jc w:val="center"/>
              <w:rPr>
                <w:b/>
                <w:bCs/>
                <w:snapToGrid w:val="0"/>
                <w:kern w:val="21"/>
                <w:sz w:val="21"/>
                <w:szCs w:val="21"/>
                <w:lang w:bidi="ar"/>
              </w:rPr>
            </w:pPr>
            <w:r>
              <w:rPr>
                <w:rFonts w:hint="eastAsia"/>
                <w:snapToGrid w:val="0"/>
                <w:kern w:val="21"/>
                <w:sz w:val="21"/>
                <w:szCs w:val="21"/>
                <w:lang w:bidi="ar"/>
              </w:rPr>
              <w:t>—</w:t>
            </w:r>
          </w:p>
        </w:tc>
        <w:tc>
          <w:tcPr>
            <w:tcW w:w="155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0.03</w:t>
            </w:r>
          </w:p>
        </w:tc>
        <w:tc>
          <w:tcPr>
            <w:tcW w:w="1448"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w:t>
            </w:r>
          </w:p>
        </w:tc>
        <w:tc>
          <w:tcPr>
            <w:tcW w:w="1719" w:type="dxa"/>
            <w:vAlign w:val="center"/>
          </w:tcPr>
          <w:p>
            <w:pPr>
              <w:snapToGrid w:val="0"/>
              <w:spacing w:line="240" w:lineRule="auto"/>
              <w:ind w:firstLine="0" w:firstLineChars="0"/>
              <w:jc w:val="center"/>
              <w:rPr>
                <w:snapToGrid w:val="0"/>
                <w:kern w:val="21"/>
                <w:sz w:val="21"/>
                <w:szCs w:val="21"/>
                <w:lang w:bidi="ar"/>
              </w:rPr>
            </w:pPr>
            <w:r>
              <w:rPr>
                <w:rFonts w:hint="eastAsia"/>
                <w:snapToGrid w:val="0"/>
                <w:kern w:val="21"/>
                <w:sz w:val="21"/>
                <w:szCs w:val="21"/>
                <w:lang w:bidi="ar"/>
              </w:rPr>
              <w:t>0.03</w:t>
            </w:r>
          </w:p>
        </w:tc>
        <w:tc>
          <w:tcPr>
            <w:tcW w:w="1379" w:type="dxa"/>
            <w:vAlign w:val="center"/>
          </w:tcPr>
          <w:p>
            <w:pPr>
              <w:snapToGrid w:val="0"/>
              <w:spacing w:line="240" w:lineRule="auto"/>
              <w:ind w:firstLine="0" w:firstLineChars="0"/>
              <w:jc w:val="center"/>
              <w:rPr>
                <w:snapToGrid w:val="0"/>
                <w:kern w:val="21"/>
                <w:sz w:val="21"/>
                <w:szCs w:val="21"/>
                <w:lang w:bidi="ar"/>
              </w:rPr>
            </w:pPr>
            <w:r>
              <w:rPr>
                <w:snapToGrid w:val="0"/>
                <w:kern w:val="21"/>
                <w:sz w:val="21"/>
                <w:szCs w:val="21"/>
                <w:lang w:bidi="ar"/>
              </w:rPr>
              <w:t>+0.03</w:t>
            </w:r>
          </w:p>
        </w:tc>
      </w:tr>
    </w:tbl>
    <w:p>
      <w:pPr>
        <w:pStyle w:val="128"/>
        <w:spacing w:beforeLines="0" w:afterLines="0" w:line="260" w:lineRule="auto"/>
        <w:ind w:firstLine="480"/>
        <w:jc w:val="left"/>
        <w:rPr>
          <w:b/>
          <w:kern w:val="24"/>
          <w:sz w:val="40"/>
          <w:szCs w:val="40"/>
        </w:rPr>
      </w:pPr>
      <w:r>
        <w:rPr>
          <w:rFonts w:ascii="Times New Roman" w:eastAsiaTheme="minorEastAsia"/>
          <w:snapToGrid w:val="0"/>
          <w:kern w:val="21"/>
          <w:sz w:val="24"/>
          <w:szCs w:val="24"/>
        </w:rPr>
        <w:t>注：</w:t>
      </w:r>
      <w:r>
        <w:rPr>
          <w:rFonts w:ascii="Times New Roman" w:eastAsiaTheme="minorEastAsia"/>
          <w:snapToGrid w:val="0"/>
          <w:spacing w:val="-16"/>
          <w:kern w:val="21"/>
          <w:sz w:val="24"/>
          <w:szCs w:val="24"/>
        </w:rPr>
        <w:fldChar w:fldCharType="begin"/>
      </w:r>
      <w:r>
        <w:rPr>
          <w:rFonts w:ascii="Times New Roman" w:eastAsiaTheme="minorEastAsia"/>
          <w:snapToGrid w:val="0"/>
          <w:spacing w:val="-16"/>
          <w:kern w:val="21"/>
          <w:sz w:val="24"/>
          <w:szCs w:val="24"/>
        </w:rPr>
        <w:instrText xml:space="preserve"> = 6 \* GB3 \* MERGEFORMAT </w:instrText>
      </w:r>
      <w:r>
        <w:rPr>
          <w:rFonts w:ascii="Times New Roman" w:eastAsiaTheme="minorEastAsia"/>
          <w:snapToGrid w:val="0"/>
          <w:spacing w:val="-16"/>
          <w:kern w:val="21"/>
          <w:sz w:val="24"/>
          <w:szCs w:val="24"/>
        </w:rPr>
        <w:fldChar w:fldCharType="separate"/>
      </w:r>
      <w:r>
        <w:rPr>
          <w:rFonts w:ascii="Times New Roman" w:eastAsiaTheme="minorEastAsia"/>
          <w:sz w:val="24"/>
          <w:szCs w:val="24"/>
        </w:rPr>
        <w:t>⑥</w:t>
      </w:r>
      <w:r>
        <w:rPr>
          <w:rFonts w:ascii="Times New Roman" w:eastAsiaTheme="minorEastAsia"/>
          <w:snapToGrid w:val="0"/>
          <w:spacing w:val="-16"/>
          <w:kern w:val="21"/>
          <w:sz w:val="24"/>
          <w:szCs w:val="24"/>
        </w:rPr>
        <w:fldChar w:fldCharType="end"/>
      </w:r>
      <w:r>
        <w:rPr>
          <w:rFonts w:ascii="Times New Roman" w:eastAsiaTheme="minorEastAsia"/>
          <w:snapToGrid w:val="0"/>
          <w:spacing w:val="-16"/>
          <w:kern w:val="21"/>
          <w:sz w:val="24"/>
          <w:szCs w:val="24"/>
        </w:rPr>
        <w:t>=</w:t>
      </w:r>
      <w:r>
        <w:rPr>
          <w:rFonts w:ascii="Times New Roman" w:eastAsiaTheme="minorEastAsia"/>
          <w:snapToGrid w:val="0"/>
          <w:spacing w:val="-6"/>
          <w:kern w:val="21"/>
          <w:sz w:val="24"/>
          <w:szCs w:val="24"/>
        </w:rPr>
        <w:fldChar w:fldCharType="begin"/>
      </w:r>
      <w:r>
        <w:rPr>
          <w:rFonts w:ascii="Times New Roman" w:eastAsiaTheme="minorEastAsia"/>
          <w:snapToGrid w:val="0"/>
          <w:spacing w:val="-6"/>
          <w:kern w:val="21"/>
          <w:sz w:val="24"/>
          <w:szCs w:val="24"/>
        </w:rPr>
        <w:instrText xml:space="preserve"> = 1 \* GB3 \* MERGEFORMAT </w:instrText>
      </w:r>
      <w:r>
        <w:rPr>
          <w:rFonts w:ascii="Times New Roman" w:eastAsiaTheme="minorEastAsia"/>
          <w:snapToGrid w:val="0"/>
          <w:spacing w:val="-6"/>
          <w:kern w:val="21"/>
          <w:sz w:val="24"/>
          <w:szCs w:val="24"/>
        </w:rPr>
        <w:fldChar w:fldCharType="separate"/>
      </w:r>
      <w:r>
        <w:rPr>
          <w:rFonts w:ascii="Times New Roman" w:eastAsiaTheme="minorEastAsia"/>
          <w:sz w:val="24"/>
          <w:szCs w:val="24"/>
        </w:rPr>
        <w:t>①</w:t>
      </w:r>
      <w:r>
        <w:rPr>
          <w:rFonts w:ascii="Times New Roman" w:eastAsiaTheme="minorEastAsia"/>
          <w:snapToGrid w:val="0"/>
          <w:spacing w:val="-6"/>
          <w:kern w:val="21"/>
          <w:sz w:val="24"/>
          <w:szCs w:val="24"/>
        </w:rPr>
        <w:fldChar w:fldCharType="end"/>
      </w:r>
      <w:r>
        <w:rPr>
          <w:rFonts w:ascii="Times New Roman" w:eastAsiaTheme="minorEastAsia"/>
          <w:snapToGrid w:val="0"/>
          <w:spacing w:val="-6"/>
          <w:kern w:val="21"/>
          <w:sz w:val="24"/>
          <w:szCs w:val="24"/>
        </w:rPr>
        <w:t>+</w:t>
      </w:r>
      <w:r>
        <w:rPr>
          <w:rFonts w:ascii="Times New Roman" w:eastAsiaTheme="minorEastAsia"/>
          <w:snapToGrid w:val="0"/>
          <w:spacing w:val="-6"/>
          <w:kern w:val="21"/>
          <w:sz w:val="24"/>
          <w:szCs w:val="24"/>
        </w:rPr>
        <w:fldChar w:fldCharType="begin"/>
      </w:r>
      <w:r>
        <w:rPr>
          <w:rFonts w:ascii="Times New Roman" w:eastAsiaTheme="minorEastAsia"/>
          <w:snapToGrid w:val="0"/>
          <w:spacing w:val="-6"/>
          <w:kern w:val="21"/>
          <w:sz w:val="24"/>
          <w:szCs w:val="24"/>
        </w:rPr>
        <w:instrText xml:space="preserve"> = 3 \* GB3 \* MERGEFORMAT </w:instrText>
      </w:r>
      <w:r>
        <w:rPr>
          <w:rFonts w:ascii="Times New Roman" w:eastAsiaTheme="minorEastAsia"/>
          <w:snapToGrid w:val="0"/>
          <w:spacing w:val="-6"/>
          <w:kern w:val="21"/>
          <w:sz w:val="24"/>
          <w:szCs w:val="24"/>
        </w:rPr>
        <w:fldChar w:fldCharType="separate"/>
      </w:r>
      <w:r>
        <w:rPr>
          <w:rFonts w:ascii="Times New Roman" w:eastAsiaTheme="minorEastAsia"/>
          <w:sz w:val="24"/>
          <w:szCs w:val="24"/>
        </w:rPr>
        <w:t>③</w:t>
      </w:r>
      <w:r>
        <w:rPr>
          <w:rFonts w:ascii="Times New Roman" w:eastAsiaTheme="minorEastAsia"/>
          <w:snapToGrid w:val="0"/>
          <w:spacing w:val="-6"/>
          <w:kern w:val="21"/>
          <w:sz w:val="24"/>
          <w:szCs w:val="24"/>
        </w:rPr>
        <w:fldChar w:fldCharType="end"/>
      </w:r>
      <w:r>
        <w:rPr>
          <w:rFonts w:ascii="Times New Roman" w:eastAsiaTheme="minorEastAsia"/>
          <w:snapToGrid w:val="0"/>
          <w:spacing w:val="-6"/>
          <w:kern w:val="21"/>
          <w:sz w:val="24"/>
          <w:szCs w:val="24"/>
        </w:rPr>
        <w:t>+</w:t>
      </w:r>
      <w:r>
        <w:rPr>
          <w:rFonts w:ascii="Times New Roman" w:eastAsiaTheme="minorEastAsia"/>
          <w:snapToGrid w:val="0"/>
          <w:spacing w:val="-6"/>
          <w:kern w:val="21"/>
          <w:sz w:val="24"/>
          <w:szCs w:val="24"/>
        </w:rPr>
        <w:fldChar w:fldCharType="begin"/>
      </w:r>
      <w:r>
        <w:rPr>
          <w:rFonts w:ascii="Times New Roman" w:eastAsiaTheme="minorEastAsia"/>
          <w:snapToGrid w:val="0"/>
          <w:spacing w:val="-6"/>
          <w:kern w:val="21"/>
          <w:sz w:val="24"/>
          <w:szCs w:val="24"/>
        </w:rPr>
        <w:instrText xml:space="preserve"> = 4 \* GB3 \* MERGEFORMAT </w:instrText>
      </w:r>
      <w:r>
        <w:rPr>
          <w:rFonts w:ascii="Times New Roman" w:eastAsiaTheme="minorEastAsia"/>
          <w:snapToGrid w:val="0"/>
          <w:spacing w:val="-6"/>
          <w:kern w:val="21"/>
          <w:sz w:val="24"/>
          <w:szCs w:val="24"/>
        </w:rPr>
        <w:fldChar w:fldCharType="separate"/>
      </w:r>
      <w:r>
        <w:rPr>
          <w:rFonts w:ascii="Times New Roman" w:eastAsiaTheme="minorEastAsia"/>
          <w:sz w:val="24"/>
          <w:szCs w:val="24"/>
        </w:rPr>
        <w:t>④</w:t>
      </w:r>
      <w:r>
        <w:rPr>
          <w:rFonts w:ascii="Times New Roman" w:eastAsiaTheme="minorEastAsia"/>
          <w:snapToGrid w:val="0"/>
          <w:spacing w:val="-6"/>
          <w:kern w:val="21"/>
          <w:sz w:val="24"/>
          <w:szCs w:val="24"/>
        </w:rPr>
        <w:fldChar w:fldCharType="end"/>
      </w:r>
      <w:r>
        <w:rPr>
          <w:rFonts w:ascii="Times New Roman" w:eastAsiaTheme="minorEastAsia"/>
          <w:snapToGrid w:val="0"/>
          <w:spacing w:val="-6"/>
          <w:kern w:val="21"/>
          <w:sz w:val="24"/>
          <w:szCs w:val="24"/>
        </w:rPr>
        <w:t>-</w:t>
      </w:r>
      <w:r>
        <w:rPr>
          <w:rFonts w:ascii="Times New Roman" w:eastAsiaTheme="minorEastAsia"/>
          <w:snapToGrid w:val="0"/>
          <w:spacing w:val="-16"/>
          <w:kern w:val="21"/>
          <w:sz w:val="24"/>
          <w:szCs w:val="24"/>
        </w:rPr>
        <w:fldChar w:fldCharType="begin"/>
      </w:r>
      <w:r>
        <w:rPr>
          <w:rFonts w:ascii="Times New Roman" w:eastAsiaTheme="minorEastAsia"/>
          <w:snapToGrid w:val="0"/>
          <w:spacing w:val="-16"/>
          <w:kern w:val="21"/>
          <w:sz w:val="24"/>
          <w:szCs w:val="24"/>
        </w:rPr>
        <w:instrText xml:space="preserve"> = 5 \* GB3 \* MERGEFORMAT </w:instrText>
      </w:r>
      <w:r>
        <w:rPr>
          <w:rFonts w:ascii="Times New Roman" w:eastAsiaTheme="minorEastAsia"/>
          <w:snapToGrid w:val="0"/>
          <w:spacing w:val="-16"/>
          <w:kern w:val="21"/>
          <w:sz w:val="24"/>
          <w:szCs w:val="24"/>
        </w:rPr>
        <w:fldChar w:fldCharType="separate"/>
      </w:r>
      <w:r>
        <w:rPr>
          <w:rFonts w:ascii="Times New Roman" w:eastAsiaTheme="minorEastAsia"/>
          <w:sz w:val="24"/>
          <w:szCs w:val="24"/>
        </w:rPr>
        <w:t>⑤</w:t>
      </w:r>
      <w:r>
        <w:rPr>
          <w:rFonts w:ascii="Times New Roman" w:eastAsiaTheme="minorEastAsia"/>
          <w:snapToGrid w:val="0"/>
          <w:spacing w:val="-16"/>
          <w:kern w:val="21"/>
          <w:sz w:val="24"/>
          <w:szCs w:val="24"/>
        </w:rPr>
        <w:fldChar w:fldCharType="end"/>
      </w:r>
      <w:r>
        <w:rPr>
          <w:rFonts w:ascii="Times New Roman" w:eastAsiaTheme="minorEastAsia"/>
          <w:snapToGrid w:val="0"/>
          <w:spacing w:val="-16"/>
          <w:kern w:val="21"/>
          <w:sz w:val="24"/>
          <w:szCs w:val="24"/>
        </w:rPr>
        <w:t>；</w:t>
      </w:r>
      <w:r>
        <w:rPr>
          <w:rFonts w:ascii="Times New Roman" w:eastAsiaTheme="minorEastAsia"/>
          <w:snapToGrid w:val="0"/>
          <w:spacing w:val="-6"/>
          <w:kern w:val="21"/>
          <w:sz w:val="24"/>
          <w:szCs w:val="24"/>
        </w:rPr>
        <w:fldChar w:fldCharType="begin"/>
      </w:r>
      <w:r>
        <w:rPr>
          <w:rFonts w:ascii="Times New Roman" w:eastAsiaTheme="minorEastAsia"/>
          <w:snapToGrid w:val="0"/>
          <w:spacing w:val="-6"/>
          <w:kern w:val="21"/>
          <w:sz w:val="24"/>
          <w:szCs w:val="24"/>
        </w:rPr>
        <w:instrText xml:space="preserve"> = 7 \* GB3 \* MERGEFORMAT </w:instrText>
      </w:r>
      <w:r>
        <w:rPr>
          <w:rFonts w:ascii="Times New Roman" w:eastAsiaTheme="minorEastAsia"/>
          <w:snapToGrid w:val="0"/>
          <w:spacing w:val="-6"/>
          <w:kern w:val="21"/>
          <w:sz w:val="24"/>
          <w:szCs w:val="24"/>
        </w:rPr>
        <w:fldChar w:fldCharType="separate"/>
      </w:r>
      <w:r>
        <w:rPr>
          <w:rFonts w:ascii="Times New Roman" w:eastAsiaTheme="minorEastAsia"/>
          <w:sz w:val="24"/>
          <w:szCs w:val="24"/>
        </w:rPr>
        <w:t>⑦</w:t>
      </w:r>
      <w:r>
        <w:rPr>
          <w:rFonts w:ascii="Times New Roman" w:eastAsiaTheme="minorEastAsia"/>
          <w:snapToGrid w:val="0"/>
          <w:spacing w:val="-6"/>
          <w:kern w:val="21"/>
          <w:sz w:val="24"/>
          <w:szCs w:val="24"/>
        </w:rPr>
        <w:fldChar w:fldCharType="end"/>
      </w:r>
      <w:r>
        <w:rPr>
          <w:rFonts w:ascii="Times New Roman" w:eastAsiaTheme="minorEastAsia"/>
          <w:snapToGrid w:val="0"/>
          <w:spacing w:val="-6"/>
          <w:kern w:val="21"/>
          <w:sz w:val="24"/>
          <w:szCs w:val="24"/>
        </w:rPr>
        <w:t>=</w:t>
      </w:r>
      <w:r>
        <w:rPr>
          <w:rFonts w:ascii="Times New Roman" w:eastAsiaTheme="minorEastAsia"/>
          <w:snapToGrid w:val="0"/>
          <w:spacing w:val="-16"/>
          <w:kern w:val="21"/>
          <w:sz w:val="24"/>
          <w:szCs w:val="24"/>
        </w:rPr>
        <w:fldChar w:fldCharType="begin"/>
      </w:r>
      <w:r>
        <w:rPr>
          <w:rFonts w:ascii="Times New Roman" w:eastAsiaTheme="minorEastAsia"/>
          <w:snapToGrid w:val="0"/>
          <w:spacing w:val="-16"/>
          <w:kern w:val="21"/>
          <w:sz w:val="24"/>
          <w:szCs w:val="24"/>
        </w:rPr>
        <w:instrText xml:space="preserve"> = 6 \* GB3 \* MERGEFORMAT </w:instrText>
      </w:r>
      <w:r>
        <w:rPr>
          <w:rFonts w:ascii="Times New Roman" w:eastAsiaTheme="minorEastAsia"/>
          <w:snapToGrid w:val="0"/>
          <w:spacing w:val="-16"/>
          <w:kern w:val="21"/>
          <w:sz w:val="24"/>
          <w:szCs w:val="24"/>
        </w:rPr>
        <w:fldChar w:fldCharType="separate"/>
      </w:r>
      <w:r>
        <w:rPr>
          <w:rFonts w:ascii="Times New Roman" w:eastAsiaTheme="minorEastAsia"/>
          <w:sz w:val="24"/>
          <w:szCs w:val="24"/>
        </w:rPr>
        <w:t>⑥</w:t>
      </w:r>
      <w:r>
        <w:rPr>
          <w:rFonts w:ascii="Times New Roman" w:eastAsiaTheme="minorEastAsia"/>
          <w:snapToGrid w:val="0"/>
          <w:spacing w:val="-16"/>
          <w:kern w:val="21"/>
          <w:sz w:val="24"/>
          <w:szCs w:val="24"/>
        </w:rPr>
        <w:fldChar w:fldCharType="end"/>
      </w:r>
      <w:r>
        <w:rPr>
          <w:rFonts w:ascii="Times New Roman" w:eastAsiaTheme="minorEastAsia"/>
          <w:snapToGrid w:val="0"/>
          <w:spacing w:val="-16"/>
          <w:kern w:val="21"/>
          <w:sz w:val="24"/>
          <w:szCs w:val="24"/>
        </w:rPr>
        <w:t>-</w:t>
      </w:r>
      <w:r>
        <w:rPr>
          <w:rFonts w:ascii="Times New Roman" w:eastAsiaTheme="minorEastAsia"/>
          <w:snapToGrid w:val="0"/>
          <w:spacing w:val="-6"/>
          <w:kern w:val="21"/>
          <w:sz w:val="24"/>
          <w:szCs w:val="24"/>
        </w:rPr>
        <w:fldChar w:fldCharType="begin"/>
      </w:r>
      <w:r>
        <w:rPr>
          <w:rFonts w:ascii="Times New Roman" w:eastAsiaTheme="minorEastAsia"/>
          <w:snapToGrid w:val="0"/>
          <w:spacing w:val="-6"/>
          <w:kern w:val="21"/>
          <w:sz w:val="24"/>
          <w:szCs w:val="24"/>
        </w:rPr>
        <w:instrText xml:space="preserve"> = 1 \* GB3 \* MERGEFORMAT </w:instrText>
      </w:r>
      <w:r>
        <w:rPr>
          <w:rFonts w:ascii="Times New Roman" w:eastAsiaTheme="minorEastAsia"/>
          <w:snapToGrid w:val="0"/>
          <w:spacing w:val="-6"/>
          <w:kern w:val="21"/>
          <w:sz w:val="24"/>
          <w:szCs w:val="24"/>
        </w:rPr>
        <w:fldChar w:fldCharType="separate"/>
      </w:r>
      <w:r>
        <w:rPr>
          <w:rFonts w:ascii="Times New Roman" w:eastAsiaTheme="minorEastAsia"/>
          <w:sz w:val="24"/>
          <w:szCs w:val="24"/>
        </w:rPr>
        <w:t>①</w:t>
      </w:r>
      <w:r>
        <w:rPr>
          <w:rFonts w:ascii="Times New Roman" w:eastAsiaTheme="minorEastAsia"/>
          <w:snapToGrid w:val="0"/>
          <w:spacing w:val="-6"/>
          <w:kern w:val="21"/>
          <w:sz w:val="24"/>
          <w:szCs w:val="24"/>
        </w:rPr>
        <w:fldChar w:fldCharType="end"/>
      </w:r>
      <w:r>
        <w:rPr>
          <w:rFonts w:hint="eastAsia" w:ascii="Times New Roman" w:eastAsiaTheme="minorEastAsia"/>
          <w:snapToGrid w:val="0"/>
          <w:spacing w:val="-6"/>
          <w:kern w:val="21"/>
          <w:sz w:val="24"/>
          <w:szCs w:val="24"/>
        </w:rPr>
        <w:t>；</w:t>
      </w:r>
      <w:r>
        <w:rPr>
          <w:rFonts w:eastAsiaTheme="minorEastAsia"/>
          <w:sz w:val="24"/>
          <w:szCs w:val="22"/>
        </w:rPr>
        <w:t>单位：t/</w:t>
      </w:r>
      <w:r>
        <w:rPr>
          <w:rFonts w:hint="eastAsia" w:eastAsiaTheme="minorEastAsia"/>
          <w:sz w:val="24"/>
          <w:szCs w:val="22"/>
        </w:rPr>
        <w:t>a</w:t>
      </w:r>
    </w:p>
    <w:sectPr>
      <w:footerReference r:id="rId8" w:type="default"/>
      <w:pgSz w:w="16838" w:h="11905" w:orient="landscape"/>
      <w:pgMar w:top="1531" w:right="1701" w:bottom="1531" w:left="1701" w:header="851" w:footer="850" w:gutter="0"/>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im Sun">
    <w:altName w:val="宋体"/>
    <w:panose1 w:val="00000000000000000000"/>
    <w:charset w:val="86"/>
    <w:family w:val="swiss"/>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ˎ̥">
    <w:altName w:val="Times New Roman"/>
    <w:panose1 w:val="00000000000000000000"/>
    <w:charset w:val="00"/>
    <w:family w:val="roman"/>
    <w:pitch w:val="default"/>
    <w:sig w:usb0="00000000" w:usb1="00000000" w:usb2="00000000" w:usb3="00000000" w:csb0="00040001" w:csb1="00000000"/>
  </w:font>
  <w:font w:name="FLGPEK+TimesNewRoman,Italic">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entury Schoolbook">
    <w:panose1 w:val="0204060405050502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Vladimir Script">
    <w:panose1 w:val="03050402040407070305"/>
    <w:charset w:val="00"/>
    <w:family w:val="script"/>
    <w:pitch w:val="default"/>
    <w:sig w:usb0="00000003" w:usb1="00000000" w:usb2="00000000" w:usb3="00000000" w:csb0="20000001" w:csb1="00000000"/>
  </w:font>
  <w:font w:name="幼圆">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Chicago">
    <w:altName w:val="Arial"/>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华文新魏">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
    <w:altName w:val="Malgun Gothic"/>
    <w:panose1 w:val="00000000000000000000"/>
    <w:charset w:val="81"/>
    <w:family w:val="auto"/>
    <w:pitch w:val="default"/>
    <w:sig w:usb0="00000000" w:usb1="00000000" w:usb2="00000010" w:usb3="00000000" w:csb0="00080000" w:csb1="00000000"/>
  </w:font>
  <w:font w:name="ӗԲ">
    <w:altName w:val="Times New Roman"/>
    <w:panose1 w:val="00000000000000000000"/>
    <w:charset w:val="00"/>
    <w:family w:val="roman"/>
    <w:pitch w:val="default"/>
    <w:sig w:usb0="00000000" w:usb1="00000000" w:usb2="00000000" w:usb3="00000000" w:csb0="00040001" w:csb1="00000000"/>
  </w:font>
  <w:font w:name="长城楷体">
    <w:altName w:val="黑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Century">
    <w:panose1 w:val="02040604050505020304"/>
    <w:charset w:val="00"/>
    <w:family w:val="roman"/>
    <w:pitch w:val="default"/>
    <w:sig w:usb0="00000287" w:usb1="00000000" w:usb2="00000000" w:usb3="00000000" w:csb0="2000009F" w:csb1="DFD70000"/>
  </w:font>
  <w:font w:name="Gungsuh">
    <w:altName w:val="Malgun Gothic"/>
    <w:panose1 w:val="00000000000000000000"/>
    <w:charset w:val="81"/>
    <w:family w:val="roman"/>
    <w:pitch w:val="default"/>
    <w:sig w:usb0="00000000" w:usb1="00000000" w:usb2="00000030" w:usb3="00000000" w:csb0="0008009F" w:csb1="00000000"/>
  </w:font>
  <w:font w:name="Times">
    <w:altName w:val="Times New Roman"/>
    <w:panose1 w:val="02020603050405020304"/>
    <w:charset w:val="00"/>
    <w:family w:val="roman"/>
    <w:pitch w:val="default"/>
    <w:sig w:usb0="00000000" w:usb1="00000000" w:usb2="00000009" w:usb3="00000000" w:csb0="000001FF" w:csb1="00000000"/>
  </w:font>
  <w:font w:name="华文行楷">
    <w:panose1 w:val="02010800040101010101"/>
    <w:charset w:val="86"/>
    <w:family w:val="auto"/>
    <w:pitch w:val="default"/>
    <w:sig w:usb0="00000001" w:usb1="080F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ind w:firstLine="480"/>
      <w:rPr>
        <w:rStyle w:val="98"/>
      </w:rPr>
    </w:pPr>
    <w:r>
      <w:fldChar w:fldCharType="begin"/>
    </w:r>
    <w:r>
      <w:rPr>
        <w:rStyle w:val="98"/>
      </w:rPr>
      <w:instrText xml:space="preserve">PAGE  </w:instrText>
    </w:r>
    <w:r>
      <w:fldChar w:fldCharType="end"/>
    </w:r>
  </w:p>
  <w:p>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r>
      <w:pict>
        <v:shape id="_x0000_s1025" o:spid="_x0000_s1025"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CSp0d8BAAC8AwAADgAAAAAA&#10;AAABACAAAAAeAQAAZHJzL2Uyb0RvYy54bWxQSwUGAAAAAAYABgBZAQAAbwUAAAAA&#10;">
          <v:path/>
          <v:fill on="f" focussize="0,0"/>
          <v:stroke on="f" joinstyle="miter"/>
          <v:imagedata o:title=""/>
          <o:lock v:ext="edit"/>
          <v:textbox inset="0mm,0mm,0mm,0mm" style="mso-fit-shape-to-text:t;">
            <w:txbxContent>
              <w:p>
                <w:pPr>
                  <w:tabs>
                    <w:tab w:val="center" w:pos="4153"/>
                    <w:tab w:val="right" w:pos="8306"/>
                  </w:tabs>
                  <w:ind w:firstLine="480"/>
                </w:pPr>
                <w:r>
                  <w:fldChar w:fldCharType="begin"/>
                </w:r>
                <w:r>
                  <w:instrText xml:space="preserve"> PAGE  \* MERGEFORMAT </w:instrText>
                </w:r>
                <w:r>
                  <w:fldChar w:fldCharType="separate"/>
                </w:r>
                <w:r>
                  <w:t>25</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153"/>
        <w:tab w:val="right" w:pos="8306"/>
      </w:tabs>
      <w:ind w:firstLine="420"/>
      <w:rPr>
        <w:sz w:val="21"/>
        <w:szCs w:val="21"/>
      </w:rPr>
    </w:pPr>
    <w:r>
      <w:rPr>
        <w:sz w:val="21"/>
      </w:rPr>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2+E7MgBAACdAwAADgAAAGRycy9lMm9Eb2MueG1srVNLbtswEN0XyB0I&#10;7mPJAlo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HpLiWUGX/z8/dv5x6/zz69k&#10;WSWBeg811j15rIzDnRtwbeY4YDDxHmQw6YuMCOZR3tNFXjFEwtOlVbValZjimJsdxC+er/sA8b1w&#10;hiSjoQHfL8vKjo8Qx9K5JHWz7l5pnd9Q278CiDlGRF6C6XZiMk6crDjshonezrUnZNfjIjTU4t5T&#10;oh8s6px2ZjbCbOwmI3UEf3uIOEaeLqGOUMgqOfhqmd+0YWkt/vRz1fNft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vhOzIAQAAnQMAAA4AAAAAAAAAAQAgAAAAHgEAAGRycy9lMm9Eb2Mu&#10;eG1sUEsFBgAAAAAGAAYAWQEAAFgFAAAAAA==&#10;">
          <v:path/>
          <v:fill on="f" focussize="0,0"/>
          <v:stroke on="f" joinstyle="miter"/>
          <v:imagedata o:title=""/>
          <o:lock v:ext="edit"/>
          <v:textbox inset="0mm,0mm,0mm,0mm" style="mso-fit-shape-to-text:t;">
            <w:txbxContent>
              <w:p>
                <w:pPr>
                  <w:tabs>
                    <w:tab w:val="center" w:pos="4153"/>
                    <w:tab w:val="right" w:pos="8306"/>
                  </w:tabs>
                  <w:ind w:firstLine="480"/>
                  <w:rPr>
                    <w:rStyle w:val="98"/>
                  </w:rPr>
                </w:pPr>
                <w:r>
                  <w:fldChar w:fldCharType="begin"/>
                </w:r>
                <w:r>
                  <w:rPr>
                    <w:rStyle w:val="98"/>
                  </w:rPr>
                  <w:instrText xml:space="preserve">PAGE  </w:instrText>
                </w:r>
                <w:r>
                  <w:fldChar w:fldCharType="separate"/>
                </w:r>
                <w:r>
                  <w:rPr>
                    <w:rStyle w:val="98"/>
                  </w:rPr>
                  <w:t>88</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E20E9"/>
    <w:multiLevelType w:val="singleLevel"/>
    <w:tmpl w:val="8DCE20E9"/>
    <w:lvl w:ilvl="0" w:tentative="0">
      <w:start w:val="4"/>
      <w:numFmt w:val="chineseCounting"/>
      <w:suff w:val="nothing"/>
      <w:lvlText w:val="%1、"/>
      <w:lvlJc w:val="left"/>
      <w:rPr>
        <w:rFonts w:hint="eastAsia"/>
      </w:rPr>
    </w:lvl>
  </w:abstractNum>
  <w:abstractNum w:abstractNumId="1">
    <w:nsid w:val="249E0376"/>
    <w:multiLevelType w:val="multilevel"/>
    <w:tmpl w:val="249E0376"/>
    <w:lvl w:ilvl="0" w:tentative="0">
      <w:start w:val="1"/>
      <w:numFmt w:val="decimal"/>
      <w:isLgl/>
      <w:suff w:val="space"/>
      <w:lvlText w:val="%1"/>
      <w:lvlJc w:val="left"/>
      <w:pPr>
        <w:ind w:left="0" w:firstLine="0"/>
      </w:pPr>
      <w:rPr>
        <w:rFonts w:hint="default" w:ascii="Times New Roman" w:hAnsi="Times New Roman" w:eastAsia="宋体"/>
        <w:b/>
        <w:i w:val="0"/>
        <w:sz w:val="32"/>
      </w:rPr>
    </w:lvl>
    <w:lvl w:ilvl="1" w:tentative="0">
      <w:start w:val="1"/>
      <w:numFmt w:val="decimal"/>
      <w:isLgl/>
      <w:suff w:val="space"/>
      <w:lvlText w:val="%1.%2"/>
      <w:lvlJc w:val="left"/>
      <w:pPr>
        <w:ind w:left="710" w:firstLine="0"/>
      </w:pPr>
      <w:rPr>
        <w:rFonts w:hint="default" w:ascii="Times New Roman" w:hAnsi="Times New Roman" w:eastAsia="宋体"/>
        <w:b/>
        <w:i w:val="0"/>
        <w:sz w:val="30"/>
      </w:rPr>
    </w:lvl>
    <w:lvl w:ilvl="2" w:tentative="0">
      <w:start w:val="1"/>
      <w:numFmt w:val="decimal"/>
      <w:isLgl/>
      <w:suff w:val="space"/>
      <w:lvlText w:val="%1.%2.%3"/>
      <w:lvlJc w:val="left"/>
      <w:pPr>
        <w:ind w:left="0" w:firstLine="0"/>
      </w:pPr>
      <w:rPr>
        <w:rFonts w:hint="default" w:ascii="Times New Roman" w:hAnsi="Times New Roman" w:eastAsia="宋体"/>
        <w:b/>
        <w:i w:val="0"/>
        <w:sz w:val="28"/>
      </w:rPr>
    </w:lvl>
    <w:lvl w:ilvl="3" w:tentative="0">
      <w:start w:val="1"/>
      <w:numFmt w:val="decimal"/>
      <w:isLgl/>
      <w:suff w:val="space"/>
      <w:lvlText w:val="%1.%2.%3.%4"/>
      <w:lvlJc w:val="left"/>
      <w:pPr>
        <w:ind w:left="993" w:hanging="426"/>
      </w:pPr>
      <w:rPr>
        <w:rFonts w:hint="eastAsia"/>
        <w:b w:val="0"/>
        <w:bCs w:val="0"/>
        <w:i w:val="0"/>
        <w:iCs w:val="0"/>
        <w:caps w:val="0"/>
        <w:smallCaps w:val="0"/>
        <w:strike w:val="0"/>
        <w:dstrike w:val="0"/>
        <w:vanish w:val="0"/>
        <w:color w:val="000000"/>
        <w:spacing w:val="0"/>
        <w:position w:val="0"/>
        <w:u w:val="none"/>
        <w:vertAlign w:val="baseline"/>
        <w14:ligatures w14:val="none"/>
        <w14:numForm w14:val="default"/>
        <w14:numSpacing w14:val="default"/>
      </w:rPr>
    </w:lvl>
    <w:lvl w:ilvl="4" w:tentative="0">
      <w:start w:val="1"/>
      <w:numFmt w:val="decimal"/>
      <w:lvlRestart w:val="2"/>
      <w:pStyle w:val="1722"/>
      <w:isLgl/>
      <w:lvlText w:val="表%1.%2-%5"/>
      <w:lvlJc w:val="left"/>
      <w:pPr>
        <w:tabs>
          <w:tab w:val="left" w:pos="0"/>
        </w:tabs>
        <w:ind w:left="0" w:firstLine="0"/>
      </w:pPr>
      <w:rPr>
        <w:rFonts w:hint="default" w:ascii="Times New Roman" w:hAnsi="Times New Roman" w:cs="Times New Roman"/>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 w:ilvl="5" w:tentative="0">
      <w:start w:val="1"/>
      <w:numFmt w:val="decimal"/>
      <w:lvlRestart w:val="2"/>
      <w:isLgl/>
      <w:lvlText w:val="图%1.%2-%6"/>
      <w:lvlJc w:val="left"/>
      <w:pPr>
        <w:ind w:left="0" w:firstLine="0"/>
      </w:pPr>
      <w:rPr>
        <w:rFonts w:hint="default" w:ascii="Times New Roman" w:hAnsi="Times New Roman" w:eastAsia="宋体"/>
        <w:b/>
        <w:i w:val="0"/>
        <w:sz w:val="21"/>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63CDDD6B"/>
    <w:multiLevelType w:val="singleLevel"/>
    <w:tmpl w:val="63CDDD6B"/>
    <w:lvl w:ilvl="0" w:tentative="0">
      <w:start w:val="3"/>
      <w:numFmt w:val="decimal"/>
      <w:suff w:val="nothing"/>
      <w:lvlText w:val="%1、"/>
      <w:lvlJc w:val="left"/>
    </w:lvl>
  </w:abstractNum>
  <w:abstractNum w:abstractNumId="3">
    <w:nsid w:val="689D0E82"/>
    <w:multiLevelType w:val="multilevel"/>
    <w:tmpl w:val="689D0E82"/>
    <w:lvl w:ilvl="0" w:tentative="0">
      <w:start w:val="1"/>
      <w:numFmt w:val="decimalEnclosedCircle"/>
      <w:lvlText w:val="%1"/>
      <w:lvlJc w:val="left"/>
      <w:pPr>
        <w:ind w:left="780" w:hanging="36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pStyle w:val="1609"/>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oNotHyphenateCaps/>
  <w:drawingGridHorizontalSpacing w:val="24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JkZTJiODNiN2QyOTQ2MjRjZWY3NDY4ZDhlOGVkMTIifQ=="/>
  </w:docVars>
  <w:rsids>
    <w:rsidRoot w:val="00172A27"/>
    <w:rsid w:val="00001BCC"/>
    <w:rsid w:val="000060B3"/>
    <w:rsid w:val="00010FC4"/>
    <w:rsid w:val="0001224A"/>
    <w:rsid w:val="00025FDD"/>
    <w:rsid w:val="00030F0C"/>
    <w:rsid w:val="0004364B"/>
    <w:rsid w:val="000503DD"/>
    <w:rsid w:val="00050B8A"/>
    <w:rsid w:val="00055264"/>
    <w:rsid w:val="000566D4"/>
    <w:rsid w:val="00060510"/>
    <w:rsid w:val="00061B1F"/>
    <w:rsid w:val="000733C4"/>
    <w:rsid w:val="00074783"/>
    <w:rsid w:val="00075A06"/>
    <w:rsid w:val="00075CAB"/>
    <w:rsid w:val="0008070B"/>
    <w:rsid w:val="000810AC"/>
    <w:rsid w:val="00081A02"/>
    <w:rsid w:val="00082231"/>
    <w:rsid w:val="00087171"/>
    <w:rsid w:val="00092D38"/>
    <w:rsid w:val="0009377B"/>
    <w:rsid w:val="000A20C9"/>
    <w:rsid w:val="000B058F"/>
    <w:rsid w:val="000B4467"/>
    <w:rsid w:val="000B4DB9"/>
    <w:rsid w:val="000B6F13"/>
    <w:rsid w:val="000B7D29"/>
    <w:rsid w:val="000C09AC"/>
    <w:rsid w:val="000C1344"/>
    <w:rsid w:val="000C767F"/>
    <w:rsid w:val="000D2867"/>
    <w:rsid w:val="000D5A44"/>
    <w:rsid w:val="000D7CAD"/>
    <w:rsid w:val="000E0E28"/>
    <w:rsid w:val="000E1FA2"/>
    <w:rsid w:val="000E2469"/>
    <w:rsid w:val="000E3ED2"/>
    <w:rsid w:val="000F0F1B"/>
    <w:rsid w:val="000F18BD"/>
    <w:rsid w:val="000F2255"/>
    <w:rsid w:val="000F25A4"/>
    <w:rsid w:val="000F4DAC"/>
    <w:rsid w:val="000F6144"/>
    <w:rsid w:val="00110B53"/>
    <w:rsid w:val="001157E7"/>
    <w:rsid w:val="0011750B"/>
    <w:rsid w:val="00122A17"/>
    <w:rsid w:val="0013048F"/>
    <w:rsid w:val="00131F42"/>
    <w:rsid w:val="001357F1"/>
    <w:rsid w:val="001373F2"/>
    <w:rsid w:val="00140FA8"/>
    <w:rsid w:val="00142FEB"/>
    <w:rsid w:val="00143645"/>
    <w:rsid w:val="00143A2D"/>
    <w:rsid w:val="00145A41"/>
    <w:rsid w:val="00151675"/>
    <w:rsid w:val="00157435"/>
    <w:rsid w:val="00163236"/>
    <w:rsid w:val="00172A27"/>
    <w:rsid w:val="0017504D"/>
    <w:rsid w:val="0017671A"/>
    <w:rsid w:val="00177422"/>
    <w:rsid w:val="00182F70"/>
    <w:rsid w:val="00184590"/>
    <w:rsid w:val="001870D1"/>
    <w:rsid w:val="0018781E"/>
    <w:rsid w:val="0019262D"/>
    <w:rsid w:val="00192C09"/>
    <w:rsid w:val="001A1B35"/>
    <w:rsid w:val="001A48A2"/>
    <w:rsid w:val="001A6F61"/>
    <w:rsid w:val="001B0B6D"/>
    <w:rsid w:val="001B712F"/>
    <w:rsid w:val="001B72B8"/>
    <w:rsid w:val="001C69B3"/>
    <w:rsid w:val="001D0144"/>
    <w:rsid w:val="001D15F9"/>
    <w:rsid w:val="001D3910"/>
    <w:rsid w:val="001D5595"/>
    <w:rsid w:val="001D7874"/>
    <w:rsid w:val="001D7F22"/>
    <w:rsid w:val="001E69B5"/>
    <w:rsid w:val="001F0F17"/>
    <w:rsid w:val="001F3347"/>
    <w:rsid w:val="001F69E4"/>
    <w:rsid w:val="002125B4"/>
    <w:rsid w:val="002155B8"/>
    <w:rsid w:val="00224839"/>
    <w:rsid w:val="002249B2"/>
    <w:rsid w:val="00226574"/>
    <w:rsid w:val="002278EC"/>
    <w:rsid w:val="0023280E"/>
    <w:rsid w:val="00233971"/>
    <w:rsid w:val="00233F91"/>
    <w:rsid w:val="002369AD"/>
    <w:rsid w:val="002377D1"/>
    <w:rsid w:val="0024285A"/>
    <w:rsid w:val="00244254"/>
    <w:rsid w:val="00246C69"/>
    <w:rsid w:val="002506BC"/>
    <w:rsid w:val="00251C31"/>
    <w:rsid w:val="00254345"/>
    <w:rsid w:val="00263567"/>
    <w:rsid w:val="00264557"/>
    <w:rsid w:val="002710FE"/>
    <w:rsid w:val="002805AB"/>
    <w:rsid w:val="00281ED3"/>
    <w:rsid w:val="00283F07"/>
    <w:rsid w:val="00284204"/>
    <w:rsid w:val="00285AB6"/>
    <w:rsid w:val="00291773"/>
    <w:rsid w:val="002962BE"/>
    <w:rsid w:val="002965CD"/>
    <w:rsid w:val="002A168C"/>
    <w:rsid w:val="002A263A"/>
    <w:rsid w:val="002A3DC7"/>
    <w:rsid w:val="002B0848"/>
    <w:rsid w:val="002B49E2"/>
    <w:rsid w:val="002B7B00"/>
    <w:rsid w:val="002B7C44"/>
    <w:rsid w:val="002C2B17"/>
    <w:rsid w:val="002C7830"/>
    <w:rsid w:val="002D2F91"/>
    <w:rsid w:val="002D33BA"/>
    <w:rsid w:val="002D3DD0"/>
    <w:rsid w:val="002E1421"/>
    <w:rsid w:val="002E1F3A"/>
    <w:rsid w:val="002E2828"/>
    <w:rsid w:val="002E298A"/>
    <w:rsid w:val="002E52B4"/>
    <w:rsid w:val="002F16D9"/>
    <w:rsid w:val="002F50C3"/>
    <w:rsid w:val="003006A7"/>
    <w:rsid w:val="00301978"/>
    <w:rsid w:val="0030332C"/>
    <w:rsid w:val="003051C2"/>
    <w:rsid w:val="00312296"/>
    <w:rsid w:val="00313E22"/>
    <w:rsid w:val="00314F0E"/>
    <w:rsid w:val="00321D8E"/>
    <w:rsid w:val="00325928"/>
    <w:rsid w:val="00326185"/>
    <w:rsid w:val="0032661C"/>
    <w:rsid w:val="00327B73"/>
    <w:rsid w:val="00332863"/>
    <w:rsid w:val="003357D8"/>
    <w:rsid w:val="00335F53"/>
    <w:rsid w:val="0033684D"/>
    <w:rsid w:val="00337B42"/>
    <w:rsid w:val="00341B42"/>
    <w:rsid w:val="0034348F"/>
    <w:rsid w:val="0034736C"/>
    <w:rsid w:val="003474AD"/>
    <w:rsid w:val="00356653"/>
    <w:rsid w:val="0035743F"/>
    <w:rsid w:val="00357BE2"/>
    <w:rsid w:val="00360F2D"/>
    <w:rsid w:val="003616D1"/>
    <w:rsid w:val="0036170C"/>
    <w:rsid w:val="00366E0F"/>
    <w:rsid w:val="00381A72"/>
    <w:rsid w:val="003821D8"/>
    <w:rsid w:val="00384676"/>
    <w:rsid w:val="00390857"/>
    <w:rsid w:val="00392AFB"/>
    <w:rsid w:val="003979E8"/>
    <w:rsid w:val="003A48FC"/>
    <w:rsid w:val="003A4BF3"/>
    <w:rsid w:val="003B420D"/>
    <w:rsid w:val="003C364E"/>
    <w:rsid w:val="003C5A74"/>
    <w:rsid w:val="003C6C16"/>
    <w:rsid w:val="003D445B"/>
    <w:rsid w:val="003D50CC"/>
    <w:rsid w:val="003D794D"/>
    <w:rsid w:val="003D7C66"/>
    <w:rsid w:val="003E3058"/>
    <w:rsid w:val="003E4272"/>
    <w:rsid w:val="003E452C"/>
    <w:rsid w:val="003E708E"/>
    <w:rsid w:val="003E76A9"/>
    <w:rsid w:val="003F0809"/>
    <w:rsid w:val="003F6A8C"/>
    <w:rsid w:val="003F755C"/>
    <w:rsid w:val="00406555"/>
    <w:rsid w:val="00406F01"/>
    <w:rsid w:val="00415F85"/>
    <w:rsid w:val="00416D50"/>
    <w:rsid w:val="00416FD5"/>
    <w:rsid w:val="00417772"/>
    <w:rsid w:val="00420E6A"/>
    <w:rsid w:val="0042593E"/>
    <w:rsid w:val="00425A9E"/>
    <w:rsid w:val="00426D6B"/>
    <w:rsid w:val="00431E6C"/>
    <w:rsid w:val="00432BFC"/>
    <w:rsid w:val="0043330E"/>
    <w:rsid w:val="00433CE7"/>
    <w:rsid w:val="00435FF1"/>
    <w:rsid w:val="00447911"/>
    <w:rsid w:val="00451FE7"/>
    <w:rsid w:val="00452738"/>
    <w:rsid w:val="00456091"/>
    <w:rsid w:val="00456D53"/>
    <w:rsid w:val="004610B3"/>
    <w:rsid w:val="00461156"/>
    <w:rsid w:val="00464B1F"/>
    <w:rsid w:val="00466321"/>
    <w:rsid w:val="00470ACC"/>
    <w:rsid w:val="00473567"/>
    <w:rsid w:val="00484B9B"/>
    <w:rsid w:val="00484F69"/>
    <w:rsid w:val="004855F6"/>
    <w:rsid w:val="0048661E"/>
    <w:rsid w:val="00494670"/>
    <w:rsid w:val="004A17A9"/>
    <w:rsid w:val="004A3823"/>
    <w:rsid w:val="004B397C"/>
    <w:rsid w:val="004B47D8"/>
    <w:rsid w:val="004B7617"/>
    <w:rsid w:val="004C2792"/>
    <w:rsid w:val="004D19C5"/>
    <w:rsid w:val="004E16E6"/>
    <w:rsid w:val="004E4251"/>
    <w:rsid w:val="004E6946"/>
    <w:rsid w:val="004F1AD8"/>
    <w:rsid w:val="005039CB"/>
    <w:rsid w:val="00504AA7"/>
    <w:rsid w:val="0050558F"/>
    <w:rsid w:val="00506286"/>
    <w:rsid w:val="00510813"/>
    <w:rsid w:val="00511990"/>
    <w:rsid w:val="00511DE0"/>
    <w:rsid w:val="00514870"/>
    <w:rsid w:val="00514B9B"/>
    <w:rsid w:val="00517F02"/>
    <w:rsid w:val="00524303"/>
    <w:rsid w:val="005258A2"/>
    <w:rsid w:val="00533E1D"/>
    <w:rsid w:val="005401AE"/>
    <w:rsid w:val="00542E07"/>
    <w:rsid w:val="005451E6"/>
    <w:rsid w:val="00545424"/>
    <w:rsid w:val="00547C9D"/>
    <w:rsid w:val="00550932"/>
    <w:rsid w:val="00552D26"/>
    <w:rsid w:val="00554A7B"/>
    <w:rsid w:val="0055572C"/>
    <w:rsid w:val="0056106A"/>
    <w:rsid w:val="005642AF"/>
    <w:rsid w:val="005720AE"/>
    <w:rsid w:val="00575ED3"/>
    <w:rsid w:val="00577052"/>
    <w:rsid w:val="00581F74"/>
    <w:rsid w:val="00594D77"/>
    <w:rsid w:val="005969E4"/>
    <w:rsid w:val="005A06B7"/>
    <w:rsid w:val="005A1759"/>
    <w:rsid w:val="005A1F64"/>
    <w:rsid w:val="005A68A7"/>
    <w:rsid w:val="005C132C"/>
    <w:rsid w:val="005C19C3"/>
    <w:rsid w:val="005C46DA"/>
    <w:rsid w:val="005D36AB"/>
    <w:rsid w:val="005E4704"/>
    <w:rsid w:val="005E5DEC"/>
    <w:rsid w:val="005E76BD"/>
    <w:rsid w:val="005F43E6"/>
    <w:rsid w:val="00617CC3"/>
    <w:rsid w:val="00632460"/>
    <w:rsid w:val="006377A6"/>
    <w:rsid w:val="00637A3D"/>
    <w:rsid w:val="006411EF"/>
    <w:rsid w:val="006448E3"/>
    <w:rsid w:val="006632C0"/>
    <w:rsid w:val="00671EAA"/>
    <w:rsid w:val="006740C1"/>
    <w:rsid w:val="006748B8"/>
    <w:rsid w:val="006775C3"/>
    <w:rsid w:val="00683369"/>
    <w:rsid w:val="0069290A"/>
    <w:rsid w:val="0069775A"/>
    <w:rsid w:val="00697813"/>
    <w:rsid w:val="006A3EE8"/>
    <w:rsid w:val="006A72BF"/>
    <w:rsid w:val="006B03F2"/>
    <w:rsid w:val="006B37DC"/>
    <w:rsid w:val="006B48ED"/>
    <w:rsid w:val="006B4F68"/>
    <w:rsid w:val="006B52B4"/>
    <w:rsid w:val="006B7762"/>
    <w:rsid w:val="006C0592"/>
    <w:rsid w:val="006C1294"/>
    <w:rsid w:val="006C272E"/>
    <w:rsid w:val="006C5479"/>
    <w:rsid w:val="006D02C9"/>
    <w:rsid w:val="006D13B5"/>
    <w:rsid w:val="006E12FF"/>
    <w:rsid w:val="006E607E"/>
    <w:rsid w:val="006F181D"/>
    <w:rsid w:val="006F6557"/>
    <w:rsid w:val="00700949"/>
    <w:rsid w:val="00706C5D"/>
    <w:rsid w:val="00710FA1"/>
    <w:rsid w:val="00716445"/>
    <w:rsid w:val="0071665C"/>
    <w:rsid w:val="00717680"/>
    <w:rsid w:val="0071792C"/>
    <w:rsid w:val="00732922"/>
    <w:rsid w:val="00735F7E"/>
    <w:rsid w:val="0075162E"/>
    <w:rsid w:val="00751AFE"/>
    <w:rsid w:val="00754034"/>
    <w:rsid w:val="00756556"/>
    <w:rsid w:val="007618C4"/>
    <w:rsid w:val="00762FAF"/>
    <w:rsid w:val="00763347"/>
    <w:rsid w:val="00766D9B"/>
    <w:rsid w:val="00767980"/>
    <w:rsid w:val="00770B19"/>
    <w:rsid w:val="007719FA"/>
    <w:rsid w:val="00772C8F"/>
    <w:rsid w:val="0077413E"/>
    <w:rsid w:val="0077463F"/>
    <w:rsid w:val="00780920"/>
    <w:rsid w:val="007836EA"/>
    <w:rsid w:val="00784CDA"/>
    <w:rsid w:val="00785360"/>
    <w:rsid w:val="007906C4"/>
    <w:rsid w:val="007917FF"/>
    <w:rsid w:val="007940EA"/>
    <w:rsid w:val="00795EAA"/>
    <w:rsid w:val="007966C4"/>
    <w:rsid w:val="007967E8"/>
    <w:rsid w:val="007A2054"/>
    <w:rsid w:val="007A2170"/>
    <w:rsid w:val="007A22BF"/>
    <w:rsid w:val="007A2A1B"/>
    <w:rsid w:val="007A3293"/>
    <w:rsid w:val="007A3323"/>
    <w:rsid w:val="007A47D2"/>
    <w:rsid w:val="007A669C"/>
    <w:rsid w:val="007B2E15"/>
    <w:rsid w:val="007B4EE4"/>
    <w:rsid w:val="007B72B8"/>
    <w:rsid w:val="007B7A58"/>
    <w:rsid w:val="007C21B5"/>
    <w:rsid w:val="007D5781"/>
    <w:rsid w:val="007D6468"/>
    <w:rsid w:val="007E4BD2"/>
    <w:rsid w:val="007F1684"/>
    <w:rsid w:val="00801393"/>
    <w:rsid w:val="008017C0"/>
    <w:rsid w:val="008020BB"/>
    <w:rsid w:val="00802F88"/>
    <w:rsid w:val="00806D0C"/>
    <w:rsid w:val="0081293E"/>
    <w:rsid w:val="00815465"/>
    <w:rsid w:val="008177CA"/>
    <w:rsid w:val="00817E9A"/>
    <w:rsid w:val="00823E00"/>
    <w:rsid w:val="008306BD"/>
    <w:rsid w:val="00831A80"/>
    <w:rsid w:val="00833743"/>
    <w:rsid w:val="008340A4"/>
    <w:rsid w:val="008415A8"/>
    <w:rsid w:val="0084475E"/>
    <w:rsid w:val="00851674"/>
    <w:rsid w:val="00857846"/>
    <w:rsid w:val="008602FB"/>
    <w:rsid w:val="0087135F"/>
    <w:rsid w:val="00871FE0"/>
    <w:rsid w:val="0087212B"/>
    <w:rsid w:val="00872D94"/>
    <w:rsid w:val="008732A6"/>
    <w:rsid w:val="00873823"/>
    <w:rsid w:val="008752CE"/>
    <w:rsid w:val="00880364"/>
    <w:rsid w:val="00885752"/>
    <w:rsid w:val="00891592"/>
    <w:rsid w:val="00891E9E"/>
    <w:rsid w:val="008A2F68"/>
    <w:rsid w:val="008A3325"/>
    <w:rsid w:val="008A48CC"/>
    <w:rsid w:val="008A68C4"/>
    <w:rsid w:val="008B031B"/>
    <w:rsid w:val="008B4FA6"/>
    <w:rsid w:val="008B5282"/>
    <w:rsid w:val="008B7C17"/>
    <w:rsid w:val="008C2D01"/>
    <w:rsid w:val="008C40E6"/>
    <w:rsid w:val="008D0F7A"/>
    <w:rsid w:val="008D68E4"/>
    <w:rsid w:val="008E0506"/>
    <w:rsid w:val="008E0CFF"/>
    <w:rsid w:val="008E3CD8"/>
    <w:rsid w:val="008E5488"/>
    <w:rsid w:val="008E5D6B"/>
    <w:rsid w:val="008E76F0"/>
    <w:rsid w:val="008F0B6E"/>
    <w:rsid w:val="008F15FE"/>
    <w:rsid w:val="008F2A76"/>
    <w:rsid w:val="008F2D29"/>
    <w:rsid w:val="008F5187"/>
    <w:rsid w:val="008F60D8"/>
    <w:rsid w:val="00902727"/>
    <w:rsid w:val="0090312B"/>
    <w:rsid w:val="00903D7F"/>
    <w:rsid w:val="0091736D"/>
    <w:rsid w:val="00922F33"/>
    <w:rsid w:val="00924F53"/>
    <w:rsid w:val="0093037A"/>
    <w:rsid w:val="009313B4"/>
    <w:rsid w:val="00934A58"/>
    <w:rsid w:val="0094154D"/>
    <w:rsid w:val="0095155F"/>
    <w:rsid w:val="00954429"/>
    <w:rsid w:val="00955D59"/>
    <w:rsid w:val="009563CE"/>
    <w:rsid w:val="009666CA"/>
    <w:rsid w:val="0096727F"/>
    <w:rsid w:val="00967C68"/>
    <w:rsid w:val="00976328"/>
    <w:rsid w:val="0097680D"/>
    <w:rsid w:val="00977422"/>
    <w:rsid w:val="00982438"/>
    <w:rsid w:val="0098262F"/>
    <w:rsid w:val="0098404C"/>
    <w:rsid w:val="0098498C"/>
    <w:rsid w:val="00985283"/>
    <w:rsid w:val="00995992"/>
    <w:rsid w:val="009A03E5"/>
    <w:rsid w:val="009A0F3B"/>
    <w:rsid w:val="009A1BB4"/>
    <w:rsid w:val="009A237F"/>
    <w:rsid w:val="009A2628"/>
    <w:rsid w:val="009A3200"/>
    <w:rsid w:val="009B0897"/>
    <w:rsid w:val="009B14A2"/>
    <w:rsid w:val="009B5D16"/>
    <w:rsid w:val="009B7BD9"/>
    <w:rsid w:val="009C2089"/>
    <w:rsid w:val="009C3D5D"/>
    <w:rsid w:val="009C4DC8"/>
    <w:rsid w:val="009C53EC"/>
    <w:rsid w:val="009C564C"/>
    <w:rsid w:val="009C62BD"/>
    <w:rsid w:val="009C7DD5"/>
    <w:rsid w:val="009D3816"/>
    <w:rsid w:val="009D60D3"/>
    <w:rsid w:val="009E01C9"/>
    <w:rsid w:val="009E227D"/>
    <w:rsid w:val="009E3FB3"/>
    <w:rsid w:val="009E5019"/>
    <w:rsid w:val="009F3E0B"/>
    <w:rsid w:val="009F79FB"/>
    <w:rsid w:val="00A02443"/>
    <w:rsid w:val="00A04595"/>
    <w:rsid w:val="00A04F1B"/>
    <w:rsid w:val="00A0501B"/>
    <w:rsid w:val="00A11587"/>
    <w:rsid w:val="00A1348D"/>
    <w:rsid w:val="00A14947"/>
    <w:rsid w:val="00A20E72"/>
    <w:rsid w:val="00A32A83"/>
    <w:rsid w:val="00A32CCE"/>
    <w:rsid w:val="00A368DB"/>
    <w:rsid w:val="00A379DD"/>
    <w:rsid w:val="00A423AA"/>
    <w:rsid w:val="00A44840"/>
    <w:rsid w:val="00A44F57"/>
    <w:rsid w:val="00A53EC6"/>
    <w:rsid w:val="00A55C0F"/>
    <w:rsid w:val="00A74A50"/>
    <w:rsid w:val="00A74C3C"/>
    <w:rsid w:val="00A76063"/>
    <w:rsid w:val="00A82942"/>
    <w:rsid w:val="00A83BEE"/>
    <w:rsid w:val="00A84012"/>
    <w:rsid w:val="00A84112"/>
    <w:rsid w:val="00A8713F"/>
    <w:rsid w:val="00A90BA1"/>
    <w:rsid w:val="00A9111F"/>
    <w:rsid w:val="00A92AD9"/>
    <w:rsid w:val="00A94342"/>
    <w:rsid w:val="00A97A9A"/>
    <w:rsid w:val="00AA0671"/>
    <w:rsid w:val="00AA2531"/>
    <w:rsid w:val="00AA2B40"/>
    <w:rsid w:val="00AA5195"/>
    <w:rsid w:val="00AB0507"/>
    <w:rsid w:val="00AB1E09"/>
    <w:rsid w:val="00AB5330"/>
    <w:rsid w:val="00AB53DE"/>
    <w:rsid w:val="00AB5A42"/>
    <w:rsid w:val="00AB7312"/>
    <w:rsid w:val="00AB7747"/>
    <w:rsid w:val="00AC14CE"/>
    <w:rsid w:val="00AC2A56"/>
    <w:rsid w:val="00AC52C4"/>
    <w:rsid w:val="00AC7BDA"/>
    <w:rsid w:val="00AD055E"/>
    <w:rsid w:val="00AD0E2B"/>
    <w:rsid w:val="00AD47A7"/>
    <w:rsid w:val="00AE11C5"/>
    <w:rsid w:val="00AE5F96"/>
    <w:rsid w:val="00AE6761"/>
    <w:rsid w:val="00AE7335"/>
    <w:rsid w:val="00AF0CBF"/>
    <w:rsid w:val="00AF257F"/>
    <w:rsid w:val="00AF33CF"/>
    <w:rsid w:val="00AF4D50"/>
    <w:rsid w:val="00AF6179"/>
    <w:rsid w:val="00B1295A"/>
    <w:rsid w:val="00B1337B"/>
    <w:rsid w:val="00B15EC2"/>
    <w:rsid w:val="00B200E0"/>
    <w:rsid w:val="00B20A45"/>
    <w:rsid w:val="00B22C5C"/>
    <w:rsid w:val="00B24F30"/>
    <w:rsid w:val="00B31ABF"/>
    <w:rsid w:val="00B33BE3"/>
    <w:rsid w:val="00B42B1E"/>
    <w:rsid w:val="00B45998"/>
    <w:rsid w:val="00B52087"/>
    <w:rsid w:val="00B532C0"/>
    <w:rsid w:val="00B53B5D"/>
    <w:rsid w:val="00B574C8"/>
    <w:rsid w:val="00B6055E"/>
    <w:rsid w:val="00B61603"/>
    <w:rsid w:val="00B6317D"/>
    <w:rsid w:val="00B66AFA"/>
    <w:rsid w:val="00B7468B"/>
    <w:rsid w:val="00B74A2B"/>
    <w:rsid w:val="00B7723F"/>
    <w:rsid w:val="00B80534"/>
    <w:rsid w:val="00B80CBB"/>
    <w:rsid w:val="00B82DBA"/>
    <w:rsid w:val="00B83EA7"/>
    <w:rsid w:val="00B8433C"/>
    <w:rsid w:val="00B86D6C"/>
    <w:rsid w:val="00B87491"/>
    <w:rsid w:val="00B87A26"/>
    <w:rsid w:val="00BA0A68"/>
    <w:rsid w:val="00BA29E9"/>
    <w:rsid w:val="00BA48CC"/>
    <w:rsid w:val="00BA5E9C"/>
    <w:rsid w:val="00BA7142"/>
    <w:rsid w:val="00BB237C"/>
    <w:rsid w:val="00BB41A3"/>
    <w:rsid w:val="00BC11D8"/>
    <w:rsid w:val="00BC32DC"/>
    <w:rsid w:val="00BC35B6"/>
    <w:rsid w:val="00BD1B51"/>
    <w:rsid w:val="00BD4596"/>
    <w:rsid w:val="00BD486B"/>
    <w:rsid w:val="00BD4FA1"/>
    <w:rsid w:val="00BE0A91"/>
    <w:rsid w:val="00BE1405"/>
    <w:rsid w:val="00BE312D"/>
    <w:rsid w:val="00BF1C20"/>
    <w:rsid w:val="00BF2CB9"/>
    <w:rsid w:val="00C10578"/>
    <w:rsid w:val="00C120ED"/>
    <w:rsid w:val="00C135BC"/>
    <w:rsid w:val="00C13759"/>
    <w:rsid w:val="00C13D2D"/>
    <w:rsid w:val="00C15C95"/>
    <w:rsid w:val="00C2596A"/>
    <w:rsid w:val="00C27537"/>
    <w:rsid w:val="00C32409"/>
    <w:rsid w:val="00C328FE"/>
    <w:rsid w:val="00C33507"/>
    <w:rsid w:val="00C4409D"/>
    <w:rsid w:val="00C44CE7"/>
    <w:rsid w:val="00C44E72"/>
    <w:rsid w:val="00C45A06"/>
    <w:rsid w:val="00C47E5B"/>
    <w:rsid w:val="00C52C02"/>
    <w:rsid w:val="00C54C50"/>
    <w:rsid w:val="00C568CE"/>
    <w:rsid w:val="00C61E4B"/>
    <w:rsid w:val="00C64B31"/>
    <w:rsid w:val="00C64BFF"/>
    <w:rsid w:val="00C661D1"/>
    <w:rsid w:val="00C704E9"/>
    <w:rsid w:val="00C763C9"/>
    <w:rsid w:val="00C80057"/>
    <w:rsid w:val="00C82232"/>
    <w:rsid w:val="00C82913"/>
    <w:rsid w:val="00C8498B"/>
    <w:rsid w:val="00C861B3"/>
    <w:rsid w:val="00C909BA"/>
    <w:rsid w:val="00C972B1"/>
    <w:rsid w:val="00CA2CCE"/>
    <w:rsid w:val="00CA43FD"/>
    <w:rsid w:val="00CA7EF8"/>
    <w:rsid w:val="00CB0CC3"/>
    <w:rsid w:val="00CC1C90"/>
    <w:rsid w:val="00CC344E"/>
    <w:rsid w:val="00CC489B"/>
    <w:rsid w:val="00CC4F42"/>
    <w:rsid w:val="00CD2BCD"/>
    <w:rsid w:val="00CD3A4C"/>
    <w:rsid w:val="00CE10E9"/>
    <w:rsid w:val="00CE2910"/>
    <w:rsid w:val="00CE2D16"/>
    <w:rsid w:val="00CE5393"/>
    <w:rsid w:val="00CE5910"/>
    <w:rsid w:val="00CE730E"/>
    <w:rsid w:val="00CF36BE"/>
    <w:rsid w:val="00CF5308"/>
    <w:rsid w:val="00CF6000"/>
    <w:rsid w:val="00D003F3"/>
    <w:rsid w:val="00D0364F"/>
    <w:rsid w:val="00D06834"/>
    <w:rsid w:val="00D12C84"/>
    <w:rsid w:val="00D178DE"/>
    <w:rsid w:val="00D212BC"/>
    <w:rsid w:val="00D23516"/>
    <w:rsid w:val="00D2602F"/>
    <w:rsid w:val="00D26D6D"/>
    <w:rsid w:val="00D308ED"/>
    <w:rsid w:val="00D3215A"/>
    <w:rsid w:val="00D3511A"/>
    <w:rsid w:val="00D36295"/>
    <w:rsid w:val="00D36D86"/>
    <w:rsid w:val="00D428AA"/>
    <w:rsid w:val="00D5046A"/>
    <w:rsid w:val="00D50A34"/>
    <w:rsid w:val="00D53EFA"/>
    <w:rsid w:val="00D60AC9"/>
    <w:rsid w:val="00D6135C"/>
    <w:rsid w:val="00D72EE5"/>
    <w:rsid w:val="00D73B4D"/>
    <w:rsid w:val="00D755DA"/>
    <w:rsid w:val="00D86314"/>
    <w:rsid w:val="00D94A7C"/>
    <w:rsid w:val="00D95896"/>
    <w:rsid w:val="00DA1259"/>
    <w:rsid w:val="00DA63B7"/>
    <w:rsid w:val="00DA78C8"/>
    <w:rsid w:val="00DB2983"/>
    <w:rsid w:val="00DB5B1A"/>
    <w:rsid w:val="00DC1257"/>
    <w:rsid w:val="00DC3DC0"/>
    <w:rsid w:val="00DC5B2B"/>
    <w:rsid w:val="00DD318D"/>
    <w:rsid w:val="00DD3F66"/>
    <w:rsid w:val="00DD4A53"/>
    <w:rsid w:val="00DE54AF"/>
    <w:rsid w:val="00DF12E2"/>
    <w:rsid w:val="00DF2E12"/>
    <w:rsid w:val="00DF514A"/>
    <w:rsid w:val="00DF5C12"/>
    <w:rsid w:val="00DF6690"/>
    <w:rsid w:val="00DF6804"/>
    <w:rsid w:val="00E011B2"/>
    <w:rsid w:val="00E0358D"/>
    <w:rsid w:val="00E04323"/>
    <w:rsid w:val="00E070A2"/>
    <w:rsid w:val="00E135E3"/>
    <w:rsid w:val="00E1781F"/>
    <w:rsid w:val="00E201A5"/>
    <w:rsid w:val="00E26311"/>
    <w:rsid w:val="00E2656A"/>
    <w:rsid w:val="00E329F1"/>
    <w:rsid w:val="00E34C1D"/>
    <w:rsid w:val="00E412D0"/>
    <w:rsid w:val="00E56322"/>
    <w:rsid w:val="00E60982"/>
    <w:rsid w:val="00E62C62"/>
    <w:rsid w:val="00E654C1"/>
    <w:rsid w:val="00E65D97"/>
    <w:rsid w:val="00E67D5A"/>
    <w:rsid w:val="00E71A70"/>
    <w:rsid w:val="00E72A5A"/>
    <w:rsid w:val="00E73354"/>
    <w:rsid w:val="00E74787"/>
    <w:rsid w:val="00E821C2"/>
    <w:rsid w:val="00E9242D"/>
    <w:rsid w:val="00EB5255"/>
    <w:rsid w:val="00EB5C47"/>
    <w:rsid w:val="00EB6DC7"/>
    <w:rsid w:val="00ED0639"/>
    <w:rsid w:val="00EF4755"/>
    <w:rsid w:val="00EF7135"/>
    <w:rsid w:val="00F027DB"/>
    <w:rsid w:val="00F14A7A"/>
    <w:rsid w:val="00F14BF0"/>
    <w:rsid w:val="00F16CF5"/>
    <w:rsid w:val="00F17839"/>
    <w:rsid w:val="00F205D8"/>
    <w:rsid w:val="00F2257B"/>
    <w:rsid w:val="00F22985"/>
    <w:rsid w:val="00F2455E"/>
    <w:rsid w:val="00F24D7A"/>
    <w:rsid w:val="00F3383E"/>
    <w:rsid w:val="00F34869"/>
    <w:rsid w:val="00F45EC5"/>
    <w:rsid w:val="00F465A7"/>
    <w:rsid w:val="00F50B7C"/>
    <w:rsid w:val="00F550E6"/>
    <w:rsid w:val="00F672CE"/>
    <w:rsid w:val="00F67B7B"/>
    <w:rsid w:val="00F7288E"/>
    <w:rsid w:val="00F74345"/>
    <w:rsid w:val="00F80A0A"/>
    <w:rsid w:val="00F82B19"/>
    <w:rsid w:val="00F90B54"/>
    <w:rsid w:val="00F9212D"/>
    <w:rsid w:val="00F965DA"/>
    <w:rsid w:val="00F96889"/>
    <w:rsid w:val="00FA3175"/>
    <w:rsid w:val="00FA406A"/>
    <w:rsid w:val="00FA5EC7"/>
    <w:rsid w:val="00FB2C1E"/>
    <w:rsid w:val="00FB503A"/>
    <w:rsid w:val="00FB516C"/>
    <w:rsid w:val="00FC0973"/>
    <w:rsid w:val="00FC11BC"/>
    <w:rsid w:val="00FC35C8"/>
    <w:rsid w:val="00FC3EEA"/>
    <w:rsid w:val="00FC440F"/>
    <w:rsid w:val="00FC45A7"/>
    <w:rsid w:val="00FD0236"/>
    <w:rsid w:val="00FD0888"/>
    <w:rsid w:val="00FD18F4"/>
    <w:rsid w:val="00FD336E"/>
    <w:rsid w:val="00FD54DB"/>
    <w:rsid w:val="00FD619F"/>
    <w:rsid w:val="00FD772D"/>
    <w:rsid w:val="00FE18AD"/>
    <w:rsid w:val="00FE359B"/>
    <w:rsid w:val="00FE5188"/>
    <w:rsid w:val="00FF3B49"/>
    <w:rsid w:val="011A1F16"/>
    <w:rsid w:val="01290F7E"/>
    <w:rsid w:val="01443C24"/>
    <w:rsid w:val="015D1E09"/>
    <w:rsid w:val="016021EA"/>
    <w:rsid w:val="01A87D51"/>
    <w:rsid w:val="022B53A5"/>
    <w:rsid w:val="02697903"/>
    <w:rsid w:val="02984DE7"/>
    <w:rsid w:val="029C0C4D"/>
    <w:rsid w:val="02E2263A"/>
    <w:rsid w:val="02F96569"/>
    <w:rsid w:val="03650F06"/>
    <w:rsid w:val="03B10EED"/>
    <w:rsid w:val="03C32FF6"/>
    <w:rsid w:val="03EA7B21"/>
    <w:rsid w:val="03EC0A3C"/>
    <w:rsid w:val="04441FBD"/>
    <w:rsid w:val="04682594"/>
    <w:rsid w:val="047810F2"/>
    <w:rsid w:val="049F2CE5"/>
    <w:rsid w:val="04C66672"/>
    <w:rsid w:val="04D4099D"/>
    <w:rsid w:val="05797ED5"/>
    <w:rsid w:val="05F83EAE"/>
    <w:rsid w:val="05FD1B1B"/>
    <w:rsid w:val="05FE6D0E"/>
    <w:rsid w:val="06025025"/>
    <w:rsid w:val="063E7D85"/>
    <w:rsid w:val="068A4ADF"/>
    <w:rsid w:val="0697634C"/>
    <w:rsid w:val="07041364"/>
    <w:rsid w:val="07293586"/>
    <w:rsid w:val="07295285"/>
    <w:rsid w:val="074D7724"/>
    <w:rsid w:val="07636392"/>
    <w:rsid w:val="07770C56"/>
    <w:rsid w:val="07FE0B88"/>
    <w:rsid w:val="081459DD"/>
    <w:rsid w:val="085415ED"/>
    <w:rsid w:val="090E2658"/>
    <w:rsid w:val="0910015F"/>
    <w:rsid w:val="091D32B4"/>
    <w:rsid w:val="092217DD"/>
    <w:rsid w:val="093A7294"/>
    <w:rsid w:val="093B6D3F"/>
    <w:rsid w:val="09EF1AE6"/>
    <w:rsid w:val="0A263993"/>
    <w:rsid w:val="0A2D3AC2"/>
    <w:rsid w:val="0A420C71"/>
    <w:rsid w:val="0A9D299C"/>
    <w:rsid w:val="0AA755DF"/>
    <w:rsid w:val="0AC83822"/>
    <w:rsid w:val="0B120D44"/>
    <w:rsid w:val="0BA33CAD"/>
    <w:rsid w:val="0BD27BF6"/>
    <w:rsid w:val="0BE25541"/>
    <w:rsid w:val="0C1643C1"/>
    <w:rsid w:val="0C3B3C7D"/>
    <w:rsid w:val="0C6F752C"/>
    <w:rsid w:val="0CAB2EAE"/>
    <w:rsid w:val="0D2F5BCF"/>
    <w:rsid w:val="0D3A5706"/>
    <w:rsid w:val="0D3C0E45"/>
    <w:rsid w:val="0D621C7D"/>
    <w:rsid w:val="0DAA2641"/>
    <w:rsid w:val="0E655042"/>
    <w:rsid w:val="0E73034D"/>
    <w:rsid w:val="0EB46B2E"/>
    <w:rsid w:val="0ED516D5"/>
    <w:rsid w:val="0F13775A"/>
    <w:rsid w:val="0F520700"/>
    <w:rsid w:val="0F5F45FE"/>
    <w:rsid w:val="0F9A112B"/>
    <w:rsid w:val="100C396B"/>
    <w:rsid w:val="10172039"/>
    <w:rsid w:val="104A5F16"/>
    <w:rsid w:val="106D2F64"/>
    <w:rsid w:val="107C2A7F"/>
    <w:rsid w:val="10B21835"/>
    <w:rsid w:val="10B47E7C"/>
    <w:rsid w:val="10B63710"/>
    <w:rsid w:val="10F10820"/>
    <w:rsid w:val="111C2F7A"/>
    <w:rsid w:val="11356DE9"/>
    <w:rsid w:val="114A1A79"/>
    <w:rsid w:val="115855BF"/>
    <w:rsid w:val="11665CA1"/>
    <w:rsid w:val="116D12C6"/>
    <w:rsid w:val="11C23DF5"/>
    <w:rsid w:val="122F0AC1"/>
    <w:rsid w:val="13165C34"/>
    <w:rsid w:val="1361266E"/>
    <w:rsid w:val="13951726"/>
    <w:rsid w:val="140326B4"/>
    <w:rsid w:val="14396509"/>
    <w:rsid w:val="143A3673"/>
    <w:rsid w:val="14586533"/>
    <w:rsid w:val="14DD2C3C"/>
    <w:rsid w:val="156B3F1A"/>
    <w:rsid w:val="157E78C7"/>
    <w:rsid w:val="16087E1D"/>
    <w:rsid w:val="165036C6"/>
    <w:rsid w:val="165F7F3D"/>
    <w:rsid w:val="166010F0"/>
    <w:rsid w:val="167A6B72"/>
    <w:rsid w:val="16D22CF8"/>
    <w:rsid w:val="16D248D3"/>
    <w:rsid w:val="16E849B0"/>
    <w:rsid w:val="17701D14"/>
    <w:rsid w:val="17733D24"/>
    <w:rsid w:val="17735226"/>
    <w:rsid w:val="17A84F37"/>
    <w:rsid w:val="17D5265A"/>
    <w:rsid w:val="17DD4B6C"/>
    <w:rsid w:val="183A1141"/>
    <w:rsid w:val="189F624C"/>
    <w:rsid w:val="18D761E8"/>
    <w:rsid w:val="191C176C"/>
    <w:rsid w:val="19242DC6"/>
    <w:rsid w:val="198F1E7E"/>
    <w:rsid w:val="19DC083B"/>
    <w:rsid w:val="19E42C3C"/>
    <w:rsid w:val="1A034416"/>
    <w:rsid w:val="1A1C66C0"/>
    <w:rsid w:val="1A2A7BB4"/>
    <w:rsid w:val="1A3601F4"/>
    <w:rsid w:val="1A42393B"/>
    <w:rsid w:val="1A452951"/>
    <w:rsid w:val="1A63524D"/>
    <w:rsid w:val="1A8E26DF"/>
    <w:rsid w:val="1AA75592"/>
    <w:rsid w:val="1AAD45DE"/>
    <w:rsid w:val="1AC64AC5"/>
    <w:rsid w:val="1B046F80"/>
    <w:rsid w:val="1B3267B5"/>
    <w:rsid w:val="1B40161D"/>
    <w:rsid w:val="1B441859"/>
    <w:rsid w:val="1B5941E5"/>
    <w:rsid w:val="1B6606B1"/>
    <w:rsid w:val="1B886918"/>
    <w:rsid w:val="1BC400D9"/>
    <w:rsid w:val="1C2D0674"/>
    <w:rsid w:val="1C5E7925"/>
    <w:rsid w:val="1CA00F80"/>
    <w:rsid w:val="1CA66CCE"/>
    <w:rsid w:val="1CC015C4"/>
    <w:rsid w:val="1CFD070F"/>
    <w:rsid w:val="1D0714AA"/>
    <w:rsid w:val="1D533311"/>
    <w:rsid w:val="1D5A6A73"/>
    <w:rsid w:val="1D5F6196"/>
    <w:rsid w:val="1D6132A5"/>
    <w:rsid w:val="1D744CC7"/>
    <w:rsid w:val="1D77790C"/>
    <w:rsid w:val="1D8E56D5"/>
    <w:rsid w:val="1DF1129A"/>
    <w:rsid w:val="1E4431FE"/>
    <w:rsid w:val="1E52624C"/>
    <w:rsid w:val="1E5C5D30"/>
    <w:rsid w:val="1E7A43DA"/>
    <w:rsid w:val="1E7E1E11"/>
    <w:rsid w:val="1F0A4382"/>
    <w:rsid w:val="1F0D7711"/>
    <w:rsid w:val="1F7532BF"/>
    <w:rsid w:val="1FE7539E"/>
    <w:rsid w:val="204D12EC"/>
    <w:rsid w:val="205D7B0D"/>
    <w:rsid w:val="20671BE0"/>
    <w:rsid w:val="206A094A"/>
    <w:rsid w:val="20963CB8"/>
    <w:rsid w:val="20A81A1B"/>
    <w:rsid w:val="20B07FB6"/>
    <w:rsid w:val="20B646FB"/>
    <w:rsid w:val="20F53C32"/>
    <w:rsid w:val="213B74B1"/>
    <w:rsid w:val="215A2310"/>
    <w:rsid w:val="21AE081F"/>
    <w:rsid w:val="21C65C00"/>
    <w:rsid w:val="21D24E81"/>
    <w:rsid w:val="21DC5FA8"/>
    <w:rsid w:val="21DE318A"/>
    <w:rsid w:val="21EF5B80"/>
    <w:rsid w:val="221848B8"/>
    <w:rsid w:val="2240415F"/>
    <w:rsid w:val="22576990"/>
    <w:rsid w:val="229E1F5E"/>
    <w:rsid w:val="22BC4F54"/>
    <w:rsid w:val="22F47480"/>
    <w:rsid w:val="23CC07BF"/>
    <w:rsid w:val="23DE1C48"/>
    <w:rsid w:val="240210CD"/>
    <w:rsid w:val="24AF2353"/>
    <w:rsid w:val="24BF09F7"/>
    <w:rsid w:val="252D53FE"/>
    <w:rsid w:val="25612B37"/>
    <w:rsid w:val="25CB514F"/>
    <w:rsid w:val="25D30144"/>
    <w:rsid w:val="25E6319E"/>
    <w:rsid w:val="25EB7100"/>
    <w:rsid w:val="25EC2D81"/>
    <w:rsid w:val="2642072C"/>
    <w:rsid w:val="268F19F3"/>
    <w:rsid w:val="26944E2C"/>
    <w:rsid w:val="26B15067"/>
    <w:rsid w:val="26D219D2"/>
    <w:rsid w:val="26D846EC"/>
    <w:rsid w:val="2748483B"/>
    <w:rsid w:val="277057A2"/>
    <w:rsid w:val="279E3B8B"/>
    <w:rsid w:val="2887248F"/>
    <w:rsid w:val="289B03EF"/>
    <w:rsid w:val="290868EC"/>
    <w:rsid w:val="29206EB8"/>
    <w:rsid w:val="29595666"/>
    <w:rsid w:val="29874881"/>
    <w:rsid w:val="29E325E0"/>
    <w:rsid w:val="2A452503"/>
    <w:rsid w:val="2A774A7C"/>
    <w:rsid w:val="2AD67E19"/>
    <w:rsid w:val="2AF87C01"/>
    <w:rsid w:val="2B0B5CC1"/>
    <w:rsid w:val="2B117A92"/>
    <w:rsid w:val="2BA936A8"/>
    <w:rsid w:val="2BD57BA4"/>
    <w:rsid w:val="2C315A5A"/>
    <w:rsid w:val="2C4B1C25"/>
    <w:rsid w:val="2C6330AB"/>
    <w:rsid w:val="2D9E56F5"/>
    <w:rsid w:val="2DAB015F"/>
    <w:rsid w:val="2DF82798"/>
    <w:rsid w:val="2E42420C"/>
    <w:rsid w:val="2E5E3218"/>
    <w:rsid w:val="2E667F96"/>
    <w:rsid w:val="2E6812AD"/>
    <w:rsid w:val="2E6911F9"/>
    <w:rsid w:val="2E80169C"/>
    <w:rsid w:val="2E8226AB"/>
    <w:rsid w:val="2E875157"/>
    <w:rsid w:val="2E8A484A"/>
    <w:rsid w:val="2E9A7907"/>
    <w:rsid w:val="2F8D0795"/>
    <w:rsid w:val="2FB93AB9"/>
    <w:rsid w:val="2FD065E6"/>
    <w:rsid w:val="2FD074A5"/>
    <w:rsid w:val="2FD96870"/>
    <w:rsid w:val="3043140F"/>
    <w:rsid w:val="3057460E"/>
    <w:rsid w:val="30580BC9"/>
    <w:rsid w:val="30864775"/>
    <w:rsid w:val="309173B1"/>
    <w:rsid w:val="30A24CD3"/>
    <w:rsid w:val="311E2ED7"/>
    <w:rsid w:val="315619EE"/>
    <w:rsid w:val="315B49B7"/>
    <w:rsid w:val="315C449C"/>
    <w:rsid w:val="31A9148A"/>
    <w:rsid w:val="31B82709"/>
    <w:rsid w:val="31C823BF"/>
    <w:rsid w:val="31D05482"/>
    <w:rsid w:val="32221084"/>
    <w:rsid w:val="32400B34"/>
    <w:rsid w:val="324068D1"/>
    <w:rsid w:val="329E6876"/>
    <w:rsid w:val="32D35836"/>
    <w:rsid w:val="32E429E6"/>
    <w:rsid w:val="32E56E7A"/>
    <w:rsid w:val="32F95AAB"/>
    <w:rsid w:val="333015F2"/>
    <w:rsid w:val="3339351C"/>
    <w:rsid w:val="334B6320"/>
    <w:rsid w:val="33AD557B"/>
    <w:rsid w:val="33B71FFA"/>
    <w:rsid w:val="33CD362C"/>
    <w:rsid w:val="33D934D4"/>
    <w:rsid w:val="33FE2F6A"/>
    <w:rsid w:val="340E07E5"/>
    <w:rsid w:val="34235BF7"/>
    <w:rsid w:val="34273143"/>
    <w:rsid w:val="34613863"/>
    <w:rsid w:val="348A775A"/>
    <w:rsid w:val="34A26CE1"/>
    <w:rsid w:val="34D820C0"/>
    <w:rsid w:val="35456B3F"/>
    <w:rsid w:val="35504165"/>
    <w:rsid w:val="35581064"/>
    <w:rsid w:val="355E0756"/>
    <w:rsid w:val="3569554F"/>
    <w:rsid w:val="358C5FA8"/>
    <w:rsid w:val="35C1084A"/>
    <w:rsid w:val="35C15DF1"/>
    <w:rsid w:val="36074A7F"/>
    <w:rsid w:val="36923549"/>
    <w:rsid w:val="36A54CCD"/>
    <w:rsid w:val="36B75FBF"/>
    <w:rsid w:val="36BD0C45"/>
    <w:rsid w:val="36D27E11"/>
    <w:rsid w:val="36FA00A4"/>
    <w:rsid w:val="373D041F"/>
    <w:rsid w:val="375D3D54"/>
    <w:rsid w:val="377970F6"/>
    <w:rsid w:val="37D63265"/>
    <w:rsid w:val="37D91A9F"/>
    <w:rsid w:val="37E00298"/>
    <w:rsid w:val="38080FD2"/>
    <w:rsid w:val="3869607A"/>
    <w:rsid w:val="38A578D9"/>
    <w:rsid w:val="38B302F9"/>
    <w:rsid w:val="38F12CD3"/>
    <w:rsid w:val="38F94775"/>
    <w:rsid w:val="392971ED"/>
    <w:rsid w:val="39325651"/>
    <w:rsid w:val="3934382B"/>
    <w:rsid w:val="397A3701"/>
    <w:rsid w:val="39894EA8"/>
    <w:rsid w:val="398D55E4"/>
    <w:rsid w:val="39FE1CDA"/>
    <w:rsid w:val="3A124CD6"/>
    <w:rsid w:val="3A143D87"/>
    <w:rsid w:val="3A4C75F6"/>
    <w:rsid w:val="3A872856"/>
    <w:rsid w:val="3A8E0372"/>
    <w:rsid w:val="3A9C38A7"/>
    <w:rsid w:val="3B3763D1"/>
    <w:rsid w:val="3B8E4358"/>
    <w:rsid w:val="3BBC7E42"/>
    <w:rsid w:val="3BDC24FB"/>
    <w:rsid w:val="3C0009D2"/>
    <w:rsid w:val="3C081638"/>
    <w:rsid w:val="3C1C3581"/>
    <w:rsid w:val="3C2B4774"/>
    <w:rsid w:val="3C2F6E1E"/>
    <w:rsid w:val="3C4F64BA"/>
    <w:rsid w:val="3C521861"/>
    <w:rsid w:val="3CB66354"/>
    <w:rsid w:val="3CDA245A"/>
    <w:rsid w:val="3CE929CE"/>
    <w:rsid w:val="3D0D07CE"/>
    <w:rsid w:val="3D1E06B7"/>
    <w:rsid w:val="3D266F65"/>
    <w:rsid w:val="3D515E43"/>
    <w:rsid w:val="3DCE12C3"/>
    <w:rsid w:val="3ED951C1"/>
    <w:rsid w:val="3EDA0523"/>
    <w:rsid w:val="3EF43D69"/>
    <w:rsid w:val="3F187999"/>
    <w:rsid w:val="3F32179A"/>
    <w:rsid w:val="3F7E2D67"/>
    <w:rsid w:val="3F8762A6"/>
    <w:rsid w:val="3F8F58C3"/>
    <w:rsid w:val="405D7272"/>
    <w:rsid w:val="407A6407"/>
    <w:rsid w:val="40AC7E1D"/>
    <w:rsid w:val="40B0651F"/>
    <w:rsid w:val="40CC2306"/>
    <w:rsid w:val="41476BAF"/>
    <w:rsid w:val="415A0AEA"/>
    <w:rsid w:val="416E479B"/>
    <w:rsid w:val="41830AF5"/>
    <w:rsid w:val="418F5288"/>
    <w:rsid w:val="4200449D"/>
    <w:rsid w:val="423A3BCC"/>
    <w:rsid w:val="424838B5"/>
    <w:rsid w:val="424D2683"/>
    <w:rsid w:val="424E57D2"/>
    <w:rsid w:val="42907656"/>
    <w:rsid w:val="42B26C49"/>
    <w:rsid w:val="42E17CA9"/>
    <w:rsid w:val="42F23522"/>
    <w:rsid w:val="433A6FE6"/>
    <w:rsid w:val="43480868"/>
    <w:rsid w:val="4350713C"/>
    <w:rsid w:val="436653E0"/>
    <w:rsid w:val="43C4431A"/>
    <w:rsid w:val="43F06423"/>
    <w:rsid w:val="43F12485"/>
    <w:rsid w:val="446D6D67"/>
    <w:rsid w:val="44AC3599"/>
    <w:rsid w:val="44B951CC"/>
    <w:rsid w:val="44CD14E0"/>
    <w:rsid w:val="44F20B0B"/>
    <w:rsid w:val="45040F19"/>
    <w:rsid w:val="450764BE"/>
    <w:rsid w:val="45087894"/>
    <w:rsid w:val="45201838"/>
    <w:rsid w:val="452E5F4C"/>
    <w:rsid w:val="45380B8C"/>
    <w:rsid w:val="454A43BE"/>
    <w:rsid w:val="455E449C"/>
    <w:rsid w:val="455F1E58"/>
    <w:rsid w:val="45612018"/>
    <w:rsid w:val="458946E9"/>
    <w:rsid w:val="45A47C0E"/>
    <w:rsid w:val="45B742E3"/>
    <w:rsid w:val="45D81B43"/>
    <w:rsid w:val="462A5E2A"/>
    <w:rsid w:val="463D7163"/>
    <w:rsid w:val="46577FD6"/>
    <w:rsid w:val="46685004"/>
    <w:rsid w:val="46697D0A"/>
    <w:rsid w:val="46771940"/>
    <w:rsid w:val="46D955A7"/>
    <w:rsid w:val="47133957"/>
    <w:rsid w:val="478721CC"/>
    <w:rsid w:val="47A07E0C"/>
    <w:rsid w:val="47A33E77"/>
    <w:rsid w:val="47B7436B"/>
    <w:rsid w:val="47CB19AB"/>
    <w:rsid w:val="4870272E"/>
    <w:rsid w:val="48CB070A"/>
    <w:rsid w:val="48F77BB1"/>
    <w:rsid w:val="492E096E"/>
    <w:rsid w:val="4937290C"/>
    <w:rsid w:val="499A0A4C"/>
    <w:rsid w:val="49DC7715"/>
    <w:rsid w:val="4A023139"/>
    <w:rsid w:val="4A2A7850"/>
    <w:rsid w:val="4A5B6D42"/>
    <w:rsid w:val="4A5D3D79"/>
    <w:rsid w:val="4A6D5F94"/>
    <w:rsid w:val="4A7B576F"/>
    <w:rsid w:val="4AF561A9"/>
    <w:rsid w:val="4B172ECF"/>
    <w:rsid w:val="4B360A0E"/>
    <w:rsid w:val="4B403BD6"/>
    <w:rsid w:val="4B865B3C"/>
    <w:rsid w:val="4C2A0083"/>
    <w:rsid w:val="4C4A0649"/>
    <w:rsid w:val="4C7E5ECA"/>
    <w:rsid w:val="4C876AA5"/>
    <w:rsid w:val="4C962235"/>
    <w:rsid w:val="4C9A40FE"/>
    <w:rsid w:val="4CB35F67"/>
    <w:rsid w:val="4CCF6B79"/>
    <w:rsid w:val="4D0E00FB"/>
    <w:rsid w:val="4D176606"/>
    <w:rsid w:val="4D4E1E82"/>
    <w:rsid w:val="4D8A56A8"/>
    <w:rsid w:val="4D9B246F"/>
    <w:rsid w:val="4DEC4FB0"/>
    <w:rsid w:val="4E075D8A"/>
    <w:rsid w:val="4E9A172B"/>
    <w:rsid w:val="4EB250E6"/>
    <w:rsid w:val="4EB32F1C"/>
    <w:rsid w:val="4EBA7BCE"/>
    <w:rsid w:val="4EC00FAD"/>
    <w:rsid w:val="4ED817F1"/>
    <w:rsid w:val="4F003DF8"/>
    <w:rsid w:val="4F9843DC"/>
    <w:rsid w:val="4FC62A8C"/>
    <w:rsid w:val="4FE20F0D"/>
    <w:rsid w:val="4FE51552"/>
    <w:rsid w:val="50504C4B"/>
    <w:rsid w:val="509C6E7C"/>
    <w:rsid w:val="512B33C1"/>
    <w:rsid w:val="5162104E"/>
    <w:rsid w:val="516C6880"/>
    <w:rsid w:val="51772430"/>
    <w:rsid w:val="519F7599"/>
    <w:rsid w:val="51B27C4C"/>
    <w:rsid w:val="52056663"/>
    <w:rsid w:val="52540095"/>
    <w:rsid w:val="5268132D"/>
    <w:rsid w:val="52971741"/>
    <w:rsid w:val="52FD5D22"/>
    <w:rsid w:val="5360167B"/>
    <w:rsid w:val="53950B2C"/>
    <w:rsid w:val="53A039CC"/>
    <w:rsid w:val="53A1505A"/>
    <w:rsid w:val="53BF19E1"/>
    <w:rsid w:val="53C37B00"/>
    <w:rsid w:val="54063E08"/>
    <w:rsid w:val="542A3876"/>
    <w:rsid w:val="543437E8"/>
    <w:rsid w:val="54486B84"/>
    <w:rsid w:val="545C1485"/>
    <w:rsid w:val="547239D0"/>
    <w:rsid w:val="54F73313"/>
    <w:rsid w:val="54F80955"/>
    <w:rsid w:val="54FF7A8F"/>
    <w:rsid w:val="555170A7"/>
    <w:rsid w:val="5587536D"/>
    <w:rsid w:val="55977C8C"/>
    <w:rsid w:val="559B174B"/>
    <w:rsid w:val="55CE0CF4"/>
    <w:rsid w:val="55E82332"/>
    <w:rsid w:val="561110FD"/>
    <w:rsid w:val="566F4D92"/>
    <w:rsid w:val="56930EAF"/>
    <w:rsid w:val="56B22A9C"/>
    <w:rsid w:val="57066D7B"/>
    <w:rsid w:val="57A36B04"/>
    <w:rsid w:val="57B72A76"/>
    <w:rsid w:val="57C3426C"/>
    <w:rsid w:val="57C736C1"/>
    <w:rsid w:val="57CE1F93"/>
    <w:rsid w:val="585B5325"/>
    <w:rsid w:val="588743D1"/>
    <w:rsid w:val="5887701A"/>
    <w:rsid w:val="589D5958"/>
    <w:rsid w:val="59765A55"/>
    <w:rsid w:val="598B338A"/>
    <w:rsid w:val="59A96A7B"/>
    <w:rsid w:val="59C0439F"/>
    <w:rsid w:val="59D37D56"/>
    <w:rsid w:val="59E90FDA"/>
    <w:rsid w:val="59E9139C"/>
    <w:rsid w:val="5A1A6AEA"/>
    <w:rsid w:val="5A266EE6"/>
    <w:rsid w:val="5A7474F3"/>
    <w:rsid w:val="5AAA410D"/>
    <w:rsid w:val="5ABE2233"/>
    <w:rsid w:val="5AEF5388"/>
    <w:rsid w:val="5B04784D"/>
    <w:rsid w:val="5B0F596C"/>
    <w:rsid w:val="5B3D5E1A"/>
    <w:rsid w:val="5BDF5D95"/>
    <w:rsid w:val="5BFE7528"/>
    <w:rsid w:val="5C0471A6"/>
    <w:rsid w:val="5C3D22AA"/>
    <w:rsid w:val="5C8E0AE0"/>
    <w:rsid w:val="5CDB3324"/>
    <w:rsid w:val="5CFF4B23"/>
    <w:rsid w:val="5D7070B2"/>
    <w:rsid w:val="5DC53CD5"/>
    <w:rsid w:val="5DF2325E"/>
    <w:rsid w:val="5E232372"/>
    <w:rsid w:val="5E2467F1"/>
    <w:rsid w:val="5E26055C"/>
    <w:rsid w:val="5E4357EF"/>
    <w:rsid w:val="5E5C04E7"/>
    <w:rsid w:val="5E735A69"/>
    <w:rsid w:val="5E9D3455"/>
    <w:rsid w:val="5EE80113"/>
    <w:rsid w:val="5EF213F3"/>
    <w:rsid w:val="5F1A2B43"/>
    <w:rsid w:val="5FB837BB"/>
    <w:rsid w:val="5FD70E10"/>
    <w:rsid w:val="604C667A"/>
    <w:rsid w:val="605920FA"/>
    <w:rsid w:val="606E67C8"/>
    <w:rsid w:val="608A02D8"/>
    <w:rsid w:val="608C2CA7"/>
    <w:rsid w:val="60CC405A"/>
    <w:rsid w:val="60DE4FED"/>
    <w:rsid w:val="610113A9"/>
    <w:rsid w:val="61D86AA2"/>
    <w:rsid w:val="61E215D8"/>
    <w:rsid w:val="61E93057"/>
    <w:rsid w:val="62161427"/>
    <w:rsid w:val="621B3775"/>
    <w:rsid w:val="62364782"/>
    <w:rsid w:val="62750B5E"/>
    <w:rsid w:val="62AB4E05"/>
    <w:rsid w:val="62EF200D"/>
    <w:rsid w:val="63130A32"/>
    <w:rsid w:val="63237168"/>
    <w:rsid w:val="6394356A"/>
    <w:rsid w:val="63A84E12"/>
    <w:rsid w:val="63B215BB"/>
    <w:rsid w:val="63C61B2C"/>
    <w:rsid w:val="63D40BE9"/>
    <w:rsid w:val="64102431"/>
    <w:rsid w:val="64444E79"/>
    <w:rsid w:val="645F2068"/>
    <w:rsid w:val="64A5243A"/>
    <w:rsid w:val="64DE79C1"/>
    <w:rsid w:val="64E953CF"/>
    <w:rsid w:val="64EE2048"/>
    <w:rsid w:val="64F531DE"/>
    <w:rsid w:val="65373578"/>
    <w:rsid w:val="66440471"/>
    <w:rsid w:val="66CF753E"/>
    <w:rsid w:val="66E27DE7"/>
    <w:rsid w:val="671F124A"/>
    <w:rsid w:val="677A33C6"/>
    <w:rsid w:val="680F5027"/>
    <w:rsid w:val="681F6961"/>
    <w:rsid w:val="68610A2F"/>
    <w:rsid w:val="68805514"/>
    <w:rsid w:val="68AA02F5"/>
    <w:rsid w:val="68BE2840"/>
    <w:rsid w:val="69316E2F"/>
    <w:rsid w:val="69382EA5"/>
    <w:rsid w:val="694E2071"/>
    <w:rsid w:val="69551FF2"/>
    <w:rsid w:val="69766163"/>
    <w:rsid w:val="697A3B33"/>
    <w:rsid w:val="69CA51C1"/>
    <w:rsid w:val="69D44760"/>
    <w:rsid w:val="6A152539"/>
    <w:rsid w:val="6A3B2D23"/>
    <w:rsid w:val="6A520EC7"/>
    <w:rsid w:val="6A5520D0"/>
    <w:rsid w:val="6A780DC6"/>
    <w:rsid w:val="6A9723E2"/>
    <w:rsid w:val="6AC51B00"/>
    <w:rsid w:val="6AEB28BA"/>
    <w:rsid w:val="6AF63218"/>
    <w:rsid w:val="6AF87E20"/>
    <w:rsid w:val="6B322639"/>
    <w:rsid w:val="6BD47A7E"/>
    <w:rsid w:val="6C0C3ED0"/>
    <w:rsid w:val="6C2639AB"/>
    <w:rsid w:val="6C5F5F83"/>
    <w:rsid w:val="6C636C38"/>
    <w:rsid w:val="6CEA6F45"/>
    <w:rsid w:val="6D0B207B"/>
    <w:rsid w:val="6D934D10"/>
    <w:rsid w:val="6D9508E6"/>
    <w:rsid w:val="6DB34098"/>
    <w:rsid w:val="6DB545B6"/>
    <w:rsid w:val="6DD96B0E"/>
    <w:rsid w:val="6DE02FB4"/>
    <w:rsid w:val="6E514CED"/>
    <w:rsid w:val="6EB563D5"/>
    <w:rsid w:val="6EC605A0"/>
    <w:rsid w:val="6ED92677"/>
    <w:rsid w:val="6F225983"/>
    <w:rsid w:val="6F5B0AFB"/>
    <w:rsid w:val="6F8F0E00"/>
    <w:rsid w:val="6FFC5590"/>
    <w:rsid w:val="70521B8C"/>
    <w:rsid w:val="706D1DD0"/>
    <w:rsid w:val="70856B87"/>
    <w:rsid w:val="70D527EE"/>
    <w:rsid w:val="7118376C"/>
    <w:rsid w:val="715B5300"/>
    <w:rsid w:val="71D27F8A"/>
    <w:rsid w:val="72072064"/>
    <w:rsid w:val="721D0C69"/>
    <w:rsid w:val="723E0F5E"/>
    <w:rsid w:val="723F0308"/>
    <w:rsid w:val="725276B3"/>
    <w:rsid w:val="72553024"/>
    <w:rsid w:val="726D6BBC"/>
    <w:rsid w:val="727A7D16"/>
    <w:rsid w:val="729C14E2"/>
    <w:rsid w:val="72F370E2"/>
    <w:rsid w:val="72F47DBC"/>
    <w:rsid w:val="72FA7CE5"/>
    <w:rsid w:val="73122968"/>
    <w:rsid w:val="731F5D5E"/>
    <w:rsid w:val="734323CA"/>
    <w:rsid w:val="7366401E"/>
    <w:rsid w:val="73C51AD5"/>
    <w:rsid w:val="74052262"/>
    <w:rsid w:val="74123906"/>
    <w:rsid w:val="741E793C"/>
    <w:rsid w:val="745E3944"/>
    <w:rsid w:val="74A31149"/>
    <w:rsid w:val="74A37AED"/>
    <w:rsid w:val="752C63DB"/>
    <w:rsid w:val="76326989"/>
    <w:rsid w:val="7635099D"/>
    <w:rsid w:val="76C53DE8"/>
    <w:rsid w:val="76E57B5D"/>
    <w:rsid w:val="76FE721A"/>
    <w:rsid w:val="77262DE2"/>
    <w:rsid w:val="77495D61"/>
    <w:rsid w:val="77762421"/>
    <w:rsid w:val="77B56B1F"/>
    <w:rsid w:val="780B65A2"/>
    <w:rsid w:val="780F09F4"/>
    <w:rsid w:val="783877A1"/>
    <w:rsid w:val="783D7566"/>
    <w:rsid w:val="788C2DBC"/>
    <w:rsid w:val="788C6FE8"/>
    <w:rsid w:val="78A90480"/>
    <w:rsid w:val="78DD2BDC"/>
    <w:rsid w:val="78FD327E"/>
    <w:rsid w:val="793B4951"/>
    <w:rsid w:val="79A03745"/>
    <w:rsid w:val="79AE33FF"/>
    <w:rsid w:val="79B0149E"/>
    <w:rsid w:val="7A0E408A"/>
    <w:rsid w:val="7A364017"/>
    <w:rsid w:val="7A6135B9"/>
    <w:rsid w:val="7A8265E1"/>
    <w:rsid w:val="7A99716D"/>
    <w:rsid w:val="7AF7472C"/>
    <w:rsid w:val="7B1B4AB4"/>
    <w:rsid w:val="7B686D42"/>
    <w:rsid w:val="7B841746"/>
    <w:rsid w:val="7B9B705D"/>
    <w:rsid w:val="7B9C6D7F"/>
    <w:rsid w:val="7B9E3C4B"/>
    <w:rsid w:val="7C6C5AC7"/>
    <w:rsid w:val="7C720FD5"/>
    <w:rsid w:val="7CC6544B"/>
    <w:rsid w:val="7CC92A69"/>
    <w:rsid w:val="7CD729B1"/>
    <w:rsid w:val="7CEA3AEE"/>
    <w:rsid w:val="7D0239FF"/>
    <w:rsid w:val="7D1D7024"/>
    <w:rsid w:val="7D525D8D"/>
    <w:rsid w:val="7D5D0389"/>
    <w:rsid w:val="7D5E40CD"/>
    <w:rsid w:val="7DBC0EFA"/>
    <w:rsid w:val="7DCD56F2"/>
    <w:rsid w:val="7DCF030E"/>
    <w:rsid w:val="7DDB49E9"/>
    <w:rsid w:val="7E1C1164"/>
    <w:rsid w:val="7E585BD3"/>
    <w:rsid w:val="7E8F68D0"/>
    <w:rsid w:val="7EE35222"/>
    <w:rsid w:val="7F001CE7"/>
    <w:rsid w:val="7F4802C8"/>
    <w:rsid w:val="7F90360B"/>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semiHidden="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99" w:semiHidden="0" w:name="Normal Indent"/>
    <w:lsdException w:qFormat="1" w:unhideWhenUsed="0" w:uiPriority="0" w:name="footnote text"/>
    <w:lsdException w:qFormat="1" w:unhideWhenUsed="0" w:uiPriority="99" w:name="annotation text"/>
    <w:lsdException w:qFormat="1" w:unhideWhenUsed="0" w:uiPriority="0" w:semiHidden="0" w:name="header"/>
    <w:lsdException w:unhideWhenUsed="0" w:uiPriority="0" w:semiHidden="0" w:name="footer"/>
    <w:lsdException w:qFormat="1" w:unhideWhenUsed="0" w:uiPriority="0" w:name="index heading"/>
    <w:lsdException w:qFormat="1" w:unhideWhenUsed="0" w:uiPriority="0" w:semiHidden="0" w:name="caption"/>
    <w:lsdException w:qFormat="1" w:unhideWhenUsed="0"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iPriority="99"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name="annotation subject"/>
    <w:lsdException w:qFormat="1" w:unhideWhenUsed="0" w:uiPriority="0" w:semiHidden="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qFormat="1" w:unhideWhenUsed="0" w:uiPriority="0" w:semiHidden="0" w:name="Table Grid 2"/>
    <w:lsdException w:uiPriority="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uiPriority="0" w:name="Table List 1"/>
    <w:lsdException w:uiPriority="0" w:name="Table List 2"/>
    <w:lsdException w:qFormat="1" w:unhideWhenUsed="0" w:uiPriority="0" w:semiHidden="0" w:name="Table List 3"/>
    <w:lsdException w:uiPriority="0" w:name="Table List 4"/>
    <w:lsdException w:qFormat="1" w:unhideWhenUsed="0" w:uiPriority="0" w:semiHidden="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pPr>
    <w:rPr>
      <w:rFonts w:ascii="Times New Roman" w:hAnsi="Times New Roman" w:eastAsia="宋体" w:cs="Times New Roman"/>
      <w:kern w:val="2"/>
      <w:sz w:val="24"/>
      <w:szCs w:val="24"/>
      <w:lang w:val="en-US" w:eastAsia="zh-CN" w:bidi="ar-SA"/>
    </w:rPr>
  </w:style>
  <w:style w:type="paragraph" w:styleId="4">
    <w:name w:val="heading 1"/>
    <w:basedOn w:val="1"/>
    <w:next w:val="1"/>
    <w:link w:val="105"/>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114"/>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link w:val="104"/>
    <w:unhideWhenUsed/>
    <w:qFormat/>
    <w:uiPriority w:val="9"/>
    <w:pPr>
      <w:keepNext/>
      <w:keepLines/>
      <w:spacing w:before="260" w:after="260" w:line="416" w:lineRule="auto"/>
      <w:outlineLvl w:val="2"/>
    </w:pPr>
    <w:rPr>
      <w:b/>
      <w:bCs/>
      <w:sz w:val="32"/>
      <w:szCs w:val="32"/>
    </w:rPr>
  </w:style>
  <w:style w:type="paragraph" w:styleId="3">
    <w:name w:val="heading 4"/>
    <w:basedOn w:val="1"/>
    <w:next w:val="1"/>
    <w:link w:val="107"/>
    <w:qFormat/>
    <w:uiPriority w:val="9"/>
    <w:pPr>
      <w:keepNext/>
      <w:keepLines/>
      <w:spacing w:line="376" w:lineRule="auto"/>
      <w:outlineLvl w:val="3"/>
    </w:pPr>
    <w:rPr>
      <w:rFonts w:ascii="Arial" w:hAnsi="Arial" w:eastAsia="黑体"/>
      <w:b/>
      <w:bCs/>
      <w:sz w:val="28"/>
      <w:szCs w:val="28"/>
    </w:rPr>
  </w:style>
  <w:style w:type="paragraph" w:styleId="7">
    <w:name w:val="heading 5"/>
    <w:basedOn w:val="1"/>
    <w:next w:val="1"/>
    <w:link w:val="386"/>
    <w:qFormat/>
    <w:uiPriority w:val="0"/>
    <w:pPr>
      <w:keepNext/>
      <w:keepLines/>
      <w:tabs>
        <w:tab w:val="left" w:pos="1008"/>
      </w:tabs>
      <w:spacing w:before="280" w:after="290" w:line="376" w:lineRule="atLeast"/>
      <w:ind w:left="1008" w:hanging="1008"/>
      <w:outlineLvl w:val="4"/>
    </w:pPr>
    <w:rPr>
      <w:b/>
      <w:color w:val="000000"/>
      <w:kern w:val="24"/>
      <w:sz w:val="28"/>
      <w:szCs w:val="28"/>
    </w:rPr>
  </w:style>
  <w:style w:type="paragraph" w:styleId="8">
    <w:name w:val="heading 6"/>
    <w:basedOn w:val="1"/>
    <w:next w:val="1"/>
    <w:link w:val="387"/>
    <w:qFormat/>
    <w:uiPriority w:val="0"/>
    <w:pPr>
      <w:keepNext/>
      <w:keepLines/>
      <w:tabs>
        <w:tab w:val="left" w:pos="1152"/>
      </w:tabs>
      <w:spacing w:before="240" w:after="64" w:line="320" w:lineRule="atLeast"/>
      <w:ind w:left="1152" w:hanging="1152"/>
      <w:outlineLvl w:val="5"/>
    </w:pPr>
    <w:rPr>
      <w:rFonts w:ascii="Arial" w:hAnsi="Arial" w:eastAsia="黑体"/>
      <w:b/>
      <w:color w:val="000000"/>
      <w:kern w:val="24"/>
    </w:rPr>
  </w:style>
  <w:style w:type="paragraph" w:styleId="9">
    <w:name w:val="heading 7"/>
    <w:basedOn w:val="1"/>
    <w:next w:val="1"/>
    <w:link w:val="388"/>
    <w:qFormat/>
    <w:uiPriority w:val="0"/>
    <w:pPr>
      <w:keepNext/>
      <w:keepLines/>
      <w:tabs>
        <w:tab w:val="left" w:pos="1296"/>
      </w:tabs>
      <w:spacing w:before="240" w:after="64" w:line="320" w:lineRule="atLeast"/>
      <w:ind w:left="1296" w:hanging="1296"/>
      <w:outlineLvl w:val="6"/>
    </w:pPr>
    <w:rPr>
      <w:b/>
      <w:color w:val="000000"/>
      <w:kern w:val="24"/>
    </w:rPr>
  </w:style>
  <w:style w:type="paragraph" w:styleId="10">
    <w:name w:val="heading 8"/>
    <w:basedOn w:val="1"/>
    <w:next w:val="1"/>
    <w:link w:val="389"/>
    <w:qFormat/>
    <w:uiPriority w:val="0"/>
    <w:pPr>
      <w:keepNext/>
      <w:keepLines/>
      <w:tabs>
        <w:tab w:val="left" w:pos="1440"/>
      </w:tabs>
      <w:spacing w:before="240" w:after="64" w:line="320" w:lineRule="atLeast"/>
      <w:ind w:left="1440" w:hanging="1440"/>
      <w:outlineLvl w:val="7"/>
    </w:pPr>
    <w:rPr>
      <w:rFonts w:ascii="Arial" w:hAnsi="Arial" w:eastAsia="黑体"/>
      <w:bCs/>
      <w:color w:val="000000"/>
      <w:kern w:val="24"/>
    </w:rPr>
  </w:style>
  <w:style w:type="paragraph" w:styleId="11">
    <w:name w:val="heading 9"/>
    <w:basedOn w:val="1"/>
    <w:next w:val="1"/>
    <w:link w:val="390"/>
    <w:qFormat/>
    <w:uiPriority w:val="0"/>
    <w:pPr>
      <w:keepNext/>
      <w:keepLines/>
      <w:tabs>
        <w:tab w:val="left" w:pos="1584"/>
      </w:tabs>
      <w:spacing w:before="240" w:after="64" w:line="320" w:lineRule="atLeast"/>
      <w:ind w:left="1584" w:hanging="1584"/>
      <w:outlineLvl w:val="8"/>
    </w:pPr>
    <w:rPr>
      <w:rFonts w:ascii="Arial" w:hAnsi="Arial" w:eastAsia="黑体"/>
      <w:bCs/>
      <w:color w:val="000000"/>
      <w:kern w:val="24"/>
      <w:szCs w:val="21"/>
    </w:rPr>
  </w:style>
  <w:style w:type="character" w:default="1" w:styleId="95">
    <w:name w:val="Default Paragraph Font"/>
    <w:semiHidden/>
    <w:unhideWhenUsed/>
    <w:qFormat/>
    <w:uiPriority w:val="1"/>
  </w:style>
  <w:style w:type="table" w:default="1" w:styleId="7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158"/>
    <w:qFormat/>
    <w:uiPriority w:val="99"/>
    <w:pPr>
      <w:ind w:firstLine="420"/>
      <w:jc w:val="both"/>
    </w:pPr>
    <w:rPr>
      <w:sz w:val="21"/>
      <w:szCs w:val="21"/>
    </w:rPr>
  </w:style>
  <w:style w:type="paragraph" w:styleId="12">
    <w:name w:val="List 3"/>
    <w:basedOn w:val="1"/>
    <w:qFormat/>
    <w:uiPriority w:val="0"/>
    <w:pPr>
      <w:spacing w:line="480" w:lineRule="exact"/>
      <w:ind w:left="100" w:leftChars="400" w:hanging="200" w:hangingChars="200"/>
    </w:pPr>
    <w:rPr>
      <w:bCs/>
      <w:color w:val="000000"/>
      <w:kern w:val="24"/>
    </w:rPr>
  </w:style>
  <w:style w:type="paragraph" w:styleId="13">
    <w:name w:val="toc 7"/>
    <w:basedOn w:val="1"/>
    <w:next w:val="1"/>
    <w:semiHidden/>
    <w:qFormat/>
    <w:uiPriority w:val="0"/>
    <w:pPr>
      <w:ind w:left="2520" w:leftChars="1200"/>
    </w:pPr>
    <w:rPr>
      <w:bCs/>
      <w:color w:val="000000"/>
      <w:kern w:val="24"/>
    </w:rPr>
  </w:style>
  <w:style w:type="paragraph" w:styleId="14">
    <w:name w:val="List Number 2"/>
    <w:basedOn w:val="1"/>
    <w:qFormat/>
    <w:uiPriority w:val="0"/>
    <w:pPr>
      <w:tabs>
        <w:tab w:val="left" w:pos="780"/>
      </w:tabs>
      <w:spacing w:line="480" w:lineRule="exact"/>
      <w:ind w:left="780" w:leftChars="200" w:hanging="360" w:hangingChars="200"/>
    </w:pPr>
    <w:rPr>
      <w:bCs/>
      <w:color w:val="000000"/>
      <w:kern w:val="24"/>
    </w:rPr>
  </w:style>
  <w:style w:type="paragraph" w:styleId="15">
    <w:name w:val="Note Heading"/>
    <w:basedOn w:val="1"/>
    <w:next w:val="1"/>
    <w:link w:val="391"/>
    <w:qFormat/>
    <w:uiPriority w:val="0"/>
    <w:pPr>
      <w:jc w:val="center"/>
    </w:pPr>
    <w:rPr>
      <w:rFonts w:ascii="Sim Sun" w:hAnsi="Batang" w:cs="Batang"/>
      <w:bCs/>
      <w:color w:val="000000"/>
      <w:kern w:val="24"/>
      <w:szCs w:val="20"/>
    </w:rPr>
  </w:style>
  <w:style w:type="paragraph" w:styleId="16">
    <w:name w:val="List Bullet 4"/>
    <w:basedOn w:val="1"/>
    <w:qFormat/>
    <w:uiPriority w:val="0"/>
    <w:pPr>
      <w:tabs>
        <w:tab w:val="left" w:pos="1620"/>
      </w:tabs>
      <w:spacing w:line="480" w:lineRule="exact"/>
      <w:ind w:left="1620" w:leftChars="600" w:hanging="360" w:hangingChars="200"/>
    </w:pPr>
    <w:rPr>
      <w:bCs/>
      <w:color w:val="000000"/>
      <w:kern w:val="24"/>
    </w:rPr>
  </w:style>
  <w:style w:type="paragraph" w:styleId="17">
    <w:name w:val="index 8"/>
    <w:basedOn w:val="1"/>
    <w:next w:val="1"/>
    <w:semiHidden/>
    <w:qFormat/>
    <w:uiPriority w:val="0"/>
    <w:pPr>
      <w:ind w:left="2000" w:hanging="250"/>
    </w:pPr>
    <w:rPr>
      <w:rFonts w:ascii="ˎ̥" w:hAnsi="ˎ̥" w:eastAsia="FLGPEK+TimesNewRoman,Italic" w:cs="ˎ̥"/>
      <w:bCs/>
      <w:color w:val="000000"/>
      <w:spacing w:val="5"/>
      <w:kern w:val="24"/>
      <w:sz w:val="20"/>
      <w:szCs w:val="20"/>
    </w:rPr>
  </w:style>
  <w:style w:type="paragraph" w:styleId="18">
    <w:name w:val="List Number"/>
    <w:basedOn w:val="1"/>
    <w:qFormat/>
    <w:uiPriority w:val="0"/>
    <w:pPr>
      <w:tabs>
        <w:tab w:val="left" w:pos="360"/>
      </w:tabs>
      <w:spacing w:line="480" w:lineRule="exact"/>
      <w:ind w:left="360" w:hanging="360" w:hangingChars="200"/>
    </w:pPr>
    <w:rPr>
      <w:bCs/>
      <w:color w:val="000000"/>
      <w:kern w:val="24"/>
    </w:rPr>
  </w:style>
  <w:style w:type="paragraph" w:styleId="19">
    <w:name w:val="caption"/>
    <w:basedOn w:val="1"/>
    <w:next w:val="1"/>
    <w:link w:val="165"/>
    <w:qFormat/>
    <w:uiPriority w:val="0"/>
    <w:pPr>
      <w:keepNext/>
      <w:tabs>
        <w:tab w:val="left" w:pos="2445"/>
        <w:tab w:val="center" w:pos="4156"/>
      </w:tabs>
      <w:spacing w:beforeLines="50"/>
      <w:jc w:val="center"/>
    </w:pPr>
    <w:rPr>
      <w:rFonts w:cs="Arial"/>
      <w:b/>
      <w:snapToGrid w:val="0"/>
      <w:kern w:val="0"/>
    </w:rPr>
  </w:style>
  <w:style w:type="paragraph" w:styleId="20">
    <w:name w:val="index 5"/>
    <w:basedOn w:val="1"/>
    <w:next w:val="1"/>
    <w:semiHidden/>
    <w:qFormat/>
    <w:uiPriority w:val="0"/>
    <w:pPr>
      <w:ind w:left="1250" w:hanging="250"/>
    </w:pPr>
    <w:rPr>
      <w:rFonts w:ascii="ˎ̥" w:hAnsi="ˎ̥" w:eastAsia="FLGPEK+TimesNewRoman,Italic" w:cs="ˎ̥"/>
      <w:bCs/>
      <w:color w:val="000000"/>
      <w:spacing w:val="5"/>
      <w:kern w:val="24"/>
      <w:sz w:val="20"/>
      <w:szCs w:val="20"/>
    </w:rPr>
  </w:style>
  <w:style w:type="paragraph" w:styleId="21">
    <w:name w:val="List Bullet"/>
    <w:basedOn w:val="1"/>
    <w:qFormat/>
    <w:uiPriority w:val="0"/>
    <w:pPr>
      <w:tabs>
        <w:tab w:val="left" w:pos="360"/>
      </w:tabs>
      <w:spacing w:line="480" w:lineRule="exact"/>
      <w:ind w:left="360" w:hanging="360" w:hangingChars="200"/>
    </w:pPr>
    <w:rPr>
      <w:bCs/>
      <w:color w:val="000000"/>
      <w:kern w:val="24"/>
    </w:rPr>
  </w:style>
  <w:style w:type="paragraph" w:styleId="22">
    <w:name w:val="Document Map"/>
    <w:basedOn w:val="1"/>
    <w:link w:val="151"/>
    <w:unhideWhenUsed/>
    <w:qFormat/>
    <w:uiPriority w:val="99"/>
    <w:rPr>
      <w:rFonts w:ascii="宋体"/>
      <w:sz w:val="18"/>
      <w:szCs w:val="18"/>
    </w:rPr>
  </w:style>
  <w:style w:type="paragraph" w:styleId="23">
    <w:name w:val="annotation text"/>
    <w:basedOn w:val="1"/>
    <w:link w:val="115"/>
    <w:semiHidden/>
    <w:qFormat/>
    <w:uiPriority w:val="99"/>
    <w:rPr>
      <w:kern w:val="0"/>
      <w:szCs w:val="20"/>
    </w:rPr>
  </w:style>
  <w:style w:type="paragraph" w:styleId="24">
    <w:name w:val="index 6"/>
    <w:basedOn w:val="1"/>
    <w:next w:val="1"/>
    <w:qFormat/>
    <w:uiPriority w:val="0"/>
    <w:pPr>
      <w:ind w:left="1260" w:hanging="210"/>
    </w:pPr>
    <w:rPr>
      <w:rFonts w:ascii="ˎ̥" w:hAnsi="ˎ̥" w:eastAsia="FLGPEK+TimesNewRoman,Italic" w:cs="ˎ̥"/>
      <w:bCs/>
      <w:color w:val="000000"/>
      <w:kern w:val="24"/>
      <w:szCs w:val="20"/>
    </w:rPr>
  </w:style>
  <w:style w:type="paragraph" w:styleId="25">
    <w:name w:val="Salutation"/>
    <w:basedOn w:val="1"/>
    <w:next w:val="1"/>
    <w:link w:val="395"/>
    <w:qFormat/>
    <w:uiPriority w:val="0"/>
    <w:rPr>
      <w:rFonts w:ascii="Batang" w:hAnsi="Batang" w:cs="Batang"/>
      <w:bCs/>
      <w:color w:val="000000"/>
      <w:kern w:val="24"/>
      <w:sz w:val="28"/>
      <w:szCs w:val="20"/>
    </w:rPr>
  </w:style>
  <w:style w:type="paragraph" w:styleId="26">
    <w:name w:val="Body Text 3"/>
    <w:basedOn w:val="1"/>
    <w:link w:val="396"/>
    <w:qFormat/>
    <w:uiPriority w:val="0"/>
    <w:pPr>
      <w:snapToGrid w:val="0"/>
      <w:spacing w:beforeLines="20" w:afterLines="20" w:line="0" w:lineRule="atLeast"/>
      <w:jc w:val="right"/>
    </w:pPr>
    <w:rPr>
      <w:bCs/>
      <w:color w:val="000000"/>
      <w:kern w:val="24"/>
    </w:rPr>
  </w:style>
  <w:style w:type="paragraph" w:styleId="27">
    <w:name w:val="List Bullet 3"/>
    <w:basedOn w:val="1"/>
    <w:qFormat/>
    <w:uiPriority w:val="0"/>
    <w:pPr>
      <w:tabs>
        <w:tab w:val="left" w:pos="1200"/>
      </w:tabs>
      <w:spacing w:line="480" w:lineRule="exact"/>
      <w:ind w:left="1200" w:leftChars="400" w:hanging="360" w:hangingChars="200"/>
    </w:pPr>
    <w:rPr>
      <w:bCs/>
      <w:color w:val="000000"/>
      <w:kern w:val="24"/>
    </w:rPr>
  </w:style>
  <w:style w:type="paragraph" w:styleId="28">
    <w:name w:val="Body Text"/>
    <w:basedOn w:val="1"/>
    <w:next w:val="1"/>
    <w:link w:val="116"/>
    <w:qFormat/>
    <w:uiPriority w:val="99"/>
    <w:pPr>
      <w:widowControl/>
      <w:snapToGrid w:val="0"/>
      <w:spacing w:before="60" w:after="160" w:line="259" w:lineRule="auto"/>
      <w:ind w:right="113"/>
    </w:pPr>
    <w:rPr>
      <w:kern w:val="0"/>
      <w:sz w:val="18"/>
      <w:szCs w:val="20"/>
    </w:rPr>
  </w:style>
  <w:style w:type="paragraph" w:styleId="29">
    <w:name w:val="Body Text Indent"/>
    <w:basedOn w:val="1"/>
    <w:next w:val="1"/>
    <w:link w:val="117"/>
    <w:qFormat/>
    <w:uiPriority w:val="99"/>
    <w:pPr>
      <w:spacing w:after="120"/>
      <w:ind w:left="420" w:leftChars="200"/>
    </w:pPr>
    <w:rPr>
      <w:kern w:val="0"/>
      <w:szCs w:val="20"/>
    </w:rPr>
  </w:style>
  <w:style w:type="paragraph" w:styleId="30">
    <w:name w:val="List Number 3"/>
    <w:basedOn w:val="1"/>
    <w:qFormat/>
    <w:uiPriority w:val="0"/>
    <w:pPr>
      <w:tabs>
        <w:tab w:val="left" w:pos="1200"/>
      </w:tabs>
      <w:spacing w:line="480" w:lineRule="exact"/>
      <w:ind w:left="1200" w:leftChars="400" w:hanging="360" w:hangingChars="200"/>
    </w:pPr>
    <w:rPr>
      <w:bCs/>
      <w:color w:val="000000"/>
      <w:kern w:val="24"/>
    </w:rPr>
  </w:style>
  <w:style w:type="paragraph" w:styleId="31">
    <w:name w:val="List 2"/>
    <w:basedOn w:val="1"/>
    <w:qFormat/>
    <w:uiPriority w:val="0"/>
    <w:pPr>
      <w:spacing w:line="480" w:lineRule="exact"/>
      <w:ind w:left="100" w:leftChars="200" w:hanging="200" w:hangingChars="200"/>
    </w:pPr>
    <w:rPr>
      <w:bCs/>
      <w:color w:val="000000"/>
      <w:kern w:val="24"/>
    </w:rPr>
  </w:style>
  <w:style w:type="paragraph" w:styleId="32">
    <w:name w:val="Block Text"/>
    <w:basedOn w:val="1"/>
    <w:next w:val="1"/>
    <w:qFormat/>
    <w:uiPriority w:val="0"/>
    <w:pPr>
      <w:spacing w:line="320" w:lineRule="exact"/>
      <w:ind w:left="105" w:leftChars="50" w:right="105" w:firstLine="420"/>
      <w:jc w:val="center"/>
    </w:pPr>
    <w:rPr>
      <w:rFonts w:ascii="宋体" w:hAnsi="宋体"/>
      <w:szCs w:val="20"/>
    </w:rPr>
  </w:style>
  <w:style w:type="paragraph" w:styleId="33">
    <w:name w:val="List Bullet 2"/>
    <w:basedOn w:val="1"/>
    <w:qFormat/>
    <w:uiPriority w:val="0"/>
    <w:pPr>
      <w:tabs>
        <w:tab w:val="left" w:pos="780"/>
      </w:tabs>
      <w:spacing w:line="480" w:lineRule="exact"/>
      <w:ind w:left="780" w:hanging="360"/>
    </w:pPr>
    <w:rPr>
      <w:bCs/>
      <w:color w:val="000000"/>
      <w:kern w:val="24"/>
    </w:rPr>
  </w:style>
  <w:style w:type="paragraph" w:styleId="34">
    <w:name w:val="index 4"/>
    <w:basedOn w:val="1"/>
    <w:next w:val="1"/>
    <w:semiHidden/>
    <w:qFormat/>
    <w:uiPriority w:val="0"/>
    <w:pPr>
      <w:ind w:left="1000" w:hanging="250"/>
    </w:pPr>
    <w:rPr>
      <w:rFonts w:ascii="ˎ̥" w:hAnsi="ˎ̥" w:eastAsia="FLGPEK+TimesNewRoman,Italic" w:cs="ˎ̥"/>
      <w:bCs/>
      <w:color w:val="000000"/>
      <w:spacing w:val="5"/>
      <w:kern w:val="24"/>
      <w:sz w:val="20"/>
      <w:szCs w:val="20"/>
    </w:rPr>
  </w:style>
  <w:style w:type="paragraph" w:styleId="35">
    <w:name w:val="toc 5"/>
    <w:basedOn w:val="1"/>
    <w:next w:val="1"/>
    <w:semiHidden/>
    <w:qFormat/>
    <w:uiPriority w:val="0"/>
    <w:pPr>
      <w:ind w:left="1680" w:leftChars="800"/>
    </w:pPr>
    <w:rPr>
      <w:bCs/>
      <w:color w:val="000000"/>
      <w:kern w:val="24"/>
    </w:rPr>
  </w:style>
  <w:style w:type="paragraph" w:styleId="36">
    <w:name w:val="toc 3"/>
    <w:basedOn w:val="1"/>
    <w:next w:val="1"/>
    <w:qFormat/>
    <w:uiPriority w:val="39"/>
    <w:pPr>
      <w:ind w:left="840" w:leftChars="400"/>
    </w:pPr>
    <w:rPr>
      <w:bCs/>
      <w:color w:val="000000"/>
      <w:kern w:val="24"/>
    </w:rPr>
  </w:style>
  <w:style w:type="paragraph" w:styleId="37">
    <w:name w:val="Plain Text"/>
    <w:basedOn w:val="1"/>
    <w:next w:val="38"/>
    <w:link w:val="398"/>
    <w:qFormat/>
    <w:uiPriority w:val="0"/>
    <w:pPr>
      <w:widowControl/>
    </w:pPr>
    <w:rPr>
      <w:rFonts w:ascii="宋体" w:hAnsi="Courier New"/>
      <w:bCs/>
      <w:color w:val="000000"/>
      <w:kern w:val="0"/>
      <w:szCs w:val="20"/>
    </w:rPr>
  </w:style>
  <w:style w:type="paragraph" w:styleId="38">
    <w:name w:val="List Continue 5"/>
    <w:basedOn w:val="1"/>
    <w:unhideWhenUsed/>
    <w:qFormat/>
    <w:uiPriority w:val="99"/>
    <w:pPr>
      <w:spacing w:after="120"/>
      <w:ind w:left="2100" w:leftChars="1000"/>
    </w:pPr>
  </w:style>
  <w:style w:type="paragraph" w:styleId="39">
    <w:name w:val="List Bullet 5"/>
    <w:basedOn w:val="1"/>
    <w:qFormat/>
    <w:uiPriority w:val="0"/>
    <w:pPr>
      <w:tabs>
        <w:tab w:val="left" w:pos="2040"/>
      </w:tabs>
      <w:spacing w:line="480" w:lineRule="exact"/>
      <w:ind w:left="2040" w:leftChars="800" w:hanging="360" w:hangingChars="200"/>
    </w:pPr>
    <w:rPr>
      <w:bCs/>
      <w:color w:val="000000"/>
      <w:kern w:val="24"/>
    </w:rPr>
  </w:style>
  <w:style w:type="paragraph" w:styleId="40">
    <w:name w:val="List Number 4"/>
    <w:basedOn w:val="1"/>
    <w:qFormat/>
    <w:uiPriority w:val="0"/>
    <w:pPr>
      <w:tabs>
        <w:tab w:val="left" w:pos="1620"/>
      </w:tabs>
      <w:spacing w:line="480" w:lineRule="exact"/>
      <w:ind w:left="1620" w:leftChars="600" w:hanging="360" w:hangingChars="200"/>
    </w:pPr>
    <w:rPr>
      <w:bCs/>
      <w:color w:val="000000"/>
      <w:kern w:val="24"/>
    </w:rPr>
  </w:style>
  <w:style w:type="paragraph" w:styleId="41">
    <w:name w:val="toc 8"/>
    <w:basedOn w:val="1"/>
    <w:next w:val="1"/>
    <w:semiHidden/>
    <w:qFormat/>
    <w:uiPriority w:val="0"/>
    <w:pPr>
      <w:ind w:left="2940" w:leftChars="1400"/>
    </w:pPr>
    <w:rPr>
      <w:bCs/>
      <w:color w:val="000000"/>
      <w:kern w:val="24"/>
    </w:rPr>
  </w:style>
  <w:style w:type="paragraph" w:styleId="42">
    <w:name w:val="index 3"/>
    <w:basedOn w:val="1"/>
    <w:next w:val="1"/>
    <w:semiHidden/>
    <w:qFormat/>
    <w:uiPriority w:val="0"/>
    <w:pPr>
      <w:ind w:left="750" w:hanging="250"/>
    </w:pPr>
    <w:rPr>
      <w:rFonts w:ascii="ˎ̥" w:hAnsi="ˎ̥" w:eastAsia="FLGPEK+TimesNewRoman,Italic" w:cs="ˎ̥"/>
      <w:bCs/>
      <w:color w:val="000000"/>
      <w:spacing w:val="5"/>
      <w:kern w:val="24"/>
      <w:sz w:val="20"/>
      <w:szCs w:val="20"/>
    </w:rPr>
  </w:style>
  <w:style w:type="paragraph" w:styleId="43">
    <w:name w:val="Date"/>
    <w:basedOn w:val="1"/>
    <w:next w:val="1"/>
    <w:link w:val="118"/>
    <w:qFormat/>
    <w:uiPriority w:val="0"/>
    <w:pPr>
      <w:ind w:left="100" w:leftChars="2500"/>
    </w:pPr>
    <w:rPr>
      <w:kern w:val="0"/>
      <w:szCs w:val="20"/>
    </w:rPr>
  </w:style>
  <w:style w:type="paragraph" w:styleId="44">
    <w:name w:val="Body Text Indent 2"/>
    <w:basedOn w:val="1"/>
    <w:link w:val="399"/>
    <w:qFormat/>
    <w:uiPriority w:val="99"/>
    <w:pPr>
      <w:adjustRightInd w:val="0"/>
      <w:spacing w:line="480" w:lineRule="exact"/>
      <w:ind w:firstLine="567"/>
      <w:textAlignment w:val="baseline"/>
    </w:pPr>
    <w:rPr>
      <w:rFonts w:ascii="宋体" w:hAnsi="宋体"/>
      <w:bCs/>
      <w:color w:val="000000"/>
      <w:kern w:val="0"/>
      <w:sz w:val="28"/>
      <w:szCs w:val="28"/>
    </w:rPr>
  </w:style>
  <w:style w:type="paragraph" w:styleId="45">
    <w:name w:val="endnote text"/>
    <w:basedOn w:val="1"/>
    <w:link w:val="400"/>
    <w:qFormat/>
    <w:uiPriority w:val="0"/>
    <w:pPr>
      <w:snapToGrid w:val="0"/>
      <w:spacing w:line="480" w:lineRule="exact"/>
      <w:ind w:firstLine="200"/>
    </w:pPr>
    <w:rPr>
      <w:bCs/>
      <w:color w:val="000000"/>
      <w:kern w:val="24"/>
    </w:rPr>
  </w:style>
  <w:style w:type="paragraph" w:styleId="46">
    <w:name w:val="Balloon Text"/>
    <w:basedOn w:val="1"/>
    <w:link w:val="119"/>
    <w:qFormat/>
    <w:uiPriority w:val="99"/>
    <w:rPr>
      <w:kern w:val="0"/>
      <w:sz w:val="18"/>
      <w:szCs w:val="20"/>
    </w:rPr>
  </w:style>
  <w:style w:type="paragraph" w:styleId="47">
    <w:name w:val="header"/>
    <w:basedOn w:val="1"/>
    <w:next w:val="48"/>
    <w:link w:val="12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48">
    <w:name w:val="样式5"/>
    <w:basedOn w:val="49"/>
    <w:next w:val="45"/>
    <w:qFormat/>
    <w:uiPriority w:val="0"/>
    <w:pPr>
      <w:tabs>
        <w:tab w:val="left" w:pos="720"/>
        <w:tab w:val="left" w:pos="780"/>
      </w:tabs>
      <w:ind w:left="200" w:leftChars="200" w:hanging="200" w:hangingChars="200"/>
    </w:pPr>
  </w:style>
  <w:style w:type="paragraph" w:customStyle="1" w:styleId="49">
    <w:name w:val="正文1"/>
    <w:basedOn w:val="1"/>
    <w:next w:val="1"/>
    <w:link w:val="382"/>
    <w:qFormat/>
    <w:uiPriority w:val="0"/>
    <w:pPr>
      <w:adjustRightInd w:val="0"/>
      <w:snapToGrid w:val="0"/>
      <w:spacing w:line="480" w:lineRule="exact"/>
      <w:ind w:firstLine="200"/>
    </w:pPr>
    <w:rPr>
      <w:bCs/>
      <w:color w:val="000000"/>
      <w:kern w:val="24"/>
    </w:rPr>
  </w:style>
  <w:style w:type="paragraph" w:styleId="50">
    <w:name w:val="Signature"/>
    <w:basedOn w:val="1"/>
    <w:link w:val="401"/>
    <w:qFormat/>
    <w:uiPriority w:val="0"/>
    <w:pPr>
      <w:ind w:left="100" w:leftChars="2100"/>
    </w:pPr>
    <w:rPr>
      <w:rFonts w:ascii="FLGPEK+TimesNewRoman,Italic" w:hAnsi="ˎ̥" w:eastAsia="FLGPEK+TimesNewRoman,Italic" w:cs="ˎ̥"/>
      <w:bCs/>
      <w:color w:val="000000"/>
      <w:spacing w:val="5"/>
      <w:kern w:val="24"/>
      <w:sz w:val="25"/>
      <w:szCs w:val="25"/>
    </w:rPr>
  </w:style>
  <w:style w:type="paragraph" w:styleId="51">
    <w:name w:val="toc 1"/>
    <w:basedOn w:val="1"/>
    <w:next w:val="1"/>
    <w:qFormat/>
    <w:uiPriority w:val="39"/>
    <w:pPr>
      <w:jc w:val="center"/>
    </w:pPr>
    <w:rPr>
      <w:bCs/>
      <w:sz w:val="18"/>
      <w:szCs w:val="18"/>
    </w:rPr>
  </w:style>
  <w:style w:type="paragraph" w:styleId="52">
    <w:name w:val="List Continue 4"/>
    <w:basedOn w:val="1"/>
    <w:qFormat/>
    <w:uiPriority w:val="0"/>
    <w:pPr>
      <w:spacing w:after="120"/>
      <w:ind w:left="1680" w:leftChars="800"/>
    </w:pPr>
    <w:rPr>
      <w:rFonts w:ascii="Batang" w:hAnsi="Batang" w:cs="Batang"/>
      <w:bCs/>
      <w:color w:val="000000"/>
      <w:kern w:val="24"/>
    </w:rPr>
  </w:style>
  <w:style w:type="paragraph" w:styleId="53">
    <w:name w:val="toc 4"/>
    <w:basedOn w:val="1"/>
    <w:next w:val="1"/>
    <w:semiHidden/>
    <w:qFormat/>
    <w:uiPriority w:val="0"/>
    <w:pPr>
      <w:ind w:left="1260" w:leftChars="600"/>
    </w:pPr>
    <w:rPr>
      <w:bCs/>
      <w:color w:val="000000"/>
      <w:kern w:val="24"/>
    </w:rPr>
  </w:style>
  <w:style w:type="paragraph" w:styleId="54">
    <w:name w:val="index heading"/>
    <w:basedOn w:val="1"/>
    <w:next w:val="55"/>
    <w:semiHidden/>
    <w:qFormat/>
    <w:uiPriority w:val="0"/>
    <w:rPr>
      <w:rFonts w:ascii="Batang" w:hAnsi="Batang" w:cs="Batang"/>
      <w:bCs/>
      <w:color w:val="000000"/>
      <w:kern w:val="24"/>
    </w:rPr>
  </w:style>
  <w:style w:type="paragraph" w:styleId="55">
    <w:name w:val="index 1"/>
    <w:basedOn w:val="1"/>
    <w:next w:val="1"/>
    <w:semiHidden/>
    <w:qFormat/>
    <w:uiPriority w:val="0"/>
    <w:pPr>
      <w:snapToGrid w:val="0"/>
      <w:spacing w:beforeLines="10" w:line="360" w:lineRule="exact"/>
      <w:jc w:val="center"/>
    </w:pPr>
    <w:rPr>
      <w:bCs/>
      <w:color w:val="000000"/>
      <w:kern w:val="24"/>
    </w:rPr>
  </w:style>
  <w:style w:type="paragraph" w:styleId="56">
    <w:name w:val="Subtitle"/>
    <w:basedOn w:val="1"/>
    <w:link w:val="402"/>
    <w:qFormat/>
    <w:uiPriority w:val="0"/>
    <w:pPr>
      <w:adjustRightInd w:val="0"/>
      <w:snapToGrid w:val="0"/>
      <w:spacing w:before="120" w:after="120" w:line="240" w:lineRule="atLeast"/>
      <w:jc w:val="center"/>
      <w:outlineLvl w:val="1"/>
    </w:pPr>
    <w:rPr>
      <w:rFonts w:ascii="Batang" w:hAnsi="Batang" w:eastAsia="FLGPEK+TimesNewRoman,Italic" w:cs="ˎ̥"/>
      <w:color w:val="000000"/>
      <w:kern w:val="28"/>
      <w:szCs w:val="32"/>
    </w:rPr>
  </w:style>
  <w:style w:type="paragraph" w:styleId="57">
    <w:name w:val="List Number 5"/>
    <w:basedOn w:val="1"/>
    <w:qFormat/>
    <w:uiPriority w:val="0"/>
    <w:pPr>
      <w:tabs>
        <w:tab w:val="left" w:pos="2040"/>
      </w:tabs>
      <w:spacing w:line="480" w:lineRule="exact"/>
      <w:ind w:left="2040" w:leftChars="800" w:hanging="360" w:hangingChars="200"/>
    </w:pPr>
    <w:rPr>
      <w:bCs/>
      <w:color w:val="000000"/>
      <w:kern w:val="24"/>
    </w:rPr>
  </w:style>
  <w:style w:type="paragraph" w:styleId="58">
    <w:name w:val="List"/>
    <w:basedOn w:val="1"/>
    <w:qFormat/>
    <w:uiPriority w:val="0"/>
    <w:pPr>
      <w:spacing w:line="320" w:lineRule="exact"/>
      <w:jc w:val="center"/>
    </w:pPr>
    <w:rPr>
      <w:rFonts w:ascii="仿宋_GB2312" w:eastAsia="仿宋_GB2312"/>
      <w:bCs/>
      <w:snapToGrid w:val="0"/>
      <w:color w:val="000000"/>
      <w:kern w:val="24"/>
      <w:szCs w:val="20"/>
    </w:rPr>
  </w:style>
  <w:style w:type="paragraph" w:styleId="59">
    <w:name w:val="footnote text"/>
    <w:basedOn w:val="1"/>
    <w:link w:val="403"/>
    <w:semiHidden/>
    <w:qFormat/>
    <w:uiPriority w:val="0"/>
    <w:pPr>
      <w:snapToGrid w:val="0"/>
    </w:pPr>
    <w:rPr>
      <w:bCs/>
      <w:color w:val="000000"/>
      <w:kern w:val="24"/>
      <w:sz w:val="18"/>
      <w:szCs w:val="20"/>
    </w:rPr>
  </w:style>
  <w:style w:type="paragraph" w:styleId="60">
    <w:name w:val="toc 6"/>
    <w:basedOn w:val="1"/>
    <w:next w:val="1"/>
    <w:semiHidden/>
    <w:qFormat/>
    <w:uiPriority w:val="0"/>
    <w:pPr>
      <w:ind w:left="2100" w:leftChars="1000"/>
    </w:pPr>
    <w:rPr>
      <w:bCs/>
      <w:color w:val="000000"/>
      <w:kern w:val="24"/>
      <w:szCs w:val="20"/>
    </w:rPr>
  </w:style>
  <w:style w:type="paragraph" w:styleId="61">
    <w:name w:val="List 5"/>
    <w:basedOn w:val="1"/>
    <w:qFormat/>
    <w:uiPriority w:val="0"/>
    <w:pPr>
      <w:ind w:left="100" w:leftChars="800" w:hanging="200" w:hangingChars="200"/>
    </w:pPr>
    <w:rPr>
      <w:rFonts w:ascii="Batang" w:hAnsi="Batang" w:cs="Batang"/>
      <w:bCs/>
      <w:color w:val="000000"/>
      <w:kern w:val="24"/>
    </w:rPr>
  </w:style>
  <w:style w:type="paragraph" w:styleId="62">
    <w:name w:val="Body Text Indent 3"/>
    <w:basedOn w:val="1"/>
    <w:link w:val="404"/>
    <w:qFormat/>
    <w:uiPriority w:val="0"/>
    <w:pPr>
      <w:spacing w:after="120"/>
      <w:ind w:left="420" w:leftChars="200"/>
    </w:pPr>
    <w:rPr>
      <w:bCs/>
      <w:color w:val="000000"/>
      <w:kern w:val="24"/>
      <w:sz w:val="16"/>
      <w:szCs w:val="16"/>
    </w:rPr>
  </w:style>
  <w:style w:type="paragraph" w:styleId="63">
    <w:name w:val="index 7"/>
    <w:basedOn w:val="1"/>
    <w:next w:val="1"/>
    <w:semiHidden/>
    <w:qFormat/>
    <w:uiPriority w:val="0"/>
    <w:pPr>
      <w:ind w:left="1750" w:hanging="250"/>
    </w:pPr>
    <w:rPr>
      <w:rFonts w:ascii="ˎ̥" w:hAnsi="ˎ̥" w:eastAsia="FLGPEK+TimesNewRoman,Italic" w:cs="ˎ̥"/>
      <w:bCs/>
      <w:color w:val="000000"/>
      <w:spacing w:val="5"/>
      <w:kern w:val="24"/>
      <w:sz w:val="20"/>
      <w:szCs w:val="20"/>
    </w:rPr>
  </w:style>
  <w:style w:type="paragraph" w:styleId="64">
    <w:name w:val="index 9"/>
    <w:basedOn w:val="1"/>
    <w:next w:val="1"/>
    <w:semiHidden/>
    <w:qFormat/>
    <w:uiPriority w:val="0"/>
    <w:pPr>
      <w:ind w:left="2250" w:hanging="250"/>
    </w:pPr>
    <w:rPr>
      <w:rFonts w:ascii="ˎ̥" w:hAnsi="ˎ̥" w:eastAsia="FLGPEK+TimesNewRoman,Italic" w:cs="ˎ̥"/>
      <w:bCs/>
      <w:color w:val="000000"/>
      <w:spacing w:val="5"/>
      <w:kern w:val="24"/>
      <w:sz w:val="20"/>
      <w:szCs w:val="20"/>
    </w:rPr>
  </w:style>
  <w:style w:type="paragraph" w:styleId="65">
    <w:name w:val="table of figures"/>
    <w:basedOn w:val="1"/>
    <w:next w:val="1"/>
    <w:semiHidden/>
    <w:qFormat/>
    <w:uiPriority w:val="0"/>
    <w:pPr>
      <w:ind w:left="840" w:leftChars="200" w:hanging="420" w:hangingChars="200"/>
    </w:pPr>
    <w:rPr>
      <w:rFonts w:ascii="FLGPEK+TimesNewRoman,Italic" w:hAnsi="ˎ̥" w:eastAsia="FLGPEK+TimesNewRoman,Italic" w:cs="ˎ̥"/>
      <w:bCs/>
      <w:color w:val="000000"/>
      <w:kern w:val="24"/>
    </w:rPr>
  </w:style>
  <w:style w:type="paragraph" w:styleId="66">
    <w:name w:val="toc 2"/>
    <w:basedOn w:val="1"/>
    <w:next w:val="1"/>
    <w:qFormat/>
    <w:uiPriority w:val="39"/>
    <w:pPr>
      <w:ind w:left="420" w:leftChars="200"/>
    </w:pPr>
  </w:style>
  <w:style w:type="paragraph" w:styleId="67">
    <w:name w:val="toc 9"/>
    <w:basedOn w:val="1"/>
    <w:next w:val="1"/>
    <w:semiHidden/>
    <w:qFormat/>
    <w:uiPriority w:val="0"/>
    <w:pPr>
      <w:ind w:left="3360" w:leftChars="1600"/>
    </w:pPr>
    <w:rPr>
      <w:bCs/>
      <w:color w:val="000000"/>
      <w:kern w:val="24"/>
    </w:rPr>
  </w:style>
  <w:style w:type="paragraph" w:styleId="68">
    <w:name w:val="Body Text 2"/>
    <w:basedOn w:val="1"/>
    <w:link w:val="405"/>
    <w:qFormat/>
    <w:uiPriority w:val="0"/>
    <w:pPr>
      <w:spacing w:after="120" w:line="480" w:lineRule="auto"/>
    </w:pPr>
    <w:rPr>
      <w:bCs/>
      <w:color w:val="000000"/>
      <w:kern w:val="24"/>
    </w:rPr>
  </w:style>
  <w:style w:type="paragraph" w:styleId="69">
    <w:name w:val="List 4"/>
    <w:basedOn w:val="1"/>
    <w:qFormat/>
    <w:uiPriority w:val="0"/>
    <w:pPr>
      <w:ind w:left="100" w:leftChars="600" w:hanging="200" w:hangingChars="200"/>
    </w:pPr>
    <w:rPr>
      <w:rFonts w:ascii="Batang" w:hAnsi="Batang" w:cs="Batang"/>
      <w:bCs/>
      <w:color w:val="000000"/>
      <w:kern w:val="24"/>
    </w:rPr>
  </w:style>
  <w:style w:type="paragraph" w:styleId="70">
    <w:name w:val="List Continue 2"/>
    <w:basedOn w:val="1"/>
    <w:qFormat/>
    <w:uiPriority w:val="0"/>
    <w:pPr>
      <w:spacing w:after="120" w:line="480" w:lineRule="exact"/>
      <w:ind w:left="840" w:leftChars="400" w:firstLine="200"/>
    </w:pPr>
    <w:rPr>
      <w:bCs/>
      <w:color w:val="000000"/>
      <w:kern w:val="24"/>
    </w:rPr>
  </w:style>
  <w:style w:type="paragraph" w:styleId="71">
    <w:name w:val="HTML Preformatted"/>
    <w:basedOn w:val="1"/>
    <w:link w:val="12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rPr>
  </w:style>
  <w:style w:type="paragraph" w:styleId="72">
    <w:name w:val="Normal (Web)"/>
    <w:basedOn w:val="1"/>
    <w:link w:val="122"/>
    <w:qFormat/>
    <w:uiPriority w:val="99"/>
    <w:pPr>
      <w:widowControl/>
      <w:spacing w:before="100" w:beforeAutospacing="1" w:after="100" w:afterAutospacing="1"/>
    </w:pPr>
    <w:rPr>
      <w:rFonts w:ascii="宋体" w:hAnsi="宋体"/>
      <w:kern w:val="0"/>
      <w:szCs w:val="20"/>
    </w:rPr>
  </w:style>
  <w:style w:type="paragraph" w:styleId="73">
    <w:name w:val="List Continue 3"/>
    <w:basedOn w:val="1"/>
    <w:qFormat/>
    <w:uiPriority w:val="0"/>
    <w:pPr>
      <w:spacing w:after="120"/>
      <w:ind w:left="1260" w:leftChars="600"/>
    </w:pPr>
    <w:rPr>
      <w:rFonts w:ascii="Batang" w:hAnsi="Batang" w:cs="Batang"/>
      <w:bCs/>
      <w:color w:val="000000"/>
      <w:kern w:val="24"/>
    </w:rPr>
  </w:style>
  <w:style w:type="paragraph" w:styleId="74">
    <w:name w:val="index 2"/>
    <w:basedOn w:val="1"/>
    <w:next w:val="1"/>
    <w:semiHidden/>
    <w:qFormat/>
    <w:uiPriority w:val="0"/>
    <w:pPr>
      <w:ind w:left="500" w:hanging="250"/>
    </w:pPr>
    <w:rPr>
      <w:rFonts w:ascii="ˎ̥" w:hAnsi="ˎ̥" w:eastAsia="FLGPEK+TimesNewRoman,Italic" w:cs="ˎ̥"/>
      <w:bCs/>
      <w:color w:val="000000"/>
      <w:spacing w:val="5"/>
      <w:kern w:val="24"/>
      <w:sz w:val="20"/>
      <w:szCs w:val="20"/>
    </w:rPr>
  </w:style>
  <w:style w:type="paragraph" w:styleId="75">
    <w:name w:val="Title"/>
    <w:basedOn w:val="1"/>
    <w:next w:val="1"/>
    <w:link w:val="123"/>
    <w:qFormat/>
    <w:uiPriority w:val="0"/>
    <w:pPr>
      <w:jc w:val="center"/>
    </w:pPr>
    <w:rPr>
      <w:rFonts w:eastAsia="仿宋_GB2312"/>
      <w:bCs/>
      <w:kern w:val="0"/>
      <w:szCs w:val="21"/>
    </w:rPr>
  </w:style>
  <w:style w:type="paragraph" w:styleId="76">
    <w:name w:val="annotation subject"/>
    <w:basedOn w:val="23"/>
    <w:next w:val="23"/>
    <w:link w:val="124"/>
    <w:semiHidden/>
    <w:qFormat/>
    <w:uiPriority w:val="0"/>
    <w:rPr>
      <w:b/>
      <w:kern w:val="2"/>
    </w:rPr>
  </w:style>
  <w:style w:type="paragraph" w:styleId="77">
    <w:name w:val="Body Text First Indent"/>
    <w:basedOn w:val="28"/>
    <w:link w:val="407"/>
    <w:qFormat/>
    <w:uiPriority w:val="99"/>
    <w:pPr>
      <w:widowControl w:val="0"/>
      <w:adjustRightInd w:val="0"/>
      <w:snapToGrid/>
      <w:spacing w:before="0" w:after="0" w:line="312" w:lineRule="auto"/>
      <w:ind w:right="0" w:firstLine="567"/>
      <w:textAlignment w:val="baseline"/>
    </w:pPr>
    <w:rPr>
      <w:bCs/>
      <w:color w:val="000000"/>
      <w:kern w:val="24"/>
      <w:sz w:val="24"/>
      <w:szCs w:val="24"/>
    </w:rPr>
  </w:style>
  <w:style w:type="paragraph" w:styleId="78">
    <w:name w:val="Body Text First Indent 2"/>
    <w:basedOn w:val="29"/>
    <w:next w:val="1"/>
    <w:link w:val="125"/>
    <w:qFormat/>
    <w:uiPriority w:val="0"/>
    <w:pPr>
      <w:ind w:firstLine="420"/>
    </w:pPr>
    <w:rPr>
      <w:kern w:val="2"/>
      <w:sz w:val="21"/>
      <w:szCs w:val="24"/>
    </w:rPr>
  </w:style>
  <w:style w:type="table" w:styleId="80">
    <w:name w:val="Table Grid"/>
    <w:basedOn w:val="7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1">
    <w:name w:val="Table Theme"/>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2">
    <w:name w:val="Table Elegant"/>
    <w:basedOn w:val="79"/>
    <w:qFormat/>
    <w:uiPriority w:val="0"/>
    <w:pPr>
      <w:widowControl w:val="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3">
    <w:name w:val="Table Classic 1"/>
    <w:basedOn w:val="79"/>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4">
    <w:name w:val="Table Simple 1"/>
    <w:basedOn w:val="79"/>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5">
    <w:name w:val="Table List 3"/>
    <w:basedOn w:val="79"/>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86">
    <w:name w:val="Table List 5"/>
    <w:basedOn w:val="7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87">
    <w:name w:val="Table Grid 1"/>
    <w:basedOn w:val="79"/>
    <w:qFormat/>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8">
    <w:name w:val="Table Grid 2"/>
    <w:basedOn w:val="79"/>
    <w:qFormat/>
    <w:uiPriority w:val="0"/>
    <w:pPr>
      <w:widowControl w:val="0"/>
      <w:spacing w:line="460" w:lineRule="exact"/>
      <w:ind w:firstLine="480" w:firstLineChars="20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89">
    <w:name w:val="Table Grid 4"/>
    <w:basedOn w:val="79"/>
    <w:qFormat/>
    <w:uiPriority w:val="0"/>
    <w:pPr>
      <w:widowControl w:val="0"/>
      <w:jc w:val="both"/>
    </w:pPr>
    <w:rPr>
      <w:rFonts w:ascii="ˎ̥" w:hAnsi="ˎ̥" w:eastAsia="FLGPEK+TimesNewRoman,Italic" w:cs="ˎ̥"/>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0">
    <w:name w:val="Table Grid 5"/>
    <w:basedOn w:val="79"/>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1">
    <w:name w:val="Table Grid 6"/>
    <w:basedOn w:val="79"/>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2">
    <w:name w:val="Table Grid 7"/>
    <w:basedOn w:val="7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3">
    <w:name w:val="Table Grid 8"/>
    <w:basedOn w:val="79"/>
    <w:qFormat/>
    <w:uiPriority w:val="0"/>
    <w:pPr>
      <w:widowControl w:val="0"/>
      <w:jc w:val="both"/>
    </w:pPr>
    <w:rPr>
      <w:rFonts w:ascii="Batang" w:hAnsi="Batang" w:cs="Batang"/>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4">
    <w:name w:val="Table Professional"/>
    <w:basedOn w:val="79"/>
    <w:qFormat/>
    <w:uiPriority w:val="0"/>
    <w:pPr>
      <w:widowControl w:val="0"/>
      <w:jc w:val="both"/>
    </w:pPr>
    <w:rPr>
      <w:rFonts w:ascii="Batang" w:hAnsi="Batang" w:cs="Batang"/>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6">
    <w:name w:val="Strong"/>
    <w:basedOn w:val="95"/>
    <w:qFormat/>
    <w:uiPriority w:val="0"/>
    <w:rPr>
      <w:b/>
    </w:rPr>
  </w:style>
  <w:style w:type="character" w:styleId="97">
    <w:name w:val="endnote reference"/>
    <w:qFormat/>
    <w:uiPriority w:val="0"/>
    <w:rPr>
      <w:vertAlign w:val="superscript"/>
    </w:rPr>
  </w:style>
  <w:style w:type="character" w:styleId="98">
    <w:name w:val="page number"/>
    <w:basedOn w:val="95"/>
    <w:qFormat/>
    <w:uiPriority w:val="0"/>
  </w:style>
  <w:style w:type="character" w:styleId="99">
    <w:name w:val="Emphasis"/>
    <w:qFormat/>
    <w:uiPriority w:val="0"/>
    <w:rPr>
      <w:i/>
      <w:iCs/>
    </w:rPr>
  </w:style>
  <w:style w:type="character" w:styleId="100">
    <w:name w:val="HTML Typewriter"/>
    <w:qFormat/>
    <w:uiPriority w:val="0"/>
    <w:rPr>
      <w:rFonts w:ascii="Arial Unicode MS" w:hAnsi="Arial Unicode MS" w:eastAsia="Arial Unicode MS" w:cs="Arial Unicode MS"/>
      <w:spacing w:val="312"/>
      <w:sz w:val="24"/>
      <w:szCs w:val="24"/>
    </w:rPr>
  </w:style>
  <w:style w:type="character" w:styleId="101">
    <w:name w:val="Hyperlink"/>
    <w:unhideWhenUsed/>
    <w:qFormat/>
    <w:uiPriority w:val="99"/>
    <w:rPr>
      <w:color w:val="0000FF"/>
      <w:u w:val="single"/>
    </w:rPr>
  </w:style>
  <w:style w:type="character" w:styleId="102">
    <w:name w:val="annotation reference"/>
    <w:semiHidden/>
    <w:qFormat/>
    <w:uiPriority w:val="0"/>
    <w:rPr>
      <w:sz w:val="21"/>
    </w:rPr>
  </w:style>
  <w:style w:type="character" w:customStyle="1" w:styleId="103">
    <w:name w:val="标题 2 Char"/>
    <w:qFormat/>
    <w:uiPriority w:val="9"/>
    <w:rPr>
      <w:rFonts w:ascii="Cambria" w:hAnsi="Cambria"/>
      <w:b/>
      <w:bCs/>
      <w:kern w:val="2"/>
      <w:sz w:val="32"/>
      <w:szCs w:val="32"/>
    </w:rPr>
  </w:style>
  <w:style w:type="character" w:customStyle="1" w:styleId="104">
    <w:name w:val="标题 3 字符"/>
    <w:basedOn w:val="95"/>
    <w:link w:val="6"/>
    <w:qFormat/>
    <w:uiPriority w:val="9"/>
    <w:rPr>
      <w:b/>
      <w:bCs/>
      <w:kern w:val="2"/>
      <w:sz w:val="32"/>
      <w:szCs w:val="32"/>
    </w:rPr>
  </w:style>
  <w:style w:type="character" w:customStyle="1" w:styleId="105">
    <w:name w:val="标题 1 字符"/>
    <w:link w:val="4"/>
    <w:qFormat/>
    <w:uiPriority w:val="9"/>
    <w:rPr>
      <w:rFonts w:eastAsia="黑体"/>
      <w:b/>
      <w:bCs/>
      <w:color w:val="000000"/>
      <w:kern w:val="44"/>
      <w:sz w:val="30"/>
      <w:szCs w:val="30"/>
    </w:rPr>
  </w:style>
  <w:style w:type="paragraph" w:customStyle="1" w:styleId="106">
    <w:name w:val="标题4"/>
    <w:basedOn w:val="3"/>
    <w:next w:val="1"/>
    <w:qFormat/>
    <w:uiPriority w:val="0"/>
    <w:pPr>
      <w:spacing w:line="360" w:lineRule="auto"/>
      <w:ind w:left="119" w:firstLine="200"/>
    </w:pPr>
    <w:rPr>
      <w:rFonts w:ascii="仿宋_GB2312" w:eastAsia="仿宋_GB2312" w:cs="宋体"/>
      <w:b w:val="0"/>
      <w:bCs w:val="0"/>
      <w:sz w:val="24"/>
      <w:szCs w:val="20"/>
    </w:rPr>
  </w:style>
  <w:style w:type="character" w:customStyle="1" w:styleId="107">
    <w:name w:val="标题 4 字符"/>
    <w:basedOn w:val="95"/>
    <w:link w:val="3"/>
    <w:qFormat/>
    <w:uiPriority w:val="9"/>
    <w:rPr>
      <w:rFonts w:ascii="Arial" w:hAnsi="Arial" w:eastAsia="黑体"/>
      <w:b/>
      <w:bCs/>
      <w:kern w:val="2"/>
      <w:sz w:val="28"/>
      <w:szCs w:val="28"/>
    </w:rPr>
  </w:style>
  <w:style w:type="paragraph" w:customStyle="1" w:styleId="108">
    <w:name w:val="style4"/>
    <w:basedOn w:val="1"/>
    <w:next w:val="109"/>
    <w:qFormat/>
    <w:uiPriority w:val="0"/>
    <w:pPr>
      <w:widowControl/>
      <w:spacing w:before="100" w:beforeAutospacing="1" w:after="100" w:afterAutospacing="1" w:line="450" w:lineRule="atLeast"/>
    </w:pPr>
    <w:rPr>
      <w:rFonts w:ascii="Arial Unicode MS" w:hAnsi="Arial Unicode MS" w:eastAsia="Arial Unicode MS" w:cs="Arial Unicode MS"/>
      <w:bCs/>
      <w:color w:val="000000"/>
      <w:kern w:val="0"/>
      <w:szCs w:val="21"/>
    </w:rPr>
  </w:style>
  <w:style w:type="paragraph" w:customStyle="1" w:styleId="109">
    <w:name w:val="2"/>
    <w:basedOn w:val="110"/>
    <w:next w:val="62"/>
    <w:qFormat/>
    <w:uiPriority w:val="0"/>
    <w:pPr>
      <w:snapToGrid w:val="0"/>
      <w:spacing w:beforeLines="20" w:afterLines="20" w:line="0" w:lineRule="atLeast"/>
      <w:jc w:val="right"/>
    </w:pPr>
    <w:rPr>
      <w:kern w:val="24"/>
    </w:rPr>
  </w:style>
  <w:style w:type="paragraph" w:customStyle="1" w:styleId="110">
    <w:name w:val="1"/>
    <w:basedOn w:val="1"/>
    <w:next w:val="37"/>
    <w:qFormat/>
    <w:uiPriority w:val="0"/>
    <w:pPr>
      <w:ind w:firstLine="480"/>
    </w:pPr>
    <w:rPr>
      <w:rFonts w:ascii="Arial" w:hAnsi="Arial"/>
      <w:bCs/>
      <w:snapToGrid w:val="0"/>
      <w:color w:val="000000"/>
      <w:kern w:val="0"/>
      <w:szCs w:val="20"/>
    </w:rPr>
  </w:style>
  <w:style w:type="paragraph" w:customStyle="1" w:styleId="111">
    <w:name w:val="Default"/>
    <w:basedOn w:val="112"/>
    <w:next w:val="20"/>
    <w:link w:val="148"/>
    <w:qFormat/>
    <w:uiPriority w:val="99"/>
    <w:pPr>
      <w:autoSpaceDE w:val="0"/>
      <w:autoSpaceDN w:val="0"/>
      <w:adjustRightInd w:val="0"/>
    </w:pPr>
    <w:rPr>
      <w:rFonts w:ascii="宋体" w:eastAsia="宋体"/>
      <w:color w:val="000000"/>
      <w:sz w:val="24"/>
      <w:szCs w:val="24"/>
    </w:rPr>
  </w:style>
  <w:style w:type="paragraph" w:customStyle="1" w:styleId="112">
    <w:name w:val="表格内容"/>
    <w:basedOn w:val="1"/>
    <w:link w:val="197"/>
    <w:qFormat/>
    <w:uiPriority w:val="0"/>
    <w:pPr>
      <w:spacing w:line="320" w:lineRule="exact"/>
      <w:jc w:val="center"/>
    </w:pPr>
    <w:rPr>
      <w:rFonts w:eastAsia="楷体_GB2312"/>
      <w:spacing w:val="10"/>
      <w:sz w:val="28"/>
      <w:szCs w:val="20"/>
    </w:rPr>
  </w:style>
  <w:style w:type="paragraph" w:customStyle="1" w:styleId="113">
    <w:name w:val="纯文本1"/>
    <w:basedOn w:val="1"/>
    <w:qFormat/>
    <w:uiPriority w:val="0"/>
    <w:pPr>
      <w:adjustRightInd w:val="0"/>
      <w:textAlignment w:val="baseline"/>
    </w:pPr>
    <w:rPr>
      <w:rFonts w:ascii="宋体" w:hAnsi="Courier New"/>
      <w:bCs/>
      <w:color w:val="000000"/>
      <w:kern w:val="24"/>
      <w:szCs w:val="20"/>
    </w:rPr>
  </w:style>
  <w:style w:type="character" w:customStyle="1" w:styleId="114">
    <w:name w:val="标题 2 字符"/>
    <w:link w:val="5"/>
    <w:qFormat/>
    <w:uiPriority w:val="0"/>
    <w:rPr>
      <w:rFonts w:ascii="Cambria" w:hAnsi="Cambria"/>
      <w:b/>
      <w:bCs/>
      <w:kern w:val="2"/>
      <w:sz w:val="32"/>
      <w:szCs w:val="32"/>
    </w:rPr>
  </w:style>
  <w:style w:type="character" w:customStyle="1" w:styleId="115">
    <w:name w:val="批注文字 字符"/>
    <w:link w:val="23"/>
    <w:qFormat/>
    <w:uiPriority w:val="0"/>
    <w:rPr>
      <w:rFonts w:ascii="Times New Roman" w:hAnsi="Times New Roman" w:eastAsia="宋体"/>
      <w:sz w:val="24"/>
    </w:rPr>
  </w:style>
  <w:style w:type="character" w:customStyle="1" w:styleId="116">
    <w:name w:val="正文文本 字符"/>
    <w:link w:val="28"/>
    <w:qFormat/>
    <w:uiPriority w:val="0"/>
    <w:rPr>
      <w:sz w:val="18"/>
    </w:rPr>
  </w:style>
  <w:style w:type="character" w:customStyle="1" w:styleId="117">
    <w:name w:val="正文文本缩进 字符"/>
    <w:link w:val="29"/>
    <w:qFormat/>
    <w:uiPriority w:val="0"/>
    <w:rPr>
      <w:rFonts w:ascii="Times New Roman" w:hAnsi="Times New Roman" w:eastAsia="宋体"/>
      <w:sz w:val="24"/>
    </w:rPr>
  </w:style>
  <w:style w:type="character" w:customStyle="1" w:styleId="118">
    <w:name w:val="日期 字符1"/>
    <w:link w:val="43"/>
    <w:qFormat/>
    <w:uiPriority w:val="0"/>
    <w:rPr>
      <w:rFonts w:ascii="Times New Roman" w:hAnsi="Times New Roman" w:eastAsia="宋体"/>
      <w:sz w:val="24"/>
    </w:rPr>
  </w:style>
  <w:style w:type="character" w:customStyle="1" w:styleId="119">
    <w:name w:val="批注框文本 字符"/>
    <w:link w:val="46"/>
    <w:qFormat/>
    <w:uiPriority w:val="99"/>
    <w:rPr>
      <w:rFonts w:ascii="Times New Roman" w:hAnsi="Times New Roman" w:eastAsia="宋体"/>
      <w:sz w:val="18"/>
    </w:rPr>
  </w:style>
  <w:style w:type="character" w:customStyle="1" w:styleId="120">
    <w:name w:val="页眉 字符"/>
    <w:link w:val="47"/>
    <w:qFormat/>
    <w:uiPriority w:val="0"/>
    <w:rPr>
      <w:sz w:val="18"/>
    </w:rPr>
  </w:style>
  <w:style w:type="character" w:customStyle="1" w:styleId="121">
    <w:name w:val="HTML 预设格式 字符"/>
    <w:basedOn w:val="95"/>
    <w:link w:val="71"/>
    <w:qFormat/>
    <w:uiPriority w:val="0"/>
    <w:rPr>
      <w:rFonts w:ascii="宋体" w:hAnsi="宋体" w:cs="宋体"/>
      <w:sz w:val="24"/>
      <w:szCs w:val="24"/>
    </w:rPr>
  </w:style>
  <w:style w:type="character" w:customStyle="1" w:styleId="122">
    <w:name w:val="普通(网站) 字符"/>
    <w:link w:val="72"/>
    <w:qFormat/>
    <w:uiPriority w:val="0"/>
    <w:rPr>
      <w:rFonts w:ascii="宋体" w:hAnsi="宋体" w:eastAsia="宋体"/>
      <w:sz w:val="24"/>
    </w:rPr>
  </w:style>
  <w:style w:type="character" w:customStyle="1" w:styleId="123">
    <w:name w:val="标题 字符"/>
    <w:basedOn w:val="95"/>
    <w:link w:val="75"/>
    <w:qFormat/>
    <w:uiPriority w:val="0"/>
    <w:rPr>
      <w:rFonts w:eastAsia="仿宋_GB2312"/>
      <w:bCs/>
      <w:sz w:val="21"/>
      <w:szCs w:val="21"/>
    </w:rPr>
  </w:style>
  <w:style w:type="character" w:customStyle="1" w:styleId="124">
    <w:name w:val="批注主题 字符"/>
    <w:link w:val="76"/>
    <w:semiHidden/>
    <w:qFormat/>
    <w:uiPriority w:val="0"/>
    <w:rPr>
      <w:rFonts w:ascii="Times New Roman" w:hAnsi="Times New Roman" w:eastAsia="宋体"/>
      <w:b/>
      <w:kern w:val="2"/>
      <w:sz w:val="24"/>
    </w:rPr>
  </w:style>
  <w:style w:type="character" w:customStyle="1" w:styleId="125">
    <w:name w:val="正文文本首行缩进 2 字符"/>
    <w:link w:val="78"/>
    <w:qFormat/>
    <w:uiPriority w:val="99"/>
    <w:rPr>
      <w:rFonts w:ascii="Times New Roman" w:hAnsi="Times New Roman" w:eastAsia="宋体"/>
      <w:kern w:val="2"/>
      <w:sz w:val="21"/>
      <w:szCs w:val="24"/>
    </w:rPr>
  </w:style>
  <w:style w:type="character" w:customStyle="1" w:styleId="126">
    <w:name w:val="正文文本 字符1"/>
    <w:semiHidden/>
    <w:qFormat/>
    <w:uiPriority w:val="0"/>
    <w:rPr>
      <w:rFonts w:ascii="Times New Roman" w:hAnsi="Times New Roman" w:eastAsia="宋体"/>
      <w:sz w:val="24"/>
    </w:rPr>
  </w:style>
  <w:style w:type="character" w:customStyle="1" w:styleId="127">
    <w:name w:val="表格 Char"/>
    <w:link w:val="128"/>
    <w:qFormat/>
    <w:uiPriority w:val="0"/>
    <w:rPr>
      <w:rFonts w:ascii="宋体"/>
      <w:sz w:val="21"/>
    </w:rPr>
  </w:style>
  <w:style w:type="paragraph" w:customStyle="1" w:styleId="128">
    <w:name w:val="表格"/>
    <w:basedOn w:val="2"/>
    <w:next w:val="1"/>
    <w:link w:val="127"/>
    <w:qFormat/>
    <w:uiPriority w:val="0"/>
    <w:pPr>
      <w:adjustRightInd w:val="0"/>
      <w:snapToGrid w:val="0"/>
      <w:spacing w:beforeLines="10" w:afterLines="10" w:line="259" w:lineRule="auto"/>
      <w:jc w:val="center"/>
    </w:pPr>
    <w:rPr>
      <w:rFonts w:ascii="宋体"/>
      <w:kern w:val="0"/>
      <w:szCs w:val="20"/>
    </w:rPr>
  </w:style>
  <w:style w:type="character" w:customStyle="1" w:styleId="129">
    <w:name w:val="日期 字符"/>
    <w:semiHidden/>
    <w:qFormat/>
    <w:uiPriority w:val="0"/>
    <w:rPr>
      <w:rFonts w:ascii="Times New Roman" w:hAnsi="Times New Roman" w:eastAsia="宋体"/>
      <w:sz w:val="24"/>
    </w:rPr>
  </w:style>
  <w:style w:type="character" w:customStyle="1" w:styleId="130">
    <w:name w:val="批注文字 字符1"/>
    <w:semiHidden/>
    <w:qFormat/>
    <w:uiPriority w:val="0"/>
    <w:rPr>
      <w:rFonts w:ascii="Times New Roman" w:hAnsi="Times New Roman" w:eastAsia="宋体"/>
      <w:sz w:val="24"/>
    </w:rPr>
  </w:style>
  <w:style w:type="paragraph" w:customStyle="1" w:styleId="13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2">
    <w:name w:val="普通(网站)2"/>
    <w:basedOn w:val="1"/>
    <w:qFormat/>
    <w:uiPriority w:val="0"/>
    <w:pPr>
      <w:widowControl/>
      <w:spacing w:before="100" w:beforeAutospacing="1" w:after="100" w:afterAutospacing="1"/>
    </w:pPr>
    <w:rPr>
      <w:rFonts w:ascii="宋体" w:hAnsi="宋体"/>
      <w:szCs w:val="20"/>
    </w:rPr>
  </w:style>
  <w:style w:type="paragraph" w:customStyle="1" w:styleId="133">
    <w:name w:val="样式 首行缩进:  2 字符1"/>
    <w:basedOn w:val="1"/>
    <w:qFormat/>
    <w:uiPriority w:val="0"/>
    <w:pPr>
      <w:spacing w:line="480" w:lineRule="exact"/>
      <w:ind w:firstLine="420"/>
    </w:pPr>
    <w:rPr>
      <w:rFonts w:ascii="宋体"/>
      <w:kern w:val="0"/>
      <w:szCs w:val="20"/>
    </w:rPr>
  </w:style>
  <w:style w:type="paragraph" w:customStyle="1" w:styleId="134">
    <w:name w:val="危化正文"/>
    <w:basedOn w:val="1"/>
    <w:next w:val="1"/>
    <w:qFormat/>
    <w:uiPriority w:val="0"/>
    <w:pPr>
      <w:ind w:firstLine="561"/>
    </w:pPr>
    <w:rPr>
      <w:rFonts w:eastAsia="仿宋_GB2312"/>
      <w:kern w:val="0"/>
      <w:sz w:val="28"/>
      <w:szCs w:val="28"/>
      <w:lang w:eastAsia="en-US"/>
    </w:rPr>
  </w:style>
  <w:style w:type="character" w:customStyle="1" w:styleId="135">
    <w:name w:val="日期 Char"/>
    <w:link w:val="136"/>
    <w:qFormat/>
    <w:uiPriority w:val="99"/>
    <w:rPr>
      <w:rFonts w:ascii="Times New Roman" w:hAnsi="Times New Roman" w:eastAsia="宋体"/>
      <w:sz w:val="24"/>
    </w:rPr>
  </w:style>
  <w:style w:type="paragraph" w:customStyle="1" w:styleId="136">
    <w:name w:val="日期1"/>
    <w:basedOn w:val="1"/>
    <w:next w:val="1"/>
    <w:link w:val="135"/>
    <w:qFormat/>
    <w:uiPriority w:val="99"/>
    <w:pPr>
      <w:adjustRightInd w:val="0"/>
      <w:textAlignment w:val="baseline"/>
    </w:pPr>
    <w:rPr>
      <w:kern w:val="0"/>
      <w:szCs w:val="20"/>
    </w:rPr>
  </w:style>
  <w:style w:type="character" w:customStyle="1" w:styleId="137">
    <w:name w:val="普通(网站) Char"/>
    <w:qFormat/>
    <w:uiPriority w:val="0"/>
    <w:rPr>
      <w:rFonts w:ascii="宋体" w:hAnsi="宋体" w:eastAsia="宋体"/>
      <w:sz w:val="24"/>
    </w:rPr>
  </w:style>
  <w:style w:type="character" w:customStyle="1" w:styleId="138">
    <w:name w:val="正文文本 Char"/>
    <w:qFormat/>
    <w:uiPriority w:val="99"/>
    <w:rPr>
      <w:sz w:val="18"/>
    </w:rPr>
  </w:style>
  <w:style w:type="character" w:customStyle="1" w:styleId="139">
    <w:name w:val="批注文字 Char"/>
    <w:qFormat/>
    <w:uiPriority w:val="99"/>
    <w:rPr>
      <w:rFonts w:ascii="Times New Roman" w:hAnsi="Times New Roman" w:eastAsia="宋体"/>
      <w:sz w:val="24"/>
    </w:rPr>
  </w:style>
  <w:style w:type="character" w:customStyle="1" w:styleId="140">
    <w:name w:val="批注框文本 Char"/>
    <w:qFormat/>
    <w:uiPriority w:val="99"/>
    <w:rPr>
      <w:rFonts w:ascii="Times New Roman" w:hAnsi="Times New Roman" w:eastAsia="宋体"/>
      <w:sz w:val="18"/>
    </w:rPr>
  </w:style>
  <w:style w:type="character" w:customStyle="1" w:styleId="141">
    <w:name w:val="批注主题 Char"/>
    <w:link w:val="142"/>
    <w:qFormat/>
    <w:uiPriority w:val="0"/>
    <w:rPr>
      <w:rFonts w:ascii="Times New Roman" w:hAnsi="Times New Roman" w:eastAsia="宋体"/>
      <w:b/>
      <w:kern w:val="2"/>
      <w:sz w:val="24"/>
    </w:rPr>
  </w:style>
  <w:style w:type="paragraph" w:customStyle="1" w:styleId="142">
    <w:name w:val="批注主题1"/>
    <w:basedOn w:val="23"/>
    <w:next w:val="23"/>
    <w:link w:val="141"/>
    <w:qFormat/>
    <w:uiPriority w:val="0"/>
    <w:pPr>
      <w:spacing w:line="440" w:lineRule="exact"/>
      <w:ind w:firstLine="200"/>
      <w:jc w:val="both"/>
    </w:pPr>
    <w:rPr>
      <w:b/>
      <w:kern w:val="2"/>
    </w:rPr>
  </w:style>
  <w:style w:type="character" w:customStyle="1" w:styleId="143">
    <w:name w:val="页眉 Char"/>
    <w:qFormat/>
    <w:uiPriority w:val="99"/>
    <w:rPr>
      <w:sz w:val="18"/>
    </w:rPr>
  </w:style>
  <w:style w:type="character" w:customStyle="1" w:styleId="144">
    <w:name w:val="正文文本缩进 Char"/>
    <w:semiHidden/>
    <w:qFormat/>
    <w:uiPriority w:val="99"/>
    <w:rPr>
      <w:rFonts w:ascii="Times New Roman" w:hAnsi="Times New Roman" w:eastAsia="宋体"/>
      <w:sz w:val="24"/>
    </w:rPr>
  </w:style>
  <w:style w:type="paragraph" w:customStyle="1" w:styleId="145">
    <w:name w:val="_Style 54"/>
    <w:basedOn w:val="29"/>
    <w:next w:val="78"/>
    <w:link w:val="146"/>
    <w:qFormat/>
    <w:uiPriority w:val="0"/>
    <w:pPr>
      <w:ind w:firstLine="420"/>
    </w:pPr>
    <w:rPr>
      <w:kern w:val="2"/>
      <w:sz w:val="21"/>
      <w:szCs w:val="24"/>
    </w:rPr>
  </w:style>
  <w:style w:type="character" w:customStyle="1" w:styleId="146">
    <w:name w:val="正文首行缩进 2 Char"/>
    <w:link w:val="145"/>
    <w:qFormat/>
    <w:uiPriority w:val="0"/>
    <w:rPr>
      <w:rFonts w:ascii="Times New Roman" w:hAnsi="Times New Roman" w:eastAsia="宋体"/>
      <w:kern w:val="2"/>
      <w:sz w:val="21"/>
      <w:szCs w:val="24"/>
    </w:rPr>
  </w:style>
  <w:style w:type="paragraph" w:customStyle="1" w:styleId="147">
    <w:name w:val="Char Char Char Char Char Char"/>
    <w:basedOn w:val="1"/>
    <w:qFormat/>
    <w:uiPriority w:val="0"/>
  </w:style>
  <w:style w:type="character" w:customStyle="1" w:styleId="148">
    <w:name w:val="Default Char"/>
    <w:link w:val="111"/>
    <w:qFormat/>
    <w:uiPriority w:val="99"/>
    <w:rPr>
      <w:rFonts w:ascii="宋体"/>
      <w:color w:val="000000"/>
      <w:sz w:val="24"/>
      <w:szCs w:val="24"/>
    </w:rPr>
  </w:style>
  <w:style w:type="paragraph" w:customStyle="1" w:styleId="149">
    <w:name w:val="正文文本1"/>
    <w:basedOn w:val="1"/>
    <w:qFormat/>
    <w:uiPriority w:val="99"/>
    <w:pPr>
      <w:shd w:val="clear" w:color="auto" w:fill="FFFFFF"/>
      <w:spacing w:line="480" w:lineRule="exact"/>
      <w:jc w:val="distribute"/>
    </w:pPr>
    <w:rPr>
      <w:rFonts w:ascii="Arial Unicode MS" w:hAnsi="Arial Unicode MS" w:eastAsia="Arial Unicode MS" w:cs="Arial Unicode MS"/>
      <w:sz w:val="23"/>
      <w:szCs w:val="23"/>
    </w:rPr>
  </w:style>
  <w:style w:type="paragraph" w:customStyle="1" w:styleId="150">
    <w:name w:val="Char Char Char Char Char Char111"/>
    <w:basedOn w:val="1"/>
    <w:qFormat/>
    <w:uiPriority w:val="0"/>
  </w:style>
  <w:style w:type="character" w:customStyle="1" w:styleId="151">
    <w:name w:val="文档结构图 字符"/>
    <w:basedOn w:val="95"/>
    <w:link w:val="22"/>
    <w:qFormat/>
    <w:uiPriority w:val="99"/>
    <w:rPr>
      <w:rFonts w:ascii="宋体"/>
      <w:kern w:val="2"/>
      <w:sz w:val="18"/>
      <w:szCs w:val="18"/>
    </w:rPr>
  </w:style>
  <w:style w:type="character" w:customStyle="1" w:styleId="152">
    <w:name w:val="正文233 Char Char"/>
    <w:link w:val="153"/>
    <w:qFormat/>
    <w:uiPriority w:val="0"/>
    <w:rPr>
      <w:rFonts w:cs="宋体"/>
      <w:sz w:val="24"/>
      <w:szCs w:val="24"/>
    </w:rPr>
  </w:style>
  <w:style w:type="paragraph" w:customStyle="1" w:styleId="153">
    <w:name w:val="正文233"/>
    <w:basedOn w:val="154"/>
    <w:link w:val="152"/>
    <w:qFormat/>
    <w:uiPriority w:val="0"/>
    <w:pPr>
      <w:widowControl/>
      <w:autoSpaceDE w:val="0"/>
      <w:autoSpaceDN w:val="0"/>
      <w:adjustRightInd w:val="0"/>
      <w:snapToGrid w:val="0"/>
      <w:ind w:firstLine="200"/>
    </w:pPr>
    <w:rPr>
      <w:kern w:val="0"/>
    </w:rPr>
  </w:style>
  <w:style w:type="paragraph" w:customStyle="1" w:styleId="154">
    <w:name w:val="样式 样式 正文 + 首行缩进:  2 字符 + 首行缩进:  2 字符"/>
    <w:basedOn w:val="155"/>
    <w:semiHidden/>
    <w:qFormat/>
    <w:uiPriority w:val="0"/>
  </w:style>
  <w:style w:type="paragraph" w:customStyle="1" w:styleId="155">
    <w:name w:val="样式 正文 + 首行缩进:  2 字符"/>
    <w:basedOn w:val="156"/>
    <w:semiHidden/>
    <w:qFormat/>
    <w:uiPriority w:val="0"/>
    <w:pPr>
      <w:spacing w:line="480" w:lineRule="exact"/>
    </w:pPr>
    <w:rPr>
      <w:rFonts w:cs="宋体"/>
    </w:rPr>
  </w:style>
  <w:style w:type="paragraph" w:customStyle="1" w:styleId="156">
    <w:name w:val="正文3"/>
    <w:basedOn w:val="1"/>
    <w:next w:val="1"/>
    <w:qFormat/>
    <w:uiPriority w:val="99"/>
    <w:pPr>
      <w:spacing w:line="529" w:lineRule="exact"/>
      <w:ind w:firstLine="420"/>
    </w:pPr>
    <w:rPr>
      <w:rFonts w:ascii="Sim Sun" w:hAnsi="Sim Sun" w:cs="Sim Sun"/>
      <w:bCs/>
      <w:color w:val="000000"/>
      <w:kern w:val="24"/>
    </w:rPr>
  </w:style>
  <w:style w:type="paragraph" w:customStyle="1" w:styleId="157">
    <w:name w:val="aaa正兴泰表格"/>
    <w:basedOn w:val="1"/>
    <w:qFormat/>
    <w:uiPriority w:val="0"/>
    <w:pPr>
      <w:adjustRightInd w:val="0"/>
      <w:snapToGrid w:val="0"/>
      <w:spacing w:line="360" w:lineRule="exact"/>
      <w:jc w:val="center"/>
    </w:pPr>
    <w:rPr>
      <w:snapToGrid w:val="0"/>
      <w:szCs w:val="20"/>
    </w:rPr>
  </w:style>
  <w:style w:type="character" w:customStyle="1" w:styleId="158">
    <w:name w:val="正文缩进 字符"/>
    <w:link w:val="2"/>
    <w:qFormat/>
    <w:uiPriority w:val="99"/>
    <w:rPr>
      <w:kern w:val="2"/>
      <w:sz w:val="21"/>
    </w:rPr>
  </w:style>
  <w:style w:type="paragraph" w:customStyle="1" w:styleId="159">
    <w:name w:val="中文报告书"/>
    <w:basedOn w:val="1"/>
    <w:qFormat/>
    <w:uiPriority w:val="0"/>
    <w:pPr>
      <w:widowControl/>
      <w:adjustRightInd w:val="0"/>
      <w:spacing w:after="80" w:line="420" w:lineRule="atLeast"/>
      <w:textAlignment w:val="baseline"/>
    </w:pPr>
    <w:rPr>
      <w:rFonts w:ascii="Calibri" w:hAnsi="Calibri"/>
      <w:kern w:val="0"/>
      <w:lang w:eastAsia="en-US" w:bidi="en-US"/>
    </w:rPr>
  </w:style>
  <w:style w:type="paragraph" w:customStyle="1" w:styleId="160">
    <w:name w:val="中文报告书样式"/>
    <w:basedOn w:val="1"/>
    <w:qFormat/>
    <w:uiPriority w:val="99"/>
    <w:pPr>
      <w:adjustRightInd w:val="0"/>
      <w:spacing w:line="480" w:lineRule="atLeast"/>
      <w:ind w:firstLine="482"/>
      <w:textAlignment w:val="baseline"/>
    </w:pPr>
    <w:rPr>
      <w:kern w:val="24"/>
    </w:rPr>
  </w:style>
  <w:style w:type="character" w:customStyle="1" w:styleId="161">
    <w:name w:val="报告正文 Char"/>
    <w:link w:val="162"/>
    <w:qFormat/>
    <w:uiPriority w:val="0"/>
    <w:rPr>
      <w:kern w:val="2"/>
      <w:sz w:val="24"/>
    </w:rPr>
  </w:style>
  <w:style w:type="paragraph" w:customStyle="1" w:styleId="162">
    <w:name w:val="报告正文"/>
    <w:basedOn w:val="1"/>
    <w:link w:val="161"/>
    <w:qFormat/>
    <w:uiPriority w:val="0"/>
    <w:pPr>
      <w:adjustRightInd w:val="0"/>
      <w:snapToGrid w:val="0"/>
      <w:spacing w:line="460" w:lineRule="atLeast"/>
      <w:ind w:firstLine="200"/>
    </w:pPr>
    <w:rPr>
      <w:szCs w:val="20"/>
    </w:rPr>
  </w:style>
  <w:style w:type="character" w:customStyle="1" w:styleId="163">
    <w:name w:val="表 Char"/>
    <w:link w:val="164"/>
    <w:qFormat/>
    <w:uiPriority w:val="99"/>
    <w:rPr>
      <w:spacing w:val="2"/>
      <w:sz w:val="21"/>
      <w:szCs w:val="21"/>
    </w:rPr>
  </w:style>
  <w:style w:type="paragraph" w:customStyle="1" w:styleId="164">
    <w:name w:val="表"/>
    <w:basedOn w:val="1"/>
    <w:link w:val="163"/>
    <w:qFormat/>
    <w:uiPriority w:val="99"/>
    <w:pPr>
      <w:snapToGrid w:val="0"/>
      <w:jc w:val="center"/>
    </w:pPr>
    <w:rPr>
      <w:spacing w:val="2"/>
      <w:kern w:val="0"/>
      <w:szCs w:val="21"/>
    </w:rPr>
  </w:style>
  <w:style w:type="character" w:customStyle="1" w:styleId="165">
    <w:name w:val="题注 字符"/>
    <w:link w:val="19"/>
    <w:qFormat/>
    <w:uiPriority w:val="0"/>
    <w:rPr>
      <w:rFonts w:cs="Arial"/>
      <w:b/>
      <w:snapToGrid w:val="0"/>
      <w:sz w:val="24"/>
      <w:szCs w:val="24"/>
    </w:rPr>
  </w:style>
  <w:style w:type="character" w:customStyle="1" w:styleId="166">
    <w:name w:val="表标题 Char"/>
    <w:link w:val="167"/>
    <w:qFormat/>
    <w:uiPriority w:val="99"/>
    <w:rPr>
      <w:b/>
      <w:kern w:val="2"/>
      <w:sz w:val="24"/>
    </w:rPr>
  </w:style>
  <w:style w:type="paragraph" w:customStyle="1" w:styleId="167">
    <w:name w:val="表标题"/>
    <w:basedOn w:val="19"/>
    <w:next w:val="1"/>
    <w:link w:val="166"/>
    <w:qFormat/>
    <w:uiPriority w:val="99"/>
    <w:pPr>
      <w:spacing w:line="500" w:lineRule="exact"/>
      <w:ind w:firstLine="200"/>
    </w:pPr>
    <w:rPr>
      <w:szCs w:val="20"/>
    </w:rPr>
  </w:style>
  <w:style w:type="paragraph" w:customStyle="1" w:styleId="168">
    <w:name w:val="1表格"/>
    <w:basedOn w:val="1"/>
    <w:qFormat/>
    <w:uiPriority w:val="0"/>
    <w:pPr>
      <w:snapToGrid w:val="0"/>
      <w:jc w:val="center"/>
      <w:outlineLvl w:val="4"/>
    </w:pPr>
    <w:rPr>
      <w:rFonts w:ascii="Calibri" w:hAnsi="Calibri"/>
      <w:spacing w:val="4"/>
      <w:szCs w:val="22"/>
    </w:rPr>
  </w:style>
  <w:style w:type="character" w:customStyle="1" w:styleId="169">
    <w:name w:val="font51"/>
    <w:basedOn w:val="95"/>
    <w:qFormat/>
    <w:uiPriority w:val="0"/>
    <w:rPr>
      <w:rFonts w:hint="eastAsia" w:ascii="宋体" w:hAnsi="宋体" w:eastAsia="宋体"/>
      <w:color w:val="000000"/>
      <w:sz w:val="21"/>
      <w:szCs w:val="21"/>
      <w:u w:val="none"/>
    </w:rPr>
  </w:style>
  <w:style w:type="character" w:customStyle="1" w:styleId="170">
    <w:name w:val="font21"/>
    <w:basedOn w:val="95"/>
    <w:qFormat/>
    <w:uiPriority w:val="0"/>
    <w:rPr>
      <w:rFonts w:hint="default" w:ascii="Times New Roman" w:hAnsi="Times New Roman" w:cs="Times New Roman"/>
      <w:color w:val="000000"/>
      <w:sz w:val="21"/>
      <w:szCs w:val="21"/>
      <w:u w:val="none"/>
    </w:rPr>
  </w:style>
  <w:style w:type="character" w:customStyle="1" w:styleId="171">
    <w:name w:val="font41"/>
    <w:basedOn w:val="95"/>
    <w:qFormat/>
    <w:uiPriority w:val="0"/>
    <w:rPr>
      <w:rFonts w:hint="default" w:ascii="Times New Roman" w:hAnsi="Times New Roman" w:cs="Times New Roman"/>
      <w:color w:val="000000"/>
      <w:sz w:val="21"/>
      <w:szCs w:val="21"/>
      <w:u w:val="none"/>
      <w:vertAlign w:val="subscript"/>
    </w:rPr>
  </w:style>
  <w:style w:type="character" w:customStyle="1" w:styleId="172">
    <w:name w:val="font61"/>
    <w:basedOn w:val="95"/>
    <w:qFormat/>
    <w:uiPriority w:val="0"/>
    <w:rPr>
      <w:rFonts w:hint="eastAsia" w:ascii="宋体" w:hAnsi="宋体" w:eastAsia="宋体"/>
      <w:color w:val="000000"/>
      <w:sz w:val="21"/>
      <w:szCs w:val="21"/>
      <w:u w:val="none"/>
    </w:rPr>
  </w:style>
  <w:style w:type="character" w:customStyle="1" w:styleId="173">
    <w:name w:val="font31"/>
    <w:basedOn w:val="95"/>
    <w:qFormat/>
    <w:uiPriority w:val="0"/>
    <w:rPr>
      <w:rFonts w:hint="default" w:ascii="Times New Roman" w:hAnsi="Times New Roman" w:cs="Times New Roman"/>
      <w:color w:val="000000"/>
      <w:sz w:val="21"/>
      <w:szCs w:val="21"/>
      <w:u w:val="none"/>
    </w:rPr>
  </w:style>
  <w:style w:type="character" w:customStyle="1" w:styleId="174">
    <w:name w:val="font11"/>
    <w:basedOn w:val="95"/>
    <w:qFormat/>
    <w:uiPriority w:val="0"/>
    <w:rPr>
      <w:rFonts w:hint="default" w:ascii="Times New Roman" w:hAnsi="Times New Roman" w:cs="Times New Roman"/>
      <w:color w:val="000000"/>
      <w:sz w:val="21"/>
      <w:szCs w:val="21"/>
      <w:u w:val="none"/>
      <w:vertAlign w:val="subscript"/>
    </w:rPr>
  </w:style>
  <w:style w:type="paragraph" w:customStyle="1" w:styleId="175">
    <w:name w:val="其他"/>
    <w:basedOn w:val="128"/>
    <w:qFormat/>
    <w:uiPriority w:val="0"/>
    <w:pPr>
      <w:tabs>
        <w:tab w:val="center" w:pos="4153"/>
        <w:tab w:val="right" w:pos="8306"/>
      </w:tabs>
      <w:spacing w:beforeLines="0" w:afterLines="0" w:line="240" w:lineRule="auto"/>
      <w:jc w:val="left"/>
      <w:textAlignment w:val="baseline"/>
    </w:pPr>
    <w:rPr>
      <w:rFonts w:ascii="Times New Roman" w:eastAsia="仿宋_GB2312"/>
      <w:sz w:val="28"/>
      <w:szCs w:val="21"/>
    </w:rPr>
  </w:style>
  <w:style w:type="paragraph" w:customStyle="1" w:styleId="176">
    <w:name w:val="图图"/>
    <w:basedOn w:val="1"/>
    <w:qFormat/>
    <w:uiPriority w:val="99"/>
    <w:pPr>
      <w:jc w:val="center"/>
    </w:pPr>
  </w:style>
  <w:style w:type="character" w:customStyle="1" w:styleId="177">
    <w:name w:val="标题 5 Char"/>
    <w:basedOn w:val="95"/>
    <w:qFormat/>
    <w:uiPriority w:val="0"/>
    <w:rPr>
      <w:b/>
      <w:bCs/>
      <w:kern w:val="2"/>
      <w:sz w:val="28"/>
      <w:szCs w:val="28"/>
    </w:rPr>
  </w:style>
  <w:style w:type="character" w:customStyle="1" w:styleId="178">
    <w:name w:val="标题 6 Char"/>
    <w:basedOn w:val="95"/>
    <w:qFormat/>
    <w:uiPriority w:val="0"/>
    <w:rPr>
      <w:rFonts w:asciiTheme="majorHAnsi" w:hAnsiTheme="majorHAnsi" w:eastAsiaTheme="majorEastAsia" w:cstheme="majorBidi"/>
      <w:b/>
      <w:bCs/>
      <w:kern w:val="2"/>
      <w:sz w:val="24"/>
      <w:szCs w:val="24"/>
    </w:rPr>
  </w:style>
  <w:style w:type="character" w:customStyle="1" w:styleId="179">
    <w:name w:val="标题 7 Char"/>
    <w:basedOn w:val="95"/>
    <w:qFormat/>
    <w:uiPriority w:val="0"/>
    <w:rPr>
      <w:b/>
      <w:bCs/>
      <w:kern w:val="2"/>
      <w:sz w:val="24"/>
      <w:szCs w:val="24"/>
    </w:rPr>
  </w:style>
  <w:style w:type="character" w:customStyle="1" w:styleId="180">
    <w:name w:val="标题 8 Char"/>
    <w:basedOn w:val="95"/>
    <w:qFormat/>
    <w:uiPriority w:val="0"/>
    <w:rPr>
      <w:rFonts w:asciiTheme="majorHAnsi" w:hAnsiTheme="majorHAnsi" w:eastAsiaTheme="majorEastAsia" w:cstheme="majorBidi"/>
      <w:kern w:val="2"/>
      <w:sz w:val="24"/>
      <w:szCs w:val="24"/>
    </w:rPr>
  </w:style>
  <w:style w:type="character" w:customStyle="1" w:styleId="181">
    <w:name w:val="标题 9 Char"/>
    <w:basedOn w:val="95"/>
    <w:qFormat/>
    <w:uiPriority w:val="0"/>
    <w:rPr>
      <w:rFonts w:asciiTheme="majorHAnsi" w:hAnsiTheme="majorHAnsi" w:eastAsiaTheme="majorEastAsia" w:cstheme="majorBidi"/>
      <w:kern w:val="2"/>
      <w:sz w:val="21"/>
      <w:szCs w:val="21"/>
    </w:rPr>
  </w:style>
  <w:style w:type="character" w:customStyle="1" w:styleId="182">
    <w:name w:val="t_tag"/>
    <w:basedOn w:val="95"/>
    <w:qFormat/>
    <w:uiPriority w:val="0"/>
  </w:style>
  <w:style w:type="character" w:customStyle="1" w:styleId="183">
    <w:name w:val="标题 1 Char Char Char"/>
    <w:qFormat/>
    <w:uiPriority w:val="0"/>
    <w:rPr>
      <w:rFonts w:eastAsia="宋体"/>
      <w:b/>
      <w:bCs/>
      <w:kern w:val="44"/>
      <w:sz w:val="44"/>
      <w:szCs w:val="44"/>
      <w:lang w:val="en-US" w:eastAsia="zh-CN" w:bidi="ar-SA"/>
    </w:rPr>
  </w:style>
  <w:style w:type="character" w:customStyle="1" w:styleId="184">
    <w:name w:val="postbody1"/>
    <w:qFormat/>
    <w:uiPriority w:val="0"/>
    <w:rPr>
      <w:sz w:val="12"/>
      <w:szCs w:val="12"/>
    </w:rPr>
  </w:style>
  <w:style w:type="character" w:customStyle="1" w:styleId="185">
    <w:name w:val="正文缩进 Char2"/>
    <w:link w:val="186"/>
    <w:qFormat/>
    <w:uiPriority w:val="0"/>
    <w:rPr>
      <w:color w:val="000000"/>
      <w:sz w:val="24"/>
    </w:rPr>
  </w:style>
  <w:style w:type="paragraph" w:customStyle="1" w:styleId="186">
    <w:name w:val="正文缩进3"/>
    <w:basedOn w:val="1"/>
    <w:link w:val="185"/>
    <w:qFormat/>
    <w:uiPriority w:val="0"/>
    <w:pPr>
      <w:tabs>
        <w:tab w:val="left" w:pos="0"/>
      </w:tabs>
      <w:spacing w:line="480" w:lineRule="exact"/>
      <w:ind w:firstLine="480"/>
    </w:pPr>
    <w:rPr>
      <w:color w:val="000000"/>
      <w:kern w:val="0"/>
      <w:szCs w:val="20"/>
    </w:rPr>
  </w:style>
  <w:style w:type="character" w:customStyle="1" w:styleId="187">
    <w:name w:val="正文缩进4 Char"/>
    <w:qFormat/>
    <w:uiPriority w:val="0"/>
    <w:rPr>
      <w:rFonts w:eastAsia="宋体"/>
      <w:kern w:val="2"/>
      <w:sz w:val="24"/>
      <w:lang w:val="en-US" w:eastAsia="zh-CN" w:bidi="ar-SA"/>
    </w:rPr>
  </w:style>
  <w:style w:type="character" w:customStyle="1" w:styleId="188">
    <w:name w:val="表格 Char Char Char Char"/>
    <w:link w:val="189"/>
    <w:qFormat/>
    <w:uiPriority w:val="0"/>
    <w:rPr>
      <w:rFonts w:ascii="ˎ̥" w:hAnsi="ˎ̥" w:eastAsia="FLGPEK+TimesNewRoman,Italic" w:cs="ˎ̥"/>
      <w:bCs/>
      <w:color w:val="000000"/>
      <w:kern w:val="24"/>
      <w:sz w:val="21"/>
      <w:szCs w:val="21"/>
    </w:rPr>
  </w:style>
  <w:style w:type="paragraph" w:customStyle="1" w:styleId="189">
    <w:name w:val="表格 Char Char Char"/>
    <w:basedOn w:val="1"/>
    <w:next w:val="1"/>
    <w:link w:val="188"/>
    <w:qFormat/>
    <w:uiPriority w:val="0"/>
    <w:pPr>
      <w:spacing w:line="360" w:lineRule="exact"/>
      <w:jc w:val="center"/>
    </w:pPr>
    <w:rPr>
      <w:rFonts w:ascii="ˎ̥" w:hAnsi="ˎ̥" w:eastAsia="FLGPEK+TimesNewRoman,Italic" w:cs="ˎ̥"/>
      <w:bCs/>
      <w:color w:val="000000"/>
      <w:kern w:val="24"/>
      <w:szCs w:val="21"/>
    </w:rPr>
  </w:style>
  <w:style w:type="character" w:customStyle="1" w:styleId="190">
    <w:name w:val="珠江啤酒正文 Char"/>
    <w:link w:val="191"/>
    <w:qFormat/>
    <w:uiPriority w:val="0"/>
    <w:rPr>
      <w:rFonts w:ascii="Sim Sun" w:hAnsi="Sim Sun"/>
      <w:kern w:val="2"/>
      <w:sz w:val="21"/>
    </w:rPr>
  </w:style>
  <w:style w:type="paragraph" w:customStyle="1" w:styleId="191">
    <w:name w:val="珠江啤酒正文"/>
    <w:basedOn w:val="1"/>
    <w:link w:val="190"/>
    <w:qFormat/>
    <w:uiPriority w:val="0"/>
    <w:pPr>
      <w:spacing w:line="440" w:lineRule="exact"/>
      <w:ind w:firstLine="200"/>
    </w:pPr>
    <w:rPr>
      <w:rFonts w:ascii="Sim Sun" w:hAnsi="Sim Sun"/>
      <w:szCs w:val="20"/>
    </w:rPr>
  </w:style>
  <w:style w:type="character" w:customStyle="1" w:styleId="192">
    <w:name w:val="Table caption_"/>
    <w:link w:val="193"/>
    <w:qFormat/>
    <w:uiPriority w:val="99"/>
    <w:rPr>
      <w:rFonts w:ascii="MingLiU" w:eastAsia="MingLiU" w:cs="MingLiU"/>
      <w:shd w:val="clear" w:color="auto" w:fill="FFFFFF"/>
    </w:rPr>
  </w:style>
  <w:style w:type="paragraph" w:customStyle="1" w:styleId="193">
    <w:name w:val="Table caption"/>
    <w:basedOn w:val="1"/>
    <w:link w:val="192"/>
    <w:qFormat/>
    <w:uiPriority w:val="99"/>
    <w:pPr>
      <w:shd w:val="clear" w:color="auto" w:fill="FFFFFF"/>
      <w:spacing w:line="240" w:lineRule="atLeast"/>
    </w:pPr>
    <w:rPr>
      <w:rFonts w:ascii="MingLiU" w:eastAsia="MingLiU" w:cs="MingLiU"/>
      <w:kern w:val="0"/>
      <w:sz w:val="20"/>
      <w:szCs w:val="20"/>
    </w:rPr>
  </w:style>
  <w:style w:type="character" w:customStyle="1" w:styleId="194">
    <w:name w:val="普通文字 Char Char Char Char"/>
    <w:qFormat/>
    <w:uiPriority w:val="0"/>
    <w:rPr>
      <w:rFonts w:ascii="宋体" w:hAnsi="Courier New" w:eastAsia="宋体" w:cs="Courier New"/>
      <w:kern w:val="2"/>
      <w:sz w:val="24"/>
      <w:szCs w:val="21"/>
      <w:lang w:val="en-US" w:eastAsia="zh-CN" w:bidi="ar-SA"/>
    </w:rPr>
  </w:style>
  <w:style w:type="character" w:customStyle="1" w:styleId="195">
    <w:name w:val="Char Char Char"/>
    <w:qFormat/>
    <w:uiPriority w:val="0"/>
    <w:rPr>
      <w:rFonts w:ascii="宋体" w:hAnsi="Arial" w:eastAsia="宋体"/>
      <w:b/>
      <w:bCs/>
      <w:kern w:val="44"/>
      <w:sz w:val="30"/>
      <w:lang w:val="en-US" w:eastAsia="zh-CN" w:bidi="ar-SA"/>
    </w:rPr>
  </w:style>
  <w:style w:type="character" w:customStyle="1" w:styleId="196">
    <w:name w:val="style41"/>
    <w:qFormat/>
    <w:uiPriority w:val="0"/>
    <w:rPr>
      <w:b/>
      <w:bCs/>
      <w:color w:val="CC0000"/>
      <w:sz w:val="21"/>
      <w:szCs w:val="21"/>
    </w:rPr>
  </w:style>
  <w:style w:type="character" w:customStyle="1" w:styleId="197">
    <w:name w:val="表格内容 Char"/>
    <w:link w:val="112"/>
    <w:qFormat/>
    <w:uiPriority w:val="0"/>
    <w:rPr>
      <w:rFonts w:eastAsia="楷体_GB2312"/>
      <w:spacing w:val="10"/>
      <w:kern w:val="2"/>
      <w:sz w:val="28"/>
    </w:rPr>
  </w:style>
  <w:style w:type="character" w:customStyle="1" w:styleId="198">
    <w:name w:val="Body Text Indent 3 Char Char"/>
    <w:qFormat/>
    <w:uiPriority w:val="0"/>
    <w:rPr>
      <w:rFonts w:eastAsia="FLGPEK+TimesNewRoman,Italic"/>
      <w:kern w:val="2"/>
      <w:sz w:val="16"/>
      <w:szCs w:val="16"/>
      <w:lang w:val="en-US" w:eastAsia="zh-CN" w:bidi="ar-SA"/>
    </w:rPr>
  </w:style>
  <w:style w:type="character" w:customStyle="1" w:styleId="199">
    <w:name w:val="Char Char13"/>
    <w:qFormat/>
    <w:uiPriority w:val="0"/>
    <w:rPr>
      <w:rFonts w:eastAsia="FLGPEK+TimesNewRoman,Italic"/>
      <w:sz w:val="24"/>
      <w:lang w:val="en-US" w:eastAsia="zh-CN"/>
    </w:rPr>
  </w:style>
  <w:style w:type="character" w:customStyle="1" w:styleId="200">
    <w:name w:val="2级标题 Char"/>
    <w:qFormat/>
    <w:uiPriority w:val="0"/>
    <w:rPr>
      <w:rFonts w:ascii="宋体" w:hAnsi="Times New Roman" w:eastAsia="宋体"/>
      <w:bCs/>
      <w:color w:val="000000"/>
      <w:sz w:val="24"/>
      <w:szCs w:val="24"/>
      <w:lang w:val="en-US" w:eastAsia="zh-CN" w:bidi="ar-SA"/>
    </w:rPr>
  </w:style>
  <w:style w:type="character" w:customStyle="1" w:styleId="201">
    <w:name w:val="style31"/>
    <w:qFormat/>
    <w:uiPriority w:val="0"/>
    <w:rPr>
      <w:color w:val="666666"/>
      <w:sz w:val="18"/>
      <w:szCs w:val="18"/>
    </w:rPr>
  </w:style>
  <w:style w:type="character" w:customStyle="1" w:styleId="202">
    <w:name w:val="样式 首行缩进:  2 字符 行距: 最小值 24 磅 Char Char Char"/>
    <w:qFormat/>
    <w:uiPriority w:val="0"/>
    <w:rPr>
      <w:rFonts w:eastAsia="Sim Sun"/>
      <w:spacing w:val="6"/>
      <w:sz w:val="24"/>
      <w:lang w:val="en-US" w:eastAsia="zh-CN" w:bidi="ar-SA"/>
    </w:rPr>
  </w:style>
  <w:style w:type="character" w:customStyle="1" w:styleId="203">
    <w:name w:val="content_size_131"/>
    <w:qFormat/>
    <w:uiPriority w:val="0"/>
    <w:rPr>
      <w:sz w:val="20"/>
      <w:szCs w:val="20"/>
    </w:rPr>
  </w:style>
  <w:style w:type="character" w:customStyle="1" w:styleId="204">
    <w:name w:val="zw1"/>
    <w:qFormat/>
    <w:uiPriority w:val="0"/>
    <w:rPr>
      <w:rFonts w:hint="eastAsia" w:ascii="Sim Sun" w:hAnsi="Sim Sun" w:eastAsia="Sim Sun"/>
      <w:spacing w:val="400"/>
      <w:sz w:val="22"/>
      <w:szCs w:val="22"/>
    </w:rPr>
  </w:style>
  <w:style w:type="character" w:customStyle="1" w:styleId="205">
    <w:name w:val="超链接2"/>
    <w:qFormat/>
    <w:uiPriority w:val="0"/>
    <w:rPr>
      <w:color w:val="auto"/>
      <w:sz w:val="18"/>
      <w:u w:val="none"/>
    </w:rPr>
  </w:style>
  <w:style w:type="character" w:customStyle="1" w:styleId="206">
    <w:name w:val="fr21"/>
    <w:qFormat/>
    <w:uiPriority w:val="0"/>
    <w:rPr>
      <w:rFonts w:hint="default" w:ascii="Century Schoolbook" w:hAnsi="Century Schoolbook"/>
      <w:color w:val="333333"/>
      <w:sz w:val="18"/>
      <w:szCs w:val="18"/>
    </w:rPr>
  </w:style>
  <w:style w:type="character" w:customStyle="1" w:styleId="207">
    <w:name w:val="5文章(治) Char"/>
    <w:link w:val="208"/>
    <w:qFormat/>
    <w:uiPriority w:val="0"/>
    <w:rPr>
      <w:bCs/>
      <w:color w:val="000000"/>
      <w:kern w:val="24"/>
      <w:sz w:val="24"/>
      <w:szCs w:val="24"/>
    </w:rPr>
  </w:style>
  <w:style w:type="paragraph" w:customStyle="1" w:styleId="208">
    <w:name w:val="5文章(治)"/>
    <w:basedOn w:val="1"/>
    <w:link w:val="207"/>
    <w:qFormat/>
    <w:uiPriority w:val="0"/>
    <w:pPr>
      <w:ind w:firstLine="480"/>
    </w:pPr>
    <w:rPr>
      <w:bCs/>
      <w:color w:val="000000"/>
      <w:kern w:val="24"/>
    </w:rPr>
  </w:style>
  <w:style w:type="character" w:customStyle="1" w:styleId="209">
    <w:name w:val="表格 Char Char"/>
    <w:qFormat/>
    <w:uiPriority w:val="0"/>
    <w:rPr>
      <w:rFonts w:eastAsia="宋体"/>
      <w:sz w:val="24"/>
      <w:lang w:val="en-US" w:eastAsia="zh-CN" w:bidi="ar-SA"/>
    </w:rPr>
  </w:style>
  <w:style w:type="character" w:customStyle="1" w:styleId="210">
    <w:name w:val="km Char Char"/>
    <w:link w:val="211"/>
    <w:qFormat/>
    <w:uiPriority w:val="0"/>
    <w:rPr>
      <w:rFonts w:ascii="Sim Sun" w:hAnsi="Sim Sun" w:cs="Batang"/>
      <w:bCs/>
      <w:color w:val="000000"/>
      <w:kern w:val="24"/>
      <w:sz w:val="28"/>
      <w:szCs w:val="28"/>
    </w:rPr>
  </w:style>
  <w:style w:type="paragraph" w:customStyle="1" w:styleId="211">
    <w:name w:val="km Char"/>
    <w:basedOn w:val="1"/>
    <w:link w:val="210"/>
    <w:qFormat/>
    <w:uiPriority w:val="0"/>
    <w:pPr>
      <w:ind w:firstLine="567"/>
    </w:pPr>
    <w:rPr>
      <w:rFonts w:ascii="Sim Sun" w:hAnsi="Sim Sun" w:cs="Batang"/>
      <w:bCs/>
      <w:color w:val="000000"/>
      <w:kern w:val="24"/>
      <w:sz w:val="28"/>
      <w:szCs w:val="28"/>
    </w:rPr>
  </w:style>
  <w:style w:type="character" w:customStyle="1" w:styleId="212">
    <w:name w:val="条标题1.1.1.1 Char"/>
    <w:qFormat/>
    <w:uiPriority w:val="0"/>
    <w:rPr>
      <w:rFonts w:ascii="ˎ̥" w:hAnsi="ˎ̥" w:eastAsia="Sim Sun"/>
      <w:b/>
      <w:bCs/>
      <w:kern w:val="2"/>
      <w:sz w:val="28"/>
      <w:szCs w:val="28"/>
      <w:lang w:val="en-US" w:eastAsia="zh-CN" w:bidi="ar-SA"/>
    </w:rPr>
  </w:style>
  <w:style w:type="character" w:customStyle="1" w:styleId="213">
    <w:name w:val="A2 Char"/>
    <w:link w:val="214"/>
    <w:qFormat/>
    <w:uiPriority w:val="0"/>
    <w:rPr>
      <w:rFonts w:ascii="Batang" w:hAnsi="Batang" w:cs="Batang"/>
      <w:bCs/>
      <w:color w:val="000000"/>
      <w:kern w:val="24"/>
      <w:sz w:val="30"/>
      <w:szCs w:val="24"/>
    </w:rPr>
  </w:style>
  <w:style w:type="paragraph" w:customStyle="1" w:styleId="214">
    <w:name w:val="A2"/>
    <w:basedOn w:val="1"/>
    <w:link w:val="213"/>
    <w:qFormat/>
    <w:uiPriority w:val="0"/>
    <w:pPr>
      <w:ind w:firstLine="570"/>
    </w:pPr>
    <w:rPr>
      <w:rFonts w:ascii="Batang" w:hAnsi="Batang" w:cs="Batang"/>
      <w:bCs/>
      <w:color w:val="000000"/>
      <w:kern w:val="24"/>
      <w:sz w:val="30"/>
    </w:rPr>
  </w:style>
  <w:style w:type="character" w:customStyle="1" w:styleId="215">
    <w:name w:val="font91"/>
    <w:qFormat/>
    <w:uiPriority w:val="0"/>
    <w:rPr>
      <w:rFonts w:hint="default" w:ascii="Times New Roman" w:hAnsi="Times New Roman" w:cs="Times New Roman"/>
      <w:color w:val="000000"/>
      <w:sz w:val="21"/>
      <w:szCs w:val="21"/>
      <w:u w:val="none"/>
    </w:rPr>
  </w:style>
  <w:style w:type="character" w:customStyle="1" w:styleId="216">
    <w:name w:val="样式 表文 + (西文) Arial (中文) 宋体 (复杂文种) Arial (西文)粗体 Char"/>
    <w:link w:val="217"/>
    <w:qFormat/>
    <w:uiPriority w:val="0"/>
    <w:rPr>
      <w:rFonts w:ascii="ˎ̥" w:hAnsi="ˎ̥"/>
      <w:b/>
      <w:bCs/>
      <w:sz w:val="21"/>
    </w:rPr>
  </w:style>
  <w:style w:type="paragraph" w:customStyle="1" w:styleId="217">
    <w:name w:val="样式 表文 + (西文) Arial (中文) 宋体 (复杂文种) Arial (西文)粗体"/>
    <w:basedOn w:val="218"/>
    <w:link w:val="216"/>
    <w:qFormat/>
    <w:uiPriority w:val="0"/>
    <w:pPr>
      <w:widowControl/>
    </w:pPr>
    <w:rPr>
      <w:rFonts w:ascii="ˎ̥" w:hAnsi="ˎ̥"/>
      <w:b/>
      <w:bCs/>
    </w:rPr>
  </w:style>
  <w:style w:type="paragraph" w:customStyle="1" w:styleId="218">
    <w:name w:val="表文"/>
    <w:basedOn w:val="1"/>
    <w:next w:val="1"/>
    <w:link w:val="427"/>
    <w:qFormat/>
    <w:uiPriority w:val="99"/>
    <w:pPr>
      <w:spacing w:line="360" w:lineRule="exact"/>
      <w:ind w:firstLine="200"/>
      <w:jc w:val="center"/>
    </w:pPr>
    <w:rPr>
      <w:kern w:val="0"/>
      <w:szCs w:val="20"/>
    </w:rPr>
  </w:style>
  <w:style w:type="character" w:customStyle="1" w:styleId="219">
    <w:name w:val="标题 2 Char Char Char Char Char2"/>
    <w:qFormat/>
    <w:uiPriority w:val="0"/>
    <w:rPr>
      <w:rFonts w:hint="default" w:ascii="Arial" w:hAnsi="Arial" w:eastAsia="宋体" w:cs="Arial"/>
      <w:b/>
      <w:snapToGrid w:val="0"/>
      <w:sz w:val="32"/>
      <w:szCs w:val="32"/>
      <w:lang w:val="en-US" w:eastAsia="zh-CN" w:bidi="ar-SA"/>
    </w:rPr>
  </w:style>
  <w:style w:type="character" w:customStyle="1" w:styleId="220">
    <w:name w:val="Char Char10"/>
    <w:qFormat/>
    <w:uiPriority w:val="0"/>
    <w:rPr>
      <w:rFonts w:ascii="宋体" w:hAnsi="宋体" w:eastAsia="FLGPEK+TimesNewRoman,Italic"/>
      <w:kern w:val="2"/>
      <w:sz w:val="18"/>
      <w:szCs w:val="18"/>
      <w:lang w:val="en-US" w:eastAsia="zh-CN" w:bidi="ar-SA"/>
    </w:rPr>
  </w:style>
  <w:style w:type="character" w:customStyle="1" w:styleId="221">
    <w:name w:val="燕山正文 Char"/>
    <w:link w:val="222"/>
    <w:qFormat/>
    <w:uiPriority w:val="0"/>
    <w:rPr>
      <w:rFonts w:ascii="宋体" w:hAnsi="宋体"/>
      <w:color w:val="000000"/>
      <w:kern w:val="2"/>
      <w:sz w:val="24"/>
      <w:szCs w:val="28"/>
    </w:rPr>
  </w:style>
  <w:style w:type="paragraph" w:customStyle="1" w:styleId="222">
    <w:name w:val="燕山正文"/>
    <w:basedOn w:val="1"/>
    <w:link w:val="221"/>
    <w:qFormat/>
    <w:uiPriority w:val="0"/>
    <w:pPr>
      <w:tabs>
        <w:tab w:val="left" w:pos="4680"/>
      </w:tabs>
      <w:adjustRightInd w:val="0"/>
      <w:snapToGrid w:val="0"/>
      <w:ind w:firstLine="560"/>
    </w:pPr>
    <w:rPr>
      <w:rFonts w:ascii="宋体" w:hAnsi="宋体"/>
      <w:color w:val="000000"/>
      <w:szCs w:val="28"/>
    </w:rPr>
  </w:style>
  <w:style w:type="character" w:customStyle="1" w:styleId="223">
    <w:name w:val="Char Char18"/>
    <w:qFormat/>
    <w:uiPriority w:val="0"/>
    <w:rPr>
      <w:rFonts w:eastAsia="FLGPEK+TimesNewRoman,Italic"/>
      <w:b/>
      <w:bCs/>
      <w:kern w:val="2"/>
      <w:sz w:val="24"/>
      <w:szCs w:val="24"/>
      <w:lang w:val="en-US" w:eastAsia="zh-CN" w:bidi="ar-SA"/>
    </w:rPr>
  </w:style>
  <w:style w:type="character" w:customStyle="1" w:styleId="224">
    <w:name w:val="标题 3 Char1 Char Char1"/>
    <w:qFormat/>
    <w:uiPriority w:val="0"/>
    <w:rPr>
      <w:rFonts w:eastAsia="FLGPEK+TimesNewRoman,Italic"/>
      <w:b/>
      <w:bCs/>
      <w:kern w:val="2"/>
      <w:sz w:val="32"/>
      <w:szCs w:val="32"/>
      <w:lang w:val="en-US" w:eastAsia="zh-CN" w:bidi="ar-SA"/>
    </w:rPr>
  </w:style>
  <w:style w:type="character" w:customStyle="1" w:styleId="225">
    <w:name w:val="可研-正文首行缩进 Char Char1"/>
    <w:qFormat/>
    <w:uiPriority w:val="0"/>
    <w:rPr>
      <w:rFonts w:ascii="Sim Sun" w:hAnsi="Sim Sun" w:eastAsia="Sim Sun"/>
      <w:color w:val="000000"/>
      <w:sz w:val="28"/>
      <w:szCs w:val="28"/>
      <w:lang w:val="en-US" w:eastAsia="zh-CN"/>
    </w:rPr>
  </w:style>
  <w:style w:type="character" w:customStyle="1" w:styleId="226">
    <w:name w:val="fliesstext1"/>
    <w:qFormat/>
    <w:uiPriority w:val="0"/>
    <w:rPr>
      <w:rFonts w:hint="default" w:ascii="ˎ̥" w:hAnsi="ˎ̥" w:cs="ˎ̥"/>
      <w:color w:val="000000"/>
      <w:sz w:val="18"/>
      <w:szCs w:val="18"/>
    </w:rPr>
  </w:style>
  <w:style w:type="character" w:customStyle="1" w:styleId="227">
    <w:name w:val="Char Char161"/>
    <w:qFormat/>
    <w:uiPriority w:val="0"/>
    <w:rPr>
      <w:rFonts w:ascii="Century Schoolbook" w:hAnsi="Century Schoolbook" w:eastAsia="Garamond"/>
      <w:kern w:val="2"/>
      <w:sz w:val="21"/>
      <w:lang w:val="en-US" w:eastAsia="zh-CN"/>
    </w:rPr>
  </w:style>
  <w:style w:type="character" w:customStyle="1" w:styleId="228">
    <w:name w:val="表头及表尾 Char"/>
    <w:link w:val="229"/>
    <w:qFormat/>
    <w:uiPriority w:val="0"/>
    <w:rPr>
      <w:rFonts w:eastAsia="Vladimir Script"/>
      <w:b/>
      <w:bCs/>
      <w:snapToGrid w:val="0"/>
      <w:color w:val="000000"/>
      <w:sz w:val="21"/>
      <w:szCs w:val="24"/>
    </w:rPr>
  </w:style>
  <w:style w:type="paragraph" w:customStyle="1" w:styleId="229">
    <w:name w:val="表头及表尾"/>
    <w:link w:val="228"/>
    <w:qFormat/>
    <w:uiPriority w:val="0"/>
    <w:pPr>
      <w:tabs>
        <w:tab w:val="center" w:pos="4200"/>
        <w:tab w:val="right" w:pos="8400"/>
      </w:tabs>
      <w:adjustRightInd w:val="0"/>
      <w:snapToGrid w:val="0"/>
      <w:spacing w:line="360" w:lineRule="auto"/>
      <w:jc w:val="center"/>
    </w:pPr>
    <w:rPr>
      <w:rFonts w:ascii="Times New Roman" w:hAnsi="Times New Roman" w:eastAsia="Vladimir Script" w:cs="Times New Roman"/>
      <w:b/>
      <w:bCs/>
      <w:snapToGrid w:val="0"/>
      <w:color w:val="000000"/>
      <w:sz w:val="21"/>
      <w:szCs w:val="24"/>
      <w:lang w:val="en-US" w:eastAsia="zh-CN" w:bidi="ar-SA"/>
    </w:rPr>
  </w:style>
  <w:style w:type="character" w:customStyle="1" w:styleId="230">
    <w:name w:val="链接"/>
    <w:qFormat/>
    <w:uiPriority w:val="0"/>
    <w:rPr>
      <w:color w:val="0000FF"/>
      <w:u w:val="single" w:color="0000FF"/>
    </w:rPr>
  </w:style>
  <w:style w:type="character" w:customStyle="1" w:styleId="231">
    <w:name w:val="Char Char17"/>
    <w:qFormat/>
    <w:uiPriority w:val="0"/>
    <w:rPr>
      <w:rFonts w:ascii="幼圆" w:hAnsi="幼圆" w:eastAsia="@幼圆"/>
      <w:kern w:val="2"/>
      <w:sz w:val="24"/>
      <w:szCs w:val="24"/>
      <w:lang w:val="en-US" w:eastAsia="zh-CN" w:bidi="ar-SA"/>
    </w:rPr>
  </w:style>
  <w:style w:type="character" w:customStyle="1" w:styleId="232">
    <w:name w:val="标5 Char Char"/>
    <w:qFormat/>
    <w:uiPriority w:val="0"/>
    <w:rPr>
      <w:rFonts w:ascii="Sim Sun" w:hAnsi="Sim Sun" w:eastAsia="Sim Sun"/>
      <w:sz w:val="28"/>
      <w:szCs w:val="28"/>
      <w:lang w:val="en-US" w:eastAsia="zh-CN"/>
    </w:rPr>
  </w:style>
  <w:style w:type="character" w:customStyle="1" w:styleId="233">
    <w:name w:val="Char Char3"/>
    <w:qFormat/>
    <w:uiPriority w:val="0"/>
    <w:rPr>
      <w:rFonts w:ascii="FLGPEK+TimesNewRoman,Italic" w:hAnsi="FLGPEK+TimesNewRoman,Italic" w:eastAsia="FLGPEK+TimesNewRoman,Italic"/>
      <w:sz w:val="28"/>
      <w:lang w:val="en-US" w:eastAsia="zh-CN" w:bidi="ar-SA"/>
    </w:rPr>
  </w:style>
  <w:style w:type="character" w:customStyle="1" w:styleId="234">
    <w:name w:val="Char Char19"/>
    <w:qFormat/>
    <w:uiPriority w:val="0"/>
    <w:rPr>
      <w:rFonts w:eastAsia="FLGPEK+TimesNewRoman,Italic"/>
      <w:b/>
      <w:bCs/>
      <w:kern w:val="2"/>
      <w:sz w:val="28"/>
      <w:szCs w:val="28"/>
      <w:lang w:val="en-US" w:eastAsia="zh-CN" w:bidi="ar-SA"/>
    </w:rPr>
  </w:style>
  <w:style w:type="character" w:customStyle="1" w:styleId="235">
    <w:name w:val="Char Char1"/>
    <w:qFormat/>
    <w:uiPriority w:val="0"/>
    <w:rPr>
      <w:rFonts w:ascii="黑体" w:hAnsi="黑体" w:eastAsia="黑体"/>
      <w:b/>
      <w:bCs/>
      <w:snapToGrid w:val="0"/>
      <w:sz w:val="24"/>
      <w:szCs w:val="32"/>
      <w:lang w:val="en-US" w:eastAsia="zh-CN" w:bidi="ar-SA"/>
    </w:rPr>
  </w:style>
  <w:style w:type="character" w:customStyle="1" w:styleId="236">
    <w:name w:val="14bv11"/>
    <w:qFormat/>
    <w:uiPriority w:val="0"/>
    <w:rPr>
      <w:b/>
      <w:color w:val="6595D6"/>
      <w:sz w:val="21"/>
      <w:u w:val="none"/>
    </w:rPr>
  </w:style>
  <w:style w:type="character" w:customStyle="1" w:styleId="237">
    <w:name w:val="正文2 Char"/>
    <w:link w:val="238"/>
    <w:qFormat/>
    <w:uiPriority w:val="0"/>
    <w:rPr>
      <w:rFonts w:ascii="Batang" w:hAnsi="Batang" w:cs="Batang"/>
      <w:bCs/>
      <w:color w:val="000000"/>
      <w:kern w:val="24"/>
      <w:sz w:val="24"/>
    </w:rPr>
  </w:style>
  <w:style w:type="paragraph" w:customStyle="1" w:styleId="238">
    <w:name w:val="正文2"/>
    <w:basedOn w:val="239"/>
    <w:link w:val="237"/>
    <w:qFormat/>
    <w:uiPriority w:val="0"/>
    <w:pPr>
      <w:snapToGrid w:val="0"/>
      <w:ind w:firstLine="567"/>
    </w:pPr>
    <w:rPr>
      <w:rFonts w:ascii="Batang" w:hAnsi="Batang" w:cs="Batang"/>
      <w:bCs/>
      <w:color w:val="000000"/>
      <w:kern w:val="24"/>
      <w:szCs w:val="20"/>
    </w:rPr>
  </w:style>
  <w:style w:type="paragraph" w:customStyle="1" w:styleId="239">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character" w:customStyle="1" w:styleId="240">
    <w:name w:val="Char Char171"/>
    <w:qFormat/>
    <w:uiPriority w:val="0"/>
    <w:rPr>
      <w:rFonts w:ascii="Century Schoolbook" w:hAnsi="Century Schoolbook" w:eastAsia="Garamond"/>
      <w:kern w:val="2"/>
      <w:sz w:val="24"/>
      <w:lang w:val="en-US" w:eastAsia="zh-CN"/>
    </w:rPr>
  </w:style>
  <w:style w:type="character" w:customStyle="1" w:styleId="241">
    <w:name w:val="报告 Char"/>
    <w:link w:val="242"/>
    <w:qFormat/>
    <w:uiPriority w:val="0"/>
    <w:rPr>
      <w:rFonts w:ascii="ˎ̥" w:hAnsi="ˎ̥" w:eastAsia="FLGPEK+TimesNewRoman,Italic" w:cs="ˎ̥"/>
      <w:bCs/>
      <w:color w:val="000000"/>
      <w:sz w:val="24"/>
    </w:rPr>
  </w:style>
  <w:style w:type="paragraph" w:customStyle="1" w:styleId="242">
    <w:name w:val="报告"/>
    <w:basedOn w:val="1"/>
    <w:link w:val="241"/>
    <w:qFormat/>
    <w:uiPriority w:val="0"/>
    <w:pPr>
      <w:adjustRightInd w:val="0"/>
      <w:ind w:firstLine="505"/>
      <w:textAlignment w:val="baseline"/>
    </w:pPr>
    <w:rPr>
      <w:rFonts w:ascii="ˎ̥" w:hAnsi="ˎ̥" w:eastAsia="FLGPEK+TimesNewRoman,Italic" w:cs="ˎ̥"/>
      <w:bCs/>
      <w:color w:val="000000"/>
      <w:kern w:val="0"/>
      <w:szCs w:val="20"/>
    </w:rPr>
  </w:style>
  <w:style w:type="character" w:customStyle="1" w:styleId="243">
    <w:name w:val="表五号 Char"/>
    <w:link w:val="244"/>
    <w:qFormat/>
    <w:uiPriority w:val="0"/>
    <w:rPr>
      <w:rFonts w:ascii="ˎ̥" w:hAnsi="Batang" w:eastAsia="FLGPEK+TimesNewRoman,Italic" w:cs="Batang"/>
      <w:bCs/>
      <w:snapToGrid w:val="0"/>
      <w:color w:val="000000"/>
      <w:spacing w:val="-20"/>
      <w:sz w:val="21"/>
      <w:szCs w:val="21"/>
    </w:rPr>
  </w:style>
  <w:style w:type="paragraph" w:customStyle="1" w:styleId="244">
    <w:name w:val="表五号"/>
    <w:basedOn w:val="128"/>
    <w:link w:val="243"/>
    <w:qFormat/>
    <w:uiPriority w:val="0"/>
    <w:pPr>
      <w:spacing w:beforeLines="0" w:afterLines="0" w:line="240" w:lineRule="auto"/>
      <w:ind w:left="-7" w:leftChars="-3" w:right="-95" w:rightChars="-40"/>
      <w:textAlignment w:val="baseline"/>
    </w:pPr>
    <w:rPr>
      <w:rFonts w:ascii="ˎ̥" w:hAnsi="Batang" w:eastAsia="FLGPEK+TimesNewRoman,Italic" w:cs="Batang"/>
      <w:bCs/>
      <w:snapToGrid w:val="0"/>
      <w:color w:val="000000"/>
      <w:spacing w:val="-20"/>
      <w:szCs w:val="21"/>
    </w:rPr>
  </w:style>
  <w:style w:type="character" w:customStyle="1" w:styleId="245">
    <w:name w:val="1.标题 1 Char Char"/>
    <w:qFormat/>
    <w:uiPriority w:val="0"/>
    <w:rPr>
      <w:rFonts w:eastAsia="仿宋体"/>
      <w:b/>
      <w:kern w:val="44"/>
      <w:sz w:val="28"/>
      <w:lang w:val="en-US" w:eastAsia="zh-CN"/>
    </w:rPr>
  </w:style>
  <w:style w:type="character" w:customStyle="1" w:styleId="246">
    <w:name w:val="Char Char21"/>
    <w:qFormat/>
    <w:uiPriority w:val="0"/>
    <w:rPr>
      <w:rFonts w:ascii="仿宋体" w:hAnsi="Century Schoolbook" w:eastAsia="仿宋体" w:cs="Century Schoolbook"/>
      <w:kern w:val="2"/>
      <w:sz w:val="21"/>
      <w:lang w:val="en-US" w:eastAsia="zh-CN"/>
    </w:rPr>
  </w:style>
  <w:style w:type="character" w:customStyle="1" w:styleId="247">
    <w:name w:val="Char Char2"/>
    <w:qFormat/>
    <w:uiPriority w:val="0"/>
    <w:rPr>
      <w:rFonts w:ascii="Sim Sun" w:hAnsi="ˎ̥" w:eastAsia="Sim Sun" w:cs="ˎ̥"/>
      <w:kern w:val="2"/>
      <w:sz w:val="21"/>
      <w:lang w:val="en-US" w:eastAsia="zh-CN"/>
    </w:rPr>
  </w:style>
  <w:style w:type="character" w:customStyle="1" w:styleId="248">
    <w:name w:val="正文文字缩进 Char Char"/>
    <w:qFormat/>
    <w:uiPriority w:val="0"/>
    <w:rPr>
      <w:rFonts w:ascii="FLGPEK+TimesNewRoman,Italic" w:eastAsia="FLGPEK+TimesNewRoman,Italic"/>
      <w:spacing w:val="5"/>
      <w:kern w:val="2"/>
      <w:sz w:val="25"/>
      <w:szCs w:val="25"/>
      <w:lang w:val="en-US" w:eastAsia="zh-CN" w:bidi="ar-SA"/>
    </w:rPr>
  </w:style>
  <w:style w:type="character" w:customStyle="1" w:styleId="249">
    <w:name w:val="Char Char111"/>
    <w:qFormat/>
    <w:uiPriority w:val="0"/>
    <w:rPr>
      <w:rFonts w:hint="default" w:ascii="ˎ̥" w:hAnsi="ˎ̥" w:eastAsia="FLGPEK+TimesNewRoman,Italic" w:cs="ˎ̥"/>
      <w:sz w:val="18"/>
      <w:szCs w:val="18"/>
    </w:rPr>
  </w:style>
  <w:style w:type="character" w:customStyle="1" w:styleId="250">
    <w:name w:val="Char Char141"/>
    <w:qFormat/>
    <w:uiPriority w:val="0"/>
    <w:rPr>
      <w:rFonts w:eastAsia="FLGPEK+TimesNewRoman,Italic"/>
      <w:kern w:val="2"/>
      <w:sz w:val="18"/>
      <w:szCs w:val="18"/>
      <w:lang w:val="en-US" w:eastAsia="zh-CN" w:bidi="ar-SA"/>
    </w:rPr>
  </w:style>
  <w:style w:type="character" w:customStyle="1" w:styleId="251">
    <w:name w:val="样式 正文首行缩进 + 四号 Char"/>
    <w:link w:val="252"/>
    <w:qFormat/>
    <w:uiPriority w:val="0"/>
    <w:rPr>
      <w:rFonts w:ascii="Sim Sun" w:hAnsi="Arial Unicode MS"/>
      <w:color w:val="000000"/>
      <w:kern w:val="24"/>
      <w:sz w:val="28"/>
      <w:szCs w:val="24"/>
    </w:rPr>
  </w:style>
  <w:style w:type="paragraph" w:customStyle="1" w:styleId="252">
    <w:name w:val="样式 正文首行缩进 + 四号"/>
    <w:basedOn w:val="253"/>
    <w:link w:val="251"/>
    <w:qFormat/>
    <w:uiPriority w:val="0"/>
    <w:pPr>
      <w:keepLines/>
      <w:tabs>
        <w:tab w:val="left" w:pos="0"/>
        <w:tab w:val="left" w:pos="1727"/>
        <w:tab w:val="left" w:pos="1884"/>
        <w:tab w:val="left" w:pos="8480"/>
      </w:tabs>
      <w:adjustRightInd w:val="0"/>
      <w:snapToGrid w:val="0"/>
      <w:ind w:left="-15" w:leftChars="-7"/>
    </w:pPr>
    <w:rPr>
      <w:rFonts w:ascii="Sim Sun"/>
      <w:bCs w:val="0"/>
      <w:sz w:val="28"/>
    </w:rPr>
  </w:style>
  <w:style w:type="paragraph" w:customStyle="1" w:styleId="253">
    <w:name w:val="正文首行缩进1"/>
    <w:basedOn w:val="28"/>
    <w:link w:val="570"/>
    <w:qFormat/>
    <w:uiPriority w:val="0"/>
    <w:pPr>
      <w:widowControl w:val="0"/>
      <w:snapToGrid/>
      <w:spacing w:before="0" w:after="120" w:line="440" w:lineRule="exact"/>
      <w:ind w:right="0" w:firstLine="420" w:firstLineChars="100"/>
    </w:pPr>
    <w:rPr>
      <w:rFonts w:ascii="Arial Unicode MS" w:hAnsi="Arial Unicode MS"/>
      <w:bCs/>
      <w:color w:val="000000"/>
      <w:kern w:val="24"/>
      <w:sz w:val="24"/>
      <w:szCs w:val="24"/>
    </w:rPr>
  </w:style>
  <w:style w:type="character" w:customStyle="1" w:styleId="254">
    <w:name w:val="明显引用 Char"/>
    <w:link w:val="255"/>
    <w:qFormat/>
    <w:uiPriority w:val="0"/>
    <w:rPr>
      <w:rFonts w:eastAsia="Sim Sun"/>
      <w:b/>
      <w:bCs/>
      <w:i/>
      <w:iCs/>
      <w:color w:val="4F81BD"/>
    </w:rPr>
  </w:style>
  <w:style w:type="paragraph" w:customStyle="1" w:styleId="255">
    <w:name w:val="明显引用1"/>
    <w:basedOn w:val="1"/>
    <w:next w:val="1"/>
    <w:link w:val="254"/>
    <w:qFormat/>
    <w:uiPriority w:val="0"/>
    <w:pPr>
      <w:pBdr>
        <w:bottom w:val="single" w:color="4F81BD" w:sz="4" w:space="4"/>
      </w:pBdr>
      <w:spacing w:before="200" w:after="280" w:line="440" w:lineRule="exact"/>
      <w:ind w:left="936" w:right="936" w:firstLine="200"/>
    </w:pPr>
    <w:rPr>
      <w:rFonts w:eastAsia="Sim Sun"/>
      <w:b/>
      <w:bCs/>
      <w:i/>
      <w:iCs/>
      <w:color w:val="4F81BD"/>
      <w:kern w:val="0"/>
      <w:sz w:val="20"/>
      <w:szCs w:val="20"/>
    </w:rPr>
  </w:style>
  <w:style w:type="character" w:customStyle="1" w:styleId="256">
    <w:name w:val="样式25 Char"/>
    <w:link w:val="257"/>
    <w:qFormat/>
    <w:uiPriority w:val="0"/>
    <w:rPr>
      <w:rFonts w:ascii="宋体" w:hAnsi="宋体"/>
      <w:kern w:val="10"/>
      <w:sz w:val="28"/>
      <w:szCs w:val="28"/>
    </w:rPr>
  </w:style>
  <w:style w:type="paragraph" w:customStyle="1" w:styleId="257">
    <w:name w:val="样式25"/>
    <w:basedOn w:val="1"/>
    <w:link w:val="256"/>
    <w:qFormat/>
    <w:uiPriority w:val="0"/>
    <w:pPr>
      <w:outlineLvl w:val="2"/>
    </w:pPr>
    <w:rPr>
      <w:rFonts w:ascii="宋体" w:hAnsi="宋体"/>
      <w:kern w:val="10"/>
      <w:sz w:val="28"/>
      <w:szCs w:val="28"/>
    </w:rPr>
  </w:style>
  <w:style w:type="character" w:customStyle="1" w:styleId="258">
    <w:name w:val="标题5 Char"/>
    <w:link w:val="259"/>
    <w:qFormat/>
    <w:uiPriority w:val="0"/>
    <w:rPr>
      <w:rFonts w:ascii="宋体" w:hAnsi="宋体"/>
      <w:bCs/>
      <w:color w:val="000000"/>
      <w:kern w:val="24"/>
      <w:sz w:val="24"/>
      <w:szCs w:val="24"/>
    </w:rPr>
  </w:style>
  <w:style w:type="paragraph" w:customStyle="1" w:styleId="259">
    <w:name w:val="标题5"/>
    <w:basedOn w:val="1"/>
    <w:link w:val="258"/>
    <w:qFormat/>
    <w:uiPriority w:val="0"/>
    <w:pPr>
      <w:spacing w:line="480" w:lineRule="exact"/>
      <w:ind w:firstLine="480"/>
    </w:pPr>
    <w:rPr>
      <w:rFonts w:ascii="宋体" w:hAnsi="宋体"/>
      <w:bCs/>
      <w:color w:val="000000"/>
      <w:kern w:val="24"/>
    </w:rPr>
  </w:style>
  <w:style w:type="character" w:customStyle="1" w:styleId="260">
    <w:name w:val="hg21"/>
    <w:qFormat/>
    <w:uiPriority w:val="0"/>
    <w:rPr>
      <w:color w:val="000000"/>
      <w:sz w:val="28"/>
      <w:szCs w:val="28"/>
    </w:rPr>
  </w:style>
  <w:style w:type="character" w:customStyle="1" w:styleId="261">
    <w:name w:val="样式 小四 Char Char"/>
    <w:qFormat/>
    <w:uiPriority w:val="0"/>
    <w:rPr>
      <w:rFonts w:eastAsia="宋体"/>
      <w:sz w:val="24"/>
      <w:szCs w:val="21"/>
      <w:lang w:val="en-US" w:eastAsia="zh-CN" w:bidi="ar-SA"/>
    </w:rPr>
  </w:style>
  <w:style w:type="character" w:customStyle="1" w:styleId="262">
    <w:name w:val="目录 2 Char"/>
    <w:qFormat/>
    <w:uiPriority w:val="0"/>
    <w:rPr>
      <w:b/>
      <w:bCs/>
      <w:kern w:val="2"/>
      <w:lang w:bidi="ar-SA"/>
    </w:rPr>
  </w:style>
  <w:style w:type="character" w:customStyle="1" w:styleId="263">
    <w:name w:val="表格文字统一样式 Char"/>
    <w:link w:val="264"/>
    <w:qFormat/>
    <w:uiPriority w:val="0"/>
    <w:rPr>
      <w:rFonts w:eastAsia="Garamond"/>
      <w:sz w:val="21"/>
    </w:rPr>
  </w:style>
  <w:style w:type="paragraph" w:customStyle="1" w:styleId="264">
    <w:name w:val="表格文字统一样式"/>
    <w:basedOn w:val="1"/>
    <w:link w:val="263"/>
    <w:qFormat/>
    <w:uiPriority w:val="0"/>
    <w:pPr>
      <w:widowControl/>
      <w:autoSpaceDE w:val="0"/>
      <w:autoSpaceDN w:val="0"/>
      <w:spacing w:line="440" w:lineRule="exact"/>
      <w:ind w:firstLine="200"/>
      <w:jc w:val="center"/>
      <w:textAlignment w:val="bottom"/>
    </w:pPr>
    <w:rPr>
      <w:rFonts w:eastAsia="Garamond"/>
      <w:kern w:val="0"/>
      <w:szCs w:val="20"/>
    </w:rPr>
  </w:style>
  <w:style w:type="character" w:customStyle="1" w:styleId="265">
    <w:name w:val="样式4 Char Char Char"/>
    <w:qFormat/>
    <w:uiPriority w:val="0"/>
    <w:rPr>
      <w:rFonts w:ascii="ˎ̥" w:hAnsi="ˎ̥" w:eastAsia="Sim Sun"/>
      <w:kern w:val="2"/>
      <w:sz w:val="24"/>
      <w:lang w:val="en-US" w:eastAsia="zh-CN"/>
    </w:rPr>
  </w:style>
  <w:style w:type="character" w:customStyle="1" w:styleId="266">
    <w:name w:val="Char Char31"/>
    <w:qFormat/>
    <w:uiPriority w:val="0"/>
    <w:rPr>
      <w:rFonts w:ascii="仿宋体" w:hAnsi="仿宋体" w:eastAsia="仿宋体"/>
      <w:sz w:val="28"/>
      <w:lang w:val="en-US" w:eastAsia="zh-CN"/>
    </w:rPr>
  </w:style>
  <w:style w:type="character" w:customStyle="1" w:styleId="267">
    <w:name w:val="arr1"/>
    <w:basedOn w:val="95"/>
    <w:qFormat/>
    <w:uiPriority w:val="0"/>
  </w:style>
  <w:style w:type="character" w:customStyle="1" w:styleId="268">
    <w:name w:val="样式 表格备注 Char"/>
    <w:link w:val="269"/>
    <w:qFormat/>
    <w:uiPriority w:val="0"/>
    <w:rPr>
      <w:rFonts w:ascii="Sim Sun" w:hAnsi="Sim Sun" w:eastAsia="宋体-方正超大字符集"/>
      <w:sz w:val="24"/>
    </w:rPr>
  </w:style>
  <w:style w:type="paragraph" w:customStyle="1" w:styleId="269">
    <w:name w:val="样式 表格备注"/>
    <w:basedOn w:val="1"/>
    <w:link w:val="268"/>
    <w:qFormat/>
    <w:uiPriority w:val="0"/>
    <w:pPr>
      <w:keepNext/>
      <w:tabs>
        <w:tab w:val="left" w:pos="628"/>
        <w:tab w:val="left" w:pos="1727"/>
        <w:tab w:val="left" w:pos="1884"/>
        <w:tab w:val="left" w:pos="4325"/>
        <w:tab w:val="left" w:pos="4900"/>
      </w:tabs>
      <w:adjustRightInd w:val="0"/>
      <w:snapToGrid w:val="0"/>
      <w:ind w:firstLine="480"/>
    </w:pPr>
    <w:rPr>
      <w:rFonts w:ascii="Sim Sun" w:hAnsi="Sim Sun" w:eastAsia="宋体-方正超大字符集"/>
      <w:kern w:val="0"/>
      <w:szCs w:val="20"/>
    </w:rPr>
  </w:style>
  <w:style w:type="character" w:customStyle="1" w:styleId="270">
    <w:name w:val="标题1.1.1.1.1.1 Char Char"/>
    <w:qFormat/>
    <w:uiPriority w:val="0"/>
    <w:rPr>
      <w:rFonts w:ascii="Arial" w:hAnsi="Arial" w:eastAsia="黑体"/>
      <w:b/>
      <w:bCs/>
      <w:spacing w:val="5"/>
      <w:kern w:val="2"/>
      <w:sz w:val="24"/>
      <w:szCs w:val="24"/>
      <w:lang w:val="en-US" w:eastAsia="zh-CN" w:bidi="ar-SA"/>
    </w:rPr>
  </w:style>
  <w:style w:type="character" w:customStyle="1" w:styleId="271">
    <w:name w:val="apple-converted-space"/>
    <w:basedOn w:val="95"/>
    <w:qFormat/>
    <w:uiPriority w:val="0"/>
  </w:style>
  <w:style w:type="character" w:customStyle="1" w:styleId="272">
    <w:name w:val="样式 标题 2标题2二级 标题 2H2h2第一层条标题 2 Char节标题节11 Char标题 2 Cha...3 Char"/>
    <w:link w:val="273"/>
    <w:qFormat/>
    <w:uiPriority w:val="0"/>
    <w:rPr>
      <w:rFonts w:ascii="ˎ̥" w:hAnsi="ˎ̥" w:eastAsia="仿宋体"/>
      <w:b/>
      <w:kern w:val="2"/>
      <w:sz w:val="21"/>
    </w:rPr>
  </w:style>
  <w:style w:type="paragraph" w:customStyle="1" w:styleId="273">
    <w:name w:val="样式 标题 2标题2二级 标题 2H2h2第一层条标题 2 Char节标题节11 Char标题 2 Cha...3"/>
    <w:basedOn w:val="5"/>
    <w:link w:val="272"/>
    <w:qFormat/>
    <w:uiPriority w:val="0"/>
    <w:pPr>
      <w:keepNext w:val="0"/>
      <w:keepLines w:val="0"/>
      <w:adjustRightInd w:val="0"/>
      <w:spacing w:before="240" w:after="240" w:line="360" w:lineRule="exact"/>
      <w:ind w:left="578" w:hanging="578"/>
      <w:textAlignment w:val="baseline"/>
    </w:pPr>
    <w:rPr>
      <w:rFonts w:ascii="ˎ̥" w:hAnsi="ˎ̥" w:eastAsia="仿宋体"/>
      <w:bCs w:val="0"/>
      <w:sz w:val="21"/>
      <w:szCs w:val="20"/>
    </w:rPr>
  </w:style>
  <w:style w:type="character" w:customStyle="1" w:styleId="274">
    <w:name w:val="Char Char Char3"/>
    <w:qFormat/>
    <w:uiPriority w:val="0"/>
    <w:rPr>
      <w:rFonts w:ascii="Sim Sun" w:hAnsi="ˎ̥" w:eastAsia="Sim Sun"/>
      <w:b/>
      <w:bCs/>
      <w:kern w:val="44"/>
      <w:sz w:val="30"/>
      <w:lang w:val="en-US" w:eastAsia="zh-CN"/>
    </w:rPr>
  </w:style>
  <w:style w:type="character" w:customStyle="1" w:styleId="275">
    <w:name w:val="正文正文 Char Char"/>
    <w:qFormat/>
    <w:uiPriority w:val="0"/>
    <w:rPr>
      <w:rFonts w:eastAsia="宋体" w:cs="宋体"/>
      <w:kern w:val="2"/>
      <w:sz w:val="24"/>
      <w:lang w:val="en-US" w:eastAsia="zh-CN" w:bidi="ar-SA"/>
    </w:rPr>
  </w:style>
  <w:style w:type="character" w:customStyle="1" w:styleId="276">
    <w:name w:val="text3_blu"/>
    <w:basedOn w:val="95"/>
    <w:qFormat/>
    <w:uiPriority w:val="0"/>
  </w:style>
  <w:style w:type="character" w:customStyle="1" w:styleId="277">
    <w:name w:val="标题 8 Char1"/>
    <w:qFormat/>
    <w:uiPriority w:val="0"/>
    <w:rPr>
      <w:rFonts w:ascii="ˎ̥" w:hAnsi="ˎ̥" w:eastAsia="仿宋体"/>
      <w:spacing w:val="3"/>
      <w:kern w:val="24"/>
      <w:sz w:val="24"/>
      <w:lang w:val="en-US" w:eastAsia="zh-CN"/>
    </w:rPr>
  </w:style>
  <w:style w:type="character" w:customStyle="1" w:styleId="278">
    <w:name w:val="xl35 Char"/>
    <w:link w:val="279"/>
    <w:qFormat/>
    <w:uiPriority w:val="0"/>
    <w:rPr>
      <w:rFonts w:ascii="Arial Unicode MS" w:hAnsi="Arial Unicode MS" w:eastAsia="Arial Unicode MS" w:cs="Arial Unicode MS"/>
      <w:shd w:val="clear" w:color="auto" w:fill="FFCC00"/>
    </w:rPr>
  </w:style>
  <w:style w:type="paragraph" w:customStyle="1" w:styleId="279">
    <w:name w:val="xl35"/>
    <w:basedOn w:val="1"/>
    <w:link w:val="278"/>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character" w:customStyle="1" w:styleId="280">
    <w:name w:val="cn1"/>
    <w:basedOn w:val="95"/>
    <w:semiHidden/>
    <w:qFormat/>
    <w:uiPriority w:val="0"/>
  </w:style>
  <w:style w:type="character" w:customStyle="1" w:styleId="281">
    <w:name w:val="z-窗体底端 Char"/>
    <w:link w:val="282"/>
    <w:qFormat/>
    <w:uiPriority w:val="0"/>
    <w:rPr>
      <w:rFonts w:ascii="ˎ̥" w:hAnsi="ˎ̥"/>
      <w:vanish/>
      <w:sz w:val="16"/>
      <w:szCs w:val="16"/>
    </w:rPr>
  </w:style>
  <w:style w:type="paragraph" w:customStyle="1" w:styleId="282">
    <w:name w:val="z-窗体底端1"/>
    <w:basedOn w:val="1"/>
    <w:next w:val="1"/>
    <w:link w:val="281"/>
    <w:qFormat/>
    <w:uiPriority w:val="0"/>
    <w:pPr>
      <w:widowControl/>
      <w:pBdr>
        <w:top w:val="single" w:color="auto" w:sz="6" w:space="1"/>
      </w:pBdr>
      <w:spacing w:line="440" w:lineRule="exact"/>
      <w:ind w:firstLine="200"/>
      <w:jc w:val="center"/>
    </w:pPr>
    <w:rPr>
      <w:rFonts w:ascii="ˎ̥" w:hAnsi="ˎ̥"/>
      <w:vanish/>
      <w:kern w:val="0"/>
      <w:sz w:val="16"/>
      <w:szCs w:val="16"/>
    </w:rPr>
  </w:style>
  <w:style w:type="character" w:customStyle="1" w:styleId="283">
    <w:name w:val="px141"/>
    <w:qFormat/>
    <w:uiPriority w:val="0"/>
    <w:rPr>
      <w:rFonts w:hint="default" w:ascii="ˎ̥" w:hAnsi="ˎ̥"/>
      <w:sz w:val="21"/>
    </w:rPr>
  </w:style>
  <w:style w:type="character" w:customStyle="1" w:styleId="284">
    <w:name w:val="style131"/>
    <w:qFormat/>
    <w:uiPriority w:val="0"/>
    <w:rPr>
      <w:color w:val="2977C1"/>
      <w:sz w:val="18"/>
      <w:szCs w:val="18"/>
    </w:rPr>
  </w:style>
  <w:style w:type="character" w:customStyle="1" w:styleId="285">
    <w:name w:val="main141"/>
    <w:qFormat/>
    <w:uiPriority w:val="0"/>
    <w:rPr>
      <w:sz w:val="22"/>
      <w:szCs w:val="22"/>
    </w:rPr>
  </w:style>
  <w:style w:type="character" w:customStyle="1" w:styleId="286">
    <w:name w:val="标题 9 Char Char Char"/>
    <w:qFormat/>
    <w:uiPriority w:val="0"/>
    <w:rPr>
      <w:rFonts w:ascii="Arial" w:hAnsi="Arial" w:eastAsia="黑体"/>
      <w:kern w:val="2"/>
      <w:sz w:val="21"/>
      <w:szCs w:val="21"/>
      <w:lang w:val="en-US" w:eastAsia="zh-CN" w:bidi="ar-SA"/>
    </w:rPr>
  </w:style>
  <w:style w:type="character" w:customStyle="1" w:styleId="287">
    <w:name w:val="p1481"/>
    <w:qFormat/>
    <w:uiPriority w:val="0"/>
    <w:rPr>
      <w:color w:val="515151"/>
      <w:sz w:val="22"/>
      <w:szCs w:val="22"/>
    </w:rPr>
  </w:style>
  <w:style w:type="character" w:customStyle="1" w:styleId="288">
    <w:name w:val="新标题4 Char"/>
    <w:link w:val="289"/>
    <w:qFormat/>
    <w:uiPriority w:val="0"/>
    <w:rPr>
      <w:rFonts w:ascii="ˎ̥" w:hAnsi="ˎ̥"/>
      <w:b/>
      <w:bCs/>
      <w:spacing w:val="8"/>
      <w:sz w:val="24"/>
    </w:rPr>
  </w:style>
  <w:style w:type="paragraph" w:customStyle="1" w:styleId="289">
    <w:name w:val="新标题4"/>
    <w:basedOn w:val="3"/>
    <w:link w:val="288"/>
    <w:qFormat/>
    <w:uiPriority w:val="0"/>
    <w:pPr>
      <w:tabs>
        <w:tab w:val="left" w:pos="512"/>
        <w:tab w:val="left" w:pos="1024"/>
        <w:tab w:val="left" w:pos="1583"/>
      </w:tabs>
      <w:overflowPunct w:val="0"/>
      <w:topLinePunct/>
      <w:autoSpaceDE w:val="0"/>
      <w:autoSpaceDN w:val="0"/>
      <w:adjustRightInd w:val="0"/>
      <w:snapToGrid w:val="0"/>
      <w:spacing w:line="440" w:lineRule="exact"/>
      <w:ind w:left="1583" w:hanging="851"/>
    </w:pPr>
    <w:rPr>
      <w:rFonts w:ascii="ˎ̥" w:hAnsi="ˎ̥" w:eastAsia="宋体"/>
      <w:spacing w:val="8"/>
      <w:kern w:val="0"/>
      <w:sz w:val="24"/>
      <w:szCs w:val="20"/>
    </w:rPr>
  </w:style>
  <w:style w:type="character" w:customStyle="1" w:styleId="290">
    <w:name w:val="r1"/>
    <w:qFormat/>
    <w:uiPriority w:val="0"/>
    <w:rPr>
      <w:spacing w:val="300"/>
      <w:sz w:val="20"/>
      <w:szCs w:val="20"/>
    </w:rPr>
  </w:style>
  <w:style w:type="character" w:customStyle="1" w:styleId="291">
    <w:name w:val="3级标题3 Char"/>
    <w:link w:val="292"/>
    <w:qFormat/>
    <w:uiPriority w:val="0"/>
    <w:rPr>
      <w:rFonts w:ascii="宋体" w:eastAsia="仿宋_GB2312" w:cs="宋体"/>
      <w:b/>
      <w:color w:val="000000"/>
      <w:sz w:val="28"/>
      <w:szCs w:val="28"/>
    </w:rPr>
  </w:style>
  <w:style w:type="paragraph" w:customStyle="1" w:styleId="292">
    <w:name w:val="3级标题3"/>
    <w:basedOn w:val="1"/>
    <w:link w:val="291"/>
    <w:qFormat/>
    <w:uiPriority w:val="0"/>
    <w:pPr>
      <w:autoSpaceDE w:val="0"/>
      <w:autoSpaceDN w:val="0"/>
      <w:adjustRightInd w:val="0"/>
      <w:outlineLvl w:val="2"/>
    </w:pPr>
    <w:rPr>
      <w:rFonts w:ascii="宋体" w:eastAsia="仿宋_GB2312" w:cs="宋体"/>
      <w:b/>
      <w:color w:val="000000"/>
      <w:kern w:val="0"/>
      <w:sz w:val="28"/>
      <w:szCs w:val="28"/>
    </w:rPr>
  </w:style>
  <w:style w:type="character" w:customStyle="1" w:styleId="293">
    <w:name w:val="headline-content2"/>
    <w:basedOn w:val="95"/>
    <w:qFormat/>
    <w:uiPriority w:val="0"/>
  </w:style>
  <w:style w:type="character" w:customStyle="1" w:styleId="294">
    <w:name w:val="正文1 Char Char"/>
    <w:qFormat/>
    <w:uiPriority w:val="0"/>
    <w:rPr>
      <w:rFonts w:ascii="Chicago" w:hAnsi="Chicago" w:eastAsia="Calibri" w:cs="Chicago"/>
      <w:kern w:val="2"/>
      <w:sz w:val="28"/>
      <w:lang w:val="en-US" w:eastAsia="zh-CN" w:bidi="ar-SA"/>
    </w:rPr>
  </w:style>
  <w:style w:type="character" w:customStyle="1" w:styleId="295">
    <w:name w:val="text3_blu1"/>
    <w:qFormat/>
    <w:uiPriority w:val="0"/>
    <w:rPr>
      <w:rFonts w:hint="default" w:ascii="Arial" w:hAnsi="Arial" w:cs="Arial"/>
      <w:color w:val="000066"/>
      <w:spacing w:val="24"/>
      <w:sz w:val="20"/>
      <w:szCs w:val="20"/>
    </w:rPr>
  </w:style>
  <w:style w:type="character" w:customStyle="1" w:styleId="296">
    <w:name w:val="Char Char101"/>
    <w:qFormat/>
    <w:uiPriority w:val="0"/>
    <w:rPr>
      <w:rFonts w:ascii="Times New Roman" w:hAnsi="Times New Roman" w:eastAsia="黑体" w:cs="Arial"/>
      <w:bCs/>
      <w:kern w:val="28"/>
      <w:sz w:val="24"/>
      <w:szCs w:val="32"/>
    </w:rPr>
  </w:style>
  <w:style w:type="character" w:customStyle="1" w:styleId="297">
    <w:name w:val="正文缩进 Char Char Char"/>
    <w:qFormat/>
    <w:uiPriority w:val="0"/>
    <w:rPr>
      <w:rFonts w:eastAsia="宋体"/>
      <w:kern w:val="2"/>
      <w:sz w:val="21"/>
      <w:lang w:val="en-US" w:eastAsia="zh-CN" w:bidi="ar-SA"/>
    </w:rPr>
  </w:style>
  <w:style w:type="character" w:customStyle="1" w:styleId="298">
    <w:name w:val="Body text Exact"/>
    <w:qFormat/>
    <w:uiPriority w:val="99"/>
    <w:rPr>
      <w:rFonts w:ascii="MingLiU" w:eastAsia="MingLiU" w:cs="MingLiU"/>
      <w:spacing w:val="6"/>
      <w:sz w:val="22"/>
      <w:szCs w:val="22"/>
      <w:u w:val="none"/>
    </w:rPr>
  </w:style>
  <w:style w:type="character" w:styleId="299">
    <w:name w:val="Placeholder Text"/>
    <w:semiHidden/>
    <w:qFormat/>
    <w:uiPriority w:val="99"/>
    <w:rPr>
      <w:color w:val="808080"/>
    </w:rPr>
  </w:style>
  <w:style w:type="character" w:customStyle="1" w:styleId="300">
    <w:name w:val="text_edit editable-title"/>
    <w:basedOn w:val="95"/>
    <w:qFormat/>
    <w:uiPriority w:val="0"/>
  </w:style>
  <w:style w:type="character" w:customStyle="1" w:styleId="301">
    <w:name w:val="Char Char Char4"/>
    <w:qFormat/>
    <w:uiPriority w:val="0"/>
    <w:rPr>
      <w:rFonts w:hint="eastAsia" w:ascii="宋体" w:hAnsi="Arial" w:eastAsia="宋体"/>
      <w:b/>
      <w:bCs/>
      <w:kern w:val="44"/>
      <w:sz w:val="30"/>
      <w:lang w:val="en-US" w:eastAsia="zh-CN" w:bidi="ar-SA"/>
    </w:rPr>
  </w:style>
  <w:style w:type="character" w:customStyle="1" w:styleId="302">
    <w:name w:val="2级标题2 Char"/>
    <w:link w:val="303"/>
    <w:qFormat/>
    <w:uiPriority w:val="0"/>
    <w:rPr>
      <w:rFonts w:ascii="宋体" w:eastAsia="仿宋_GB2312" w:cs="宋体"/>
      <w:b/>
      <w:color w:val="000000"/>
      <w:sz w:val="30"/>
      <w:szCs w:val="30"/>
    </w:rPr>
  </w:style>
  <w:style w:type="paragraph" w:customStyle="1" w:styleId="303">
    <w:name w:val="2级标题2"/>
    <w:basedOn w:val="1"/>
    <w:link w:val="302"/>
    <w:qFormat/>
    <w:uiPriority w:val="0"/>
    <w:pPr>
      <w:autoSpaceDE w:val="0"/>
      <w:autoSpaceDN w:val="0"/>
      <w:adjustRightInd w:val="0"/>
      <w:outlineLvl w:val="1"/>
    </w:pPr>
    <w:rPr>
      <w:rFonts w:ascii="宋体" w:eastAsia="仿宋_GB2312" w:cs="宋体"/>
      <w:b/>
      <w:color w:val="000000"/>
      <w:kern w:val="0"/>
      <w:sz w:val="30"/>
      <w:szCs w:val="30"/>
    </w:rPr>
  </w:style>
  <w:style w:type="character" w:customStyle="1" w:styleId="304">
    <w:name w:val="words-outer-wrap words-outer-wrap-focus"/>
    <w:basedOn w:val="95"/>
    <w:qFormat/>
    <w:uiPriority w:val="0"/>
  </w:style>
  <w:style w:type="character" w:customStyle="1" w:styleId="305">
    <w:name w:val="Char Char6"/>
    <w:qFormat/>
    <w:uiPriority w:val="0"/>
    <w:rPr>
      <w:rFonts w:eastAsia="FLGPEK+TimesNewRoman,Italic"/>
      <w:kern w:val="2"/>
      <w:sz w:val="21"/>
      <w:szCs w:val="24"/>
      <w:lang w:val="en-US" w:eastAsia="zh-CN" w:bidi="ar-SA"/>
    </w:rPr>
  </w:style>
  <w:style w:type="character" w:customStyle="1" w:styleId="306">
    <w:name w:val="标题 Char1"/>
    <w:qFormat/>
    <w:uiPriority w:val="0"/>
    <w:rPr>
      <w:rFonts w:ascii="Batang" w:hAnsi="Batang" w:cs="Arial Unicode MS"/>
      <w:b/>
      <w:bCs/>
      <w:sz w:val="32"/>
      <w:szCs w:val="32"/>
    </w:rPr>
  </w:style>
  <w:style w:type="character" w:customStyle="1" w:styleId="307">
    <w:name w:val="正文文本缩进 2 Char"/>
    <w:link w:val="308"/>
    <w:qFormat/>
    <w:uiPriority w:val="99"/>
    <w:rPr>
      <w:bCs/>
      <w:color w:val="000000"/>
      <w:kern w:val="24"/>
      <w:sz w:val="24"/>
      <w:szCs w:val="24"/>
    </w:rPr>
  </w:style>
  <w:style w:type="paragraph" w:customStyle="1" w:styleId="308">
    <w:name w:val="正文文本缩进 21"/>
    <w:basedOn w:val="1"/>
    <w:link w:val="307"/>
    <w:qFormat/>
    <w:uiPriority w:val="99"/>
    <w:pPr>
      <w:autoSpaceDE w:val="0"/>
      <w:autoSpaceDN w:val="0"/>
      <w:adjustRightInd w:val="0"/>
      <w:spacing w:after="120" w:line="480" w:lineRule="auto"/>
      <w:ind w:left="420" w:leftChars="200" w:firstLine="200"/>
    </w:pPr>
    <w:rPr>
      <w:bCs/>
      <w:color w:val="000000"/>
      <w:kern w:val="24"/>
    </w:rPr>
  </w:style>
  <w:style w:type="character" w:customStyle="1" w:styleId="309">
    <w:name w:val="title-blue1"/>
    <w:qFormat/>
    <w:uiPriority w:val="0"/>
    <w:rPr>
      <w:rFonts w:hint="default" w:ascii="Chicago" w:hAnsi="Chicago"/>
      <w:b/>
      <w:bCs/>
      <w:color w:val="CC3300"/>
      <w:sz w:val="21"/>
      <w:szCs w:val="21"/>
      <w:u w:val="none"/>
    </w:rPr>
  </w:style>
  <w:style w:type="character" w:customStyle="1" w:styleId="310">
    <w:name w:val="题注 Char1 Char"/>
    <w:qFormat/>
    <w:uiPriority w:val="0"/>
    <w:rPr>
      <w:rFonts w:ascii="Arial" w:hAnsi="Arial" w:eastAsia="黑体" w:cs="Arial"/>
      <w:kern w:val="2"/>
      <w:lang w:val="en-US" w:eastAsia="zh-CN" w:bidi="ar-SA"/>
    </w:rPr>
  </w:style>
  <w:style w:type="character" w:customStyle="1" w:styleId="311">
    <w:name w:val="样式 首行缩进:  2 字符 Char Char"/>
    <w:qFormat/>
    <w:uiPriority w:val="0"/>
    <w:rPr>
      <w:rFonts w:eastAsia="宋体" w:cs="宋体"/>
      <w:kern w:val="2"/>
      <w:sz w:val="24"/>
      <w:szCs w:val="24"/>
      <w:lang w:val="en-US" w:eastAsia="zh-CN" w:bidi="ar-SA"/>
    </w:rPr>
  </w:style>
  <w:style w:type="character" w:customStyle="1" w:styleId="312">
    <w:name w:val="样式 标题 4 + 蓝色 Char"/>
    <w:link w:val="313"/>
    <w:qFormat/>
    <w:uiPriority w:val="0"/>
    <w:rPr>
      <w:rFonts w:ascii="新宋体" w:hAnsi="Arial" w:eastAsia="新宋体"/>
      <w:b/>
      <w:bCs/>
      <w:color w:val="0000FF"/>
      <w:kern w:val="2"/>
      <w:sz w:val="28"/>
      <w:szCs w:val="28"/>
    </w:rPr>
  </w:style>
  <w:style w:type="paragraph" w:customStyle="1" w:styleId="313">
    <w:name w:val="样式 标题 4 + 蓝色"/>
    <w:basedOn w:val="3"/>
    <w:link w:val="312"/>
    <w:qFormat/>
    <w:uiPriority w:val="0"/>
    <w:pPr>
      <w:spacing w:line="520" w:lineRule="exact"/>
    </w:pPr>
    <w:rPr>
      <w:rFonts w:ascii="新宋体" w:eastAsia="新宋体"/>
      <w:color w:val="0000FF"/>
    </w:rPr>
  </w:style>
  <w:style w:type="character" w:customStyle="1" w:styleId="314">
    <w:name w:val="sbody1"/>
    <w:qFormat/>
    <w:uiPriority w:val="0"/>
    <w:rPr>
      <w:spacing w:val="360"/>
      <w:sz w:val="14"/>
      <w:szCs w:val="14"/>
    </w:rPr>
  </w:style>
  <w:style w:type="character" w:customStyle="1" w:styleId="315">
    <w:name w:val="样式 报告正文 + 首行缩进:  2 字符 Char"/>
    <w:link w:val="316"/>
    <w:qFormat/>
    <w:uiPriority w:val="0"/>
    <w:rPr>
      <w:rFonts w:cs="宋体"/>
      <w:bCs/>
      <w:color w:val="000000"/>
      <w:kern w:val="24"/>
      <w:sz w:val="24"/>
    </w:rPr>
  </w:style>
  <w:style w:type="paragraph" w:customStyle="1" w:styleId="316">
    <w:name w:val="样式 报告正文 + 首行缩进:  2 字符"/>
    <w:basedOn w:val="1"/>
    <w:link w:val="315"/>
    <w:qFormat/>
    <w:uiPriority w:val="0"/>
    <w:pPr>
      <w:autoSpaceDE w:val="0"/>
      <w:autoSpaceDN w:val="0"/>
      <w:ind w:firstLine="200"/>
    </w:pPr>
    <w:rPr>
      <w:rFonts w:cs="宋体"/>
      <w:bCs/>
      <w:color w:val="000000"/>
      <w:kern w:val="24"/>
      <w:szCs w:val="20"/>
    </w:rPr>
  </w:style>
  <w:style w:type="character" w:customStyle="1" w:styleId="317">
    <w:name w:val="z-窗体顶端 Char"/>
    <w:link w:val="318"/>
    <w:qFormat/>
    <w:uiPriority w:val="0"/>
    <w:rPr>
      <w:rFonts w:ascii="ˎ̥" w:hAnsi="ˎ̥"/>
      <w:vanish/>
      <w:sz w:val="16"/>
      <w:szCs w:val="16"/>
    </w:rPr>
  </w:style>
  <w:style w:type="paragraph" w:customStyle="1" w:styleId="318">
    <w:name w:val="z-窗体顶端1"/>
    <w:basedOn w:val="1"/>
    <w:next w:val="1"/>
    <w:link w:val="317"/>
    <w:qFormat/>
    <w:uiPriority w:val="0"/>
    <w:pPr>
      <w:widowControl/>
      <w:pBdr>
        <w:bottom w:val="single" w:color="auto" w:sz="6" w:space="1"/>
      </w:pBdr>
      <w:spacing w:line="440" w:lineRule="exact"/>
      <w:ind w:firstLine="200"/>
      <w:jc w:val="center"/>
    </w:pPr>
    <w:rPr>
      <w:rFonts w:ascii="ˎ̥" w:hAnsi="ˎ̥"/>
      <w:vanish/>
      <w:kern w:val="0"/>
      <w:sz w:val="16"/>
      <w:szCs w:val="16"/>
    </w:rPr>
  </w:style>
  <w:style w:type="character" w:customStyle="1" w:styleId="319">
    <w:name w:val="text1411"/>
    <w:qFormat/>
    <w:uiPriority w:val="0"/>
    <w:rPr>
      <w:rFonts w:hint="default" w:ascii="楷体_GB2312" w:hAnsi="楷体_GB2312"/>
      <w:color w:val="CA3E00"/>
      <w:sz w:val="21"/>
      <w:szCs w:val="21"/>
    </w:rPr>
  </w:style>
  <w:style w:type="character" w:customStyle="1" w:styleId="320">
    <w:name w:val="样式2 Char"/>
    <w:link w:val="321"/>
    <w:qFormat/>
    <w:uiPriority w:val="0"/>
    <w:rPr>
      <w:rFonts w:ascii="宋体" w:hAnsi="宋体"/>
      <w:bCs/>
      <w:snapToGrid w:val="0"/>
      <w:color w:val="000000"/>
      <w:kern w:val="24"/>
      <w:sz w:val="24"/>
      <w:szCs w:val="24"/>
    </w:rPr>
  </w:style>
  <w:style w:type="paragraph" w:customStyle="1" w:styleId="321">
    <w:name w:val="样式2"/>
    <w:basedOn w:val="1"/>
    <w:link w:val="320"/>
    <w:qFormat/>
    <w:uiPriority w:val="0"/>
    <w:pPr>
      <w:snapToGrid w:val="0"/>
      <w:spacing w:line="440" w:lineRule="exact"/>
      <w:ind w:firstLine="200"/>
    </w:pPr>
    <w:rPr>
      <w:rFonts w:ascii="宋体" w:hAnsi="宋体"/>
      <w:bCs/>
      <w:snapToGrid w:val="0"/>
      <w:color w:val="000000"/>
      <w:kern w:val="24"/>
    </w:rPr>
  </w:style>
  <w:style w:type="character" w:customStyle="1" w:styleId="322">
    <w:name w:val="Char Char82"/>
    <w:qFormat/>
    <w:uiPriority w:val="0"/>
    <w:rPr>
      <w:rFonts w:ascii="宋体" w:hAnsi="宋体" w:eastAsia="FLGPEK+TimesNewRoman,Italic"/>
      <w:kern w:val="2"/>
      <w:sz w:val="21"/>
      <w:szCs w:val="22"/>
      <w:lang w:val="en-US" w:eastAsia="zh-CN" w:bidi="ar-SA"/>
    </w:rPr>
  </w:style>
  <w:style w:type="character" w:customStyle="1" w:styleId="323">
    <w:name w:val="批注引用1"/>
    <w:qFormat/>
    <w:uiPriority w:val="0"/>
    <w:rPr>
      <w:sz w:val="21"/>
      <w:szCs w:val="21"/>
    </w:rPr>
  </w:style>
  <w:style w:type="character" w:customStyle="1" w:styleId="324">
    <w:name w:val="样式 标题 1 + (中文) 宋体 小四 Char"/>
    <w:link w:val="325"/>
    <w:qFormat/>
    <w:uiPriority w:val="0"/>
    <w:rPr>
      <w:rFonts w:ascii="Batang" w:hAnsi="Batang" w:cs="Batang"/>
      <w:b/>
      <w:bCs/>
      <w:color w:val="000000"/>
      <w:kern w:val="2"/>
      <w:sz w:val="44"/>
      <w:szCs w:val="24"/>
    </w:rPr>
  </w:style>
  <w:style w:type="paragraph" w:customStyle="1" w:styleId="325">
    <w:name w:val="样式 标题 1 + (中文) 宋体 小四"/>
    <w:basedOn w:val="4"/>
    <w:link w:val="324"/>
    <w:qFormat/>
    <w:uiPriority w:val="0"/>
    <w:pPr>
      <w:keepLines/>
      <w:overflowPunct/>
      <w:snapToGrid/>
      <w:spacing w:before="360" w:after="0" w:line="360" w:lineRule="auto"/>
      <w:ind w:left="0" w:firstLine="0"/>
    </w:pPr>
    <w:rPr>
      <w:rFonts w:ascii="Batang" w:hAnsi="Batang" w:eastAsia="宋体" w:cs="Batang"/>
      <w:kern w:val="2"/>
      <w:sz w:val="44"/>
      <w:szCs w:val="24"/>
    </w:rPr>
  </w:style>
  <w:style w:type="character" w:customStyle="1" w:styleId="326">
    <w:name w:val="正文文字 Char Char1"/>
    <w:qFormat/>
    <w:uiPriority w:val="0"/>
    <w:rPr>
      <w:rFonts w:ascii="Batang" w:hAnsi="Batang" w:eastAsia="宋体-方正超大字符集" w:cs="Batang"/>
      <w:kern w:val="2"/>
      <w:sz w:val="21"/>
      <w:lang w:val="en-US" w:eastAsia="zh-CN" w:bidi="ar-SA"/>
    </w:rPr>
  </w:style>
  <w:style w:type="character" w:customStyle="1" w:styleId="327">
    <w:name w:val="项标题(1) Char Char"/>
    <w:qFormat/>
    <w:uiPriority w:val="0"/>
    <w:rPr>
      <w:rFonts w:eastAsia="宋体"/>
      <w:b/>
      <w:bCs/>
      <w:kern w:val="2"/>
      <w:sz w:val="24"/>
      <w:szCs w:val="24"/>
      <w:lang w:val="en-US" w:eastAsia="zh-CN" w:bidi="ar-SA"/>
    </w:rPr>
  </w:style>
  <w:style w:type="character" w:customStyle="1" w:styleId="328">
    <w:name w:val="正文格式 Char"/>
    <w:link w:val="329"/>
    <w:qFormat/>
    <w:uiPriority w:val="0"/>
    <w:rPr>
      <w:rFonts w:cs="宋体"/>
      <w:bCs/>
      <w:color w:val="000000"/>
      <w:kern w:val="24"/>
      <w:sz w:val="24"/>
      <w:szCs w:val="24"/>
    </w:rPr>
  </w:style>
  <w:style w:type="paragraph" w:customStyle="1" w:styleId="329">
    <w:name w:val="正文格式"/>
    <w:basedOn w:val="1"/>
    <w:link w:val="328"/>
    <w:qFormat/>
    <w:uiPriority w:val="0"/>
    <w:pPr>
      <w:ind w:firstLine="544"/>
    </w:pPr>
    <w:rPr>
      <w:rFonts w:cs="宋体"/>
      <w:bCs/>
      <w:color w:val="000000"/>
      <w:kern w:val="24"/>
    </w:rPr>
  </w:style>
  <w:style w:type="character" w:customStyle="1" w:styleId="330">
    <w:name w:val="正文文本缩进 Char Char"/>
    <w:qFormat/>
    <w:uiPriority w:val="0"/>
    <w:rPr>
      <w:rFonts w:ascii="宋体" w:hAnsi="宋体" w:eastAsia="宋体"/>
      <w:color w:val="000000"/>
      <w:kern w:val="2"/>
      <w:sz w:val="21"/>
      <w:szCs w:val="21"/>
      <w:lang w:val="zh-CN" w:eastAsia="zh-CN" w:bidi="ar-SA"/>
    </w:rPr>
  </w:style>
  <w:style w:type="character" w:customStyle="1" w:styleId="331">
    <w:name w:val="正文000 Char"/>
    <w:link w:val="332"/>
    <w:qFormat/>
    <w:uiPriority w:val="0"/>
    <w:rPr>
      <w:sz w:val="24"/>
    </w:rPr>
  </w:style>
  <w:style w:type="paragraph" w:customStyle="1" w:styleId="332">
    <w:name w:val="正文000"/>
    <w:basedOn w:val="1"/>
    <w:link w:val="331"/>
    <w:qFormat/>
    <w:uiPriority w:val="0"/>
    <w:pPr>
      <w:spacing w:afterLines="50" w:line="288" w:lineRule="auto"/>
      <w:ind w:firstLine="480"/>
    </w:pPr>
    <w:rPr>
      <w:kern w:val="0"/>
      <w:szCs w:val="20"/>
    </w:rPr>
  </w:style>
  <w:style w:type="character" w:customStyle="1" w:styleId="333">
    <w:name w:val="样式 正文文本正文文字 + 仿宋_GB2312 四号 红色 Char"/>
    <w:qFormat/>
    <w:uiPriority w:val="0"/>
    <w:rPr>
      <w:rFonts w:ascii="Garamond" w:hAnsi="Garamond" w:eastAsia="Garamond"/>
      <w:snapToGrid w:val="0"/>
      <w:color w:val="FF0000"/>
      <w:kern w:val="2"/>
      <w:sz w:val="24"/>
      <w:lang w:val="en-US" w:eastAsia="zh-CN"/>
    </w:rPr>
  </w:style>
  <w:style w:type="character" w:customStyle="1" w:styleId="334">
    <w:name w:val="正文文本缩进 3 Char"/>
    <w:qFormat/>
    <w:uiPriority w:val="0"/>
    <w:rPr>
      <w:rFonts w:ascii="Times New Roman" w:hAnsi="Times New Roman" w:eastAsia="宋体" w:cs="Times New Roman"/>
      <w:bCs/>
      <w:color w:val="000000"/>
      <w:kern w:val="24"/>
      <w:sz w:val="16"/>
      <w:szCs w:val="16"/>
    </w:rPr>
  </w:style>
  <w:style w:type="character" w:customStyle="1" w:styleId="335">
    <w:name w:val="未命名51"/>
    <w:qFormat/>
    <w:uiPriority w:val="0"/>
    <w:rPr>
      <w:sz w:val="23"/>
      <w:szCs w:val="23"/>
    </w:rPr>
  </w:style>
  <w:style w:type="character" w:customStyle="1" w:styleId="336">
    <w:name w:val="样式7 Char"/>
    <w:link w:val="337"/>
    <w:qFormat/>
    <w:uiPriority w:val="0"/>
    <w:rPr>
      <w:rFonts w:ascii="Arial" w:hAnsi="Arial"/>
      <w:color w:val="000000"/>
      <w:kern w:val="24"/>
      <w:sz w:val="28"/>
      <w:szCs w:val="28"/>
    </w:rPr>
  </w:style>
  <w:style w:type="paragraph" w:customStyle="1" w:styleId="337">
    <w:name w:val="样式7"/>
    <w:basedOn w:val="6"/>
    <w:link w:val="336"/>
    <w:qFormat/>
    <w:uiPriority w:val="0"/>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character" w:customStyle="1" w:styleId="338">
    <w:name w:val="标4 Char Char"/>
    <w:qFormat/>
    <w:uiPriority w:val="0"/>
    <w:rPr>
      <w:rFonts w:ascii="Sim Sun" w:eastAsia="Sim Sun"/>
      <w:sz w:val="28"/>
      <w:szCs w:val="28"/>
      <w:lang w:val="en-US" w:eastAsia="zh-CN"/>
    </w:rPr>
  </w:style>
  <w:style w:type="character" w:customStyle="1" w:styleId="339">
    <w:name w:val="text_l1"/>
    <w:qFormat/>
    <w:uiPriority w:val="0"/>
    <w:rPr>
      <w:color w:val="000066"/>
      <w:sz w:val="18"/>
      <w:szCs w:val="18"/>
    </w:rPr>
  </w:style>
  <w:style w:type="character" w:customStyle="1" w:styleId="340">
    <w:name w:val="正文（首行缩进两字） Char Char6"/>
    <w:qFormat/>
    <w:uiPriority w:val="0"/>
    <w:rPr>
      <w:rFonts w:ascii="仿宋_GB2312" w:eastAsia="仿宋_GB2312"/>
      <w:kern w:val="2"/>
      <w:sz w:val="28"/>
      <w:szCs w:val="24"/>
      <w:lang w:val="en-US" w:eastAsia="zh-CN" w:bidi="ar-SA"/>
    </w:rPr>
  </w:style>
  <w:style w:type="character" w:customStyle="1" w:styleId="341">
    <w:name w:val="unnamed31"/>
    <w:qFormat/>
    <w:uiPriority w:val="0"/>
    <w:rPr>
      <w:sz w:val="21"/>
      <w:szCs w:val="21"/>
    </w:rPr>
  </w:style>
  <w:style w:type="character" w:customStyle="1" w:styleId="342">
    <w:name w:val="Char Char181"/>
    <w:qFormat/>
    <w:uiPriority w:val="0"/>
    <w:rPr>
      <w:rFonts w:eastAsia="仿宋体"/>
      <w:b/>
      <w:kern w:val="2"/>
      <w:sz w:val="24"/>
      <w:lang w:val="en-US" w:eastAsia="zh-CN"/>
    </w:rPr>
  </w:style>
  <w:style w:type="character" w:customStyle="1" w:styleId="343">
    <w:name w:val="样式 正文文本缩进 2正文文字缩进 2 + 四号 蓝色 Char Char Char"/>
    <w:link w:val="344"/>
    <w:qFormat/>
    <w:uiPriority w:val="0"/>
    <w:rPr>
      <w:bCs/>
      <w:color w:val="0000FF"/>
      <w:sz w:val="24"/>
      <w:szCs w:val="24"/>
    </w:rPr>
  </w:style>
  <w:style w:type="paragraph" w:customStyle="1" w:styleId="344">
    <w:name w:val="样式 正文文本缩进 2正文文字缩进 2 + 四号 蓝色 Char Char"/>
    <w:basedOn w:val="44"/>
    <w:link w:val="343"/>
    <w:qFormat/>
    <w:uiPriority w:val="0"/>
    <w:pPr>
      <w:ind w:firstLine="709"/>
    </w:pPr>
    <w:rPr>
      <w:rFonts w:ascii="Times New Roman" w:hAnsi="Times New Roman"/>
      <w:color w:val="0000FF"/>
      <w:sz w:val="24"/>
      <w:szCs w:val="24"/>
    </w:rPr>
  </w:style>
  <w:style w:type="character" w:customStyle="1" w:styleId="345">
    <w:name w:val="正文文本 3 Char"/>
    <w:link w:val="346"/>
    <w:qFormat/>
    <w:uiPriority w:val="0"/>
    <w:rPr>
      <w:bCs/>
      <w:color w:val="000000"/>
      <w:kern w:val="24"/>
      <w:sz w:val="16"/>
      <w:szCs w:val="16"/>
    </w:rPr>
  </w:style>
  <w:style w:type="paragraph" w:customStyle="1" w:styleId="346">
    <w:name w:val="正文文本 31"/>
    <w:basedOn w:val="1"/>
    <w:link w:val="345"/>
    <w:qFormat/>
    <w:uiPriority w:val="0"/>
    <w:pPr>
      <w:spacing w:line="440" w:lineRule="exact"/>
      <w:ind w:firstLine="200"/>
    </w:pPr>
    <w:rPr>
      <w:bCs/>
      <w:color w:val="000000"/>
      <w:kern w:val="24"/>
      <w:sz w:val="16"/>
      <w:szCs w:val="16"/>
    </w:rPr>
  </w:style>
  <w:style w:type="character" w:customStyle="1" w:styleId="347">
    <w:name w:val="1级标题 Char"/>
    <w:link w:val="348"/>
    <w:qFormat/>
    <w:uiPriority w:val="0"/>
    <w:rPr>
      <w:rFonts w:eastAsia="仿宋_GB2312"/>
      <w:b/>
      <w:bCs/>
      <w:kern w:val="44"/>
      <w:sz w:val="32"/>
      <w:szCs w:val="32"/>
    </w:rPr>
  </w:style>
  <w:style w:type="paragraph" w:customStyle="1" w:styleId="348">
    <w:name w:val="1级标题"/>
    <w:basedOn w:val="4"/>
    <w:link w:val="347"/>
    <w:qFormat/>
    <w:uiPriority w:val="0"/>
    <w:pPr>
      <w:keepLines/>
      <w:overflowPunct/>
      <w:snapToGrid/>
      <w:spacing w:before="0" w:after="0" w:line="480" w:lineRule="auto"/>
      <w:ind w:left="0" w:firstLine="200"/>
      <w:jc w:val="center"/>
    </w:pPr>
    <w:rPr>
      <w:rFonts w:eastAsia="仿宋_GB2312"/>
      <w:color w:val="auto"/>
      <w:sz w:val="32"/>
      <w:szCs w:val="32"/>
    </w:rPr>
  </w:style>
  <w:style w:type="character" w:customStyle="1" w:styleId="349">
    <w:name w:val="样式11"/>
    <w:qFormat/>
    <w:uiPriority w:val="0"/>
    <w:rPr>
      <w:rFonts w:hint="default" w:ascii="ˎ̥" w:hAnsi="ˎ̥" w:cs="ˎ̥"/>
      <w:sz w:val="21"/>
      <w:szCs w:val="21"/>
    </w:rPr>
  </w:style>
  <w:style w:type="character" w:customStyle="1" w:styleId="350">
    <w:name w:val="纯文本 Char1 Char1"/>
    <w:qFormat/>
    <w:uiPriority w:val="99"/>
    <w:rPr>
      <w:rFonts w:ascii="Sim Sun" w:hAnsi="DFKai-SB" w:eastAsia="宋体-方正超大字符集" w:cs="Batang"/>
      <w:kern w:val="2"/>
      <w:sz w:val="21"/>
      <w:lang w:val="en-US" w:eastAsia="zh-CN" w:bidi="ar-SA"/>
    </w:rPr>
  </w:style>
  <w:style w:type="character" w:customStyle="1" w:styleId="351">
    <w:name w:val="style51"/>
    <w:qFormat/>
    <w:uiPriority w:val="0"/>
    <w:rPr>
      <w:color w:val="CC0000"/>
    </w:rPr>
  </w:style>
  <w:style w:type="character" w:customStyle="1" w:styleId="352">
    <w:name w:val="无间隔 字符"/>
    <w:link w:val="353"/>
    <w:qFormat/>
    <w:uiPriority w:val="1"/>
    <w:rPr>
      <w:bCs/>
      <w:color w:val="000000"/>
      <w:kern w:val="2"/>
      <w:sz w:val="22"/>
      <w:szCs w:val="22"/>
    </w:rPr>
  </w:style>
  <w:style w:type="paragraph" w:styleId="353">
    <w:name w:val="No Spacing"/>
    <w:link w:val="352"/>
    <w:qFormat/>
    <w:uiPriority w:val="1"/>
    <w:rPr>
      <w:rFonts w:ascii="Times New Roman" w:hAnsi="Times New Roman" w:eastAsia="宋体" w:cs="Times New Roman"/>
      <w:bCs/>
      <w:color w:val="000000"/>
      <w:kern w:val="2"/>
      <w:sz w:val="22"/>
      <w:szCs w:val="22"/>
      <w:lang w:val="en-US" w:eastAsia="zh-CN" w:bidi="ar-SA"/>
    </w:rPr>
  </w:style>
  <w:style w:type="character" w:customStyle="1" w:styleId="354">
    <w:name w:val="样式 热电厂正文 + 首行缩进:  2 字符 Char Char"/>
    <w:link w:val="355"/>
    <w:qFormat/>
    <w:uiPriority w:val="0"/>
    <w:rPr>
      <w:rFonts w:cs="宋体"/>
      <w:bCs/>
      <w:color w:val="000000"/>
      <w:kern w:val="24"/>
      <w:sz w:val="24"/>
    </w:rPr>
  </w:style>
  <w:style w:type="paragraph" w:customStyle="1" w:styleId="355">
    <w:name w:val="样式 热电厂正文 + 首行缩进:  2 字符 Char"/>
    <w:basedOn w:val="1"/>
    <w:link w:val="354"/>
    <w:qFormat/>
    <w:uiPriority w:val="0"/>
    <w:pPr>
      <w:spacing w:line="480" w:lineRule="exact"/>
      <w:ind w:firstLine="480"/>
    </w:pPr>
    <w:rPr>
      <w:rFonts w:cs="宋体"/>
      <w:bCs/>
      <w:color w:val="000000"/>
      <w:kern w:val="24"/>
      <w:szCs w:val="20"/>
    </w:rPr>
  </w:style>
  <w:style w:type="character" w:customStyle="1" w:styleId="356">
    <w:name w:val="样式 首行缩进:  2 字符 行距: 最小值 24 磅 Char Char"/>
    <w:link w:val="357"/>
    <w:semiHidden/>
    <w:qFormat/>
    <w:uiPriority w:val="0"/>
    <w:rPr>
      <w:rFonts w:cs="宋体"/>
      <w:bCs/>
      <w:color w:val="000000"/>
      <w:kern w:val="24"/>
      <w:sz w:val="24"/>
    </w:rPr>
  </w:style>
  <w:style w:type="paragraph" w:customStyle="1" w:styleId="357">
    <w:name w:val="样式 首行缩进:  2 字符 行距: 最小值 24 磅 Char"/>
    <w:basedOn w:val="1"/>
    <w:link w:val="356"/>
    <w:semiHidden/>
    <w:qFormat/>
    <w:uiPriority w:val="0"/>
    <w:pPr>
      <w:spacing w:line="480" w:lineRule="atLeast"/>
      <w:ind w:firstLine="560"/>
    </w:pPr>
    <w:rPr>
      <w:rFonts w:cs="宋体"/>
      <w:bCs/>
      <w:color w:val="000000"/>
      <w:kern w:val="24"/>
      <w:szCs w:val="20"/>
    </w:rPr>
  </w:style>
  <w:style w:type="character" w:customStyle="1" w:styleId="358">
    <w:name w:val="普通文字1 Char"/>
    <w:qFormat/>
    <w:uiPriority w:val="0"/>
    <w:rPr>
      <w:rFonts w:ascii="Sim Sun" w:hAnsi="DFKai-SB" w:eastAsia="Sim Sun"/>
      <w:kern w:val="2"/>
      <w:sz w:val="21"/>
      <w:lang w:val="en-US" w:eastAsia="zh-CN" w:bidi="ar-SA"/>
    </w:rPr>
  </w:style>
  <w:style w:type="character" w:customStyle="1" w:styleId="359">
    <w:name w:val="style2"/>
    <w:basedOn w:val="95"/>
    <w:qFormat/>
    <w:uiPriority w:val="0"/>
  </w:style>
  <w:style w:type="character" w:customStyle="1" w:styleId="360">
    <w:name w:val="列表 Char"/>
    <w:link w:val="361"/>
    <w:qFormat/>
    <w:uiPriority w:val="0"/>
    <w:rPr>
      <w:rFonts w:ascii="Garamond" w:hAnsi="Arial Unicode MS" w:eastAsia="Garamond"/>
      <w:snapToGrid w:val="0"/>
      <w:kern w:val="2"/>
      <w:sz w:val="24"/>
    </w:rPr>
  </w:style>
  <w:style w:type="paragraph" w:customStyle="1" w:styleId="361">
    <w:name w:val="列表1"/>
    <w:basedOn w:val="1"/>
    <w:link w:val="360"/>
    <w:qFormat/>
    <w:uiPriority w:val="0"/>
    <w:pPr>
      <w:spacing w:line="320" w:lineRule="exact"/>
      <w:ind w:firstLine="200"/>
      <w:jc w:val="center"/>
    </w:pPr>
    <w:rPr>
      <w:rFonts w:ascii="Garamond" w:hAnsi="Arial Unicode MS" w:eastAsia="Garamond"/>
      <w:snapToGrid w:val="0"/>
      <w:szCs w:val="20"/>
    </w:rPr>
  </w:style>
  <w:style w:type="character" w:customStyle="1" w:styleId="362">
    <w:name w:val="样式2 Char1"/>
    <w:qFormat/>
    <w:uiPriority w:val="0"/>
    <w:rPr>
      <w:rFonts w:ascii="幼圆" w:hAnsi="幼圆" w:eastAsia="FLGPEK+TimesNewRoman,Italic"/>
      <w:kern w:val="2"/>
      <w:sz w:val="24"/>
      <w:szCs w:val="24"/>
      <w:lang w:val="en-US" w:eastAsia="zh-CN" w:bidi="ar-SA"/>
    </w:rPr>
  </w:style>
  <w:style w:type="character" w:customStyle="1" w:styleId="363">
    <w:name w:val="fb1"/>
    <w:qFormat/>
    <w:uiPriority w:val="0"/>
    <w:rPr>
      <w:b/>
      <w:bCs/>
    </w:rPr>
  </w:style>
  <w:style w:type="character" w:customStyle="1" w:styleId="364">
    <w:name w:val="tit2"/>
    <w:qFormat/>
    <w:uiPriority w:val="0"/>
    <w:rPr>
      <w:b/>
      <w:bCs/>
      <w:sz w:val="48"/>
      <w:szCs w:val="48"/>
    </w:rPr>
  </w:style>
  <w:style w:type="character" w:customStyle="1" w:styleId="365">
    <w:name w:val="jianjie_index"/>
    <w:basedOn w:val="95"/>
    <w:qFormat/>
    <w:uiPriority w:val="0"/>
  </w:style>
  <w:style w:type="character" w:customStyle="1" w:styleId="366">
    <w:name w:val="CT Char Char"/>
    <w:qFormat/>
    <w:uiPriority w:val="0"/>
    <w:rPr>
      <w:rFonts w:eastAsia="FLGPEK+TimesNewRoman,Italic"/>
      <w:sz w:val="28"/>
      <w:szCs w:val="28"/>
      <w:lang w:val="en-US" w:eastAsia="zh-CN" w:bidi="ar-SA"/>
    </w:rPr>
  </w:style>
  <w:style w:type="character" w:customStyle="1" w:styleId="367">
    <w:name w:val="dan7-1 Char"/>
    <w:link w:val="368"/>
    <w:qFormat/>
    <w:uiPriority w:val="0"/>
    <w:rPr>
      <w:bCs/>
      <w:color w:val="000000"/>
      <w:kern w:val="24"/>
      <w:sz w:val="24"/>
      <w:szCs w:val="24"/>
    </w:rPr>
  </w:style>
  <w:style w:type="paragraph" w:customStyle="1" w:styleId="368">
    <w:name w:val="dan7-1"/>
    <w:basedOn w:val="1"/>
    <w:link w:val="367"/>
    <w:qFormat/>
    <w:uiPriority w:val="0"/>
    <w:pPr>
      <w:spacing w:before="40" w:after="40"/>
      <w:ind w:firstLine="200"/>
    </w:pPr>
    <w:rPr>
      <w:bCs/>
      <w:color w:val="000000"/>
      <w:kern w:val="24"/>
    </w:rPr>
  </w:style>
  <w:style w:type="character" w:customStyle="1" w:styleId="369">
    <w:name w:val="标题2 Char Char"/>
    <w:qFormat/>
    <w:uiPriority w:val="0"/>
    <w:rPr>
      <w:rFonts w:ascii="ˎ̥" w:hAnsi="ˎ̥" w:eastAsia="FLGPEK+TimesNewRoman,Italic"/>
      <w:b/>
      <w:bCs/>
      <w:kern w:val="2"/>
      <w:sz w:val="32"/>
      <w:szCs w:val="32"/>
      <w:lang w:val="en-US" w:eastAsia="zh-CN" w:bidi="ar-SA"/>
    </w:rPr>
  </w:style>
  <w:style w:type="character" w:customStyle="1" w:styleId="370">
    <w:name w:val="加粗正文 Char"/>
    <w:qFormat/>
    <w:uiPriority w:val="0"/>
    <w:rPr>
      <w:rFonts w:ascii="Sim Sun" w:hAnsi="DFKai-SB" w:eastAsia="Sim Sun" w:cs="DFKai-SB"/>
      <w:kern w:val="2"/>
      <w:sz w:val="21"/>
      <w:szCs w:val="21"/>
      <w:lang w:val="en-US" w:eastAsia="zh-CN" w:bidi="ar-SA"/>
    </w:rPr>
  </w:style>
  <w:style w:type="character" w:customStyle="1" w:styleId="371">
    <w:name w:val="even Char"/>
    <w:semiHidden/>
    <w:qFormat/>
    <w:uiPriority w:val="0"/>
    <w:rPr>
      <w:rFonts w:ascii="Batang" w:hAnsi="Batang" w:eastAsia="宋体-方正超大字符集" w:cs="Batang"/>
      <w:kern w:val="2"/>
      <w:sz w:val="18"/>
      <w:lang w:val="en-US" w:eastAsia="zh-CN" w:bidi="ar-SA"/>
    </w:rPr>
  </w:style>
  <w:style w:type="character" w:customStyle="1" w:styleId="372">
    <w:name w:val="落款 Char Char"/>
    <w:qFormat/>
    <w:uiPriority w:val="0"/>
    <w:rPr>
      <w:rFonts w:eastAsia="FLGPEK+TimesNewRoman,Italic"/>
      <w:kern w:val="2"/>
      <w:sz w:val="24"/>
      <w:lang w:val="en-US" w:eastAsia="zh-CN" w:bidi="ar-SA"/>
    </w:rPr>
  </w:style>
  <w:style w:type="character" w:customStyle="1" w:styleId="373">
    <w:name w:val="正文文本缩进 31"/>
    <w:qFormat/>
    <w:uiPriority w:val="0"/>
    <w:rPr>
      <w:rFonts w:eastAsia="Sim Sun"/>
      <w:b/>
      <w:kern w:val="2"/>
      <w:sz w:val="24"/>
      <w:szCs w:val="24"/>
      <w:lang w:val="en-US" w:eastAsia="zh-CN" w:bidi="ar-SA"/>
    </w:rPr>
  </w:style>
  <w:style w:type="character" w:customStyle="1" w:styleId="374">
    <w:name w:val="Font Style38"/>
    <w:qFormat/>
    <w:uiPriority w:val="0"/>
    <w:rPr>
      <w:rFonts w:ascii="Times New Roman" w:hAnsi="Times New Roman" w:cs="Times New Roman"/>
      <w:sz w:val="22"/>
      <w:szCs w:val="22"/>
    </w:rPr>
  </w:style>
  <w:style w:type="character" w:customStyle="1" w:styleId="375">
    <w:name w:val="样式 正文文本缩进 2正文文字缩进 2 + 四号 蓝色 Char Char Char Char Char Char Char Char"/>
    <w:link w:val="376"/>
    <w:qFormat/>
    <w:uiPriority w:val="0"/>
    <w:rPr>
      <w:rFonts w:ascii="Arial Unicode MS" w:hAnsi="Arial Unicode MS"/>
      <w:color w:val="0000FF"/>
      <w:sz w:val="24"/>
      <w:szCs w:val="24"/>
    </w:rPr>
  </w:style>
  <w:style w:type="paragraph" w:customStyle="1" w:styleId="376">
    <w:name w:val="样式 正文文本缩进 2正文文字缩进 2 + 四号 蓝色 Char Char Char Char Char Char Char"/>
    <w:basedOn w:val="308"/>
    <w:link w:val="375"/>
    <w:qFormat/>
    <w:uiPriority w:val="0"/>
    <w:pPr>
      <w:autoSpaceDE/>
      <w:autoSpaceDN/>
      <w:spacing w:after="0" w:line="480" w:lineRule="exact"/>
      <w:ind w:left="0" w:leftChars="0" w:firstLine="709"/>
      <w:jc w:val="both"/>
      <w:textAlignment w:val="baseline"/>
    </w:pPr>
    <w:rPr>
      <w:rFonts w:ascii="Arial Unicode MS" w:hAnsi="Arial Unicode MS"/>
      <w:bCs w:val="0"/>
      <w:color w:val="0000FF"/>
      <w:kern w:val="0"/>
    </w:rPr>
  </w:style>
  <w:style w:type="character" w:customStyle="1" w:styleId="377">
    <w:name w:val="Char Char152"/>
    <w:qFormat/>
    <w:uiPriority w:val="0"/>
    <w:rPr>
      <w:rFonts w:hint="default" w:ascii="幼圆" w:hAnsi="幼圆" w:eastAsia="FLGPEK+TimesNewRoman,Italic" w:cs="ˎ̥"/>
      <w:kern w:val="24"/>
      <w:sz w:val="24"/>
      <w:szCs w:val="20"/>
    </w:rPr>
  </w:style>
  <w:style w:type="character" w:customStyle="1" w:styleId="378">
    <w:name w:val="正文文本缩进 Char2"/>
    <w:qFormat/>
    <w:uiPriority w:val="0"/>
    <w:rPr>
      <w:rFonts w:ascii="仿宋_GB2312" w:hAnsi="Times New Roman" w:eastAsia="仿宋_GB2312" w:cs="Times New Roman"/>
      <w:bCs/>
      <w:color w:val="000000"/>
      <w:kern w:val="24"/>
      <w:sz w:val="28"/>
      <w:szCs w:val="24"/>
    </w:rPr>
  </w:style>
  <w:style w:type="character" w:customStyle="1" w:styleId="379">
    <w:name w:val="正文首行缩进 Char3"/>
    <w:qFormat/>
    <w:uiPriority w:val="0"/>
    <w:rPr>
      <w:rFonts w:ascii="Times New Roman" w:hAnsi="Times New Roman" w:eastAsia="宋体" w:cs="Times New Roman"/>
      <w:bCs/>
      <w:color w:val="000000"/>
      <w:sz w:val="28"/>
      <w:szCs w:val="20"/>
    </w:rPr>
  </w:style>
  <w:style w:type="character" w:customStyle="1" w:styleId="380">
    <w:name w:val="正文文字缩进 2 Char2"/>
    <w:qFormat/>
    <w:uiPriority w:val="0"/>
    <w:rPr>
      <w:rFonts w:ascii="Batang" w:hAnsi="Batang" w:eastAsia="宋体-方正超大字符集" w:cs="Batang"/>
      <w:kern w:val="2"/>
      <w:sz w:val="24"/>
      <w:lang w:val="en-US" w:eastAsia="zh-CN" w:bidi="ar-SA"/>
    </w:rPr>
  </w:style>
  <w:style w:type="character" w:customStyle="1" w:styleId="381">
    <w:name w:val="页码2"/>
    <w:basedOn w:val="95"/>
    <w:qFormat/>
    <w:uiPriority w:val="0"/>
  </w:style>
  <w:style w:type="character" w:customStyle="1" w:styleId="382">
    <w:name w:val="正文1 Char"/>
    <w:link w:val="49"/>
    <w:qFormat/>
    <w:uiPriority w:val="0"/>
    <w:rPr>
      <w:bCs/>
      <w:color w:val="000000"/>
      <w:kern w:val="24"/>
      <w:sz w:val="24"/>
      <w:szCs w:val="24"/>
    </w:rPr>
  </w:style>
  <w:style w:type="character" w:customStyle="1" w:styleId="383">
    <w:name w:val="标题 2 Char3"/>
    <w:qFormat/>
    <w:uiPriority w:val="0"/>
    <w:rPr>
      <w:rFonts w:ascii="Arial" w:hAnsi="Arial" w:eastAsia="黑体" w:cs="Times New Roman"/>
      <w:b/>
      <w:color w:val="000000"/>
      <w:kern w:val="24"/>
      <w:sz w:val="32"/>
      <w:szCs w:val="32"/>
      <w:lang w:val="en-US" w:eastAsia="zh-CN" w:bidi="ar-SA"/>
    </w:rPr>
  </w:style>
  <w:style w:type="character" w:customStyle="1" w:styleId="384">
    <w:name w:val="标题 3 Char1"/>
    <w:qFormat/>
    <w:uiPriority w:val="9"/>
    <w:rPr>
      <w:rFonts w:ascii="Times New Roman" w:hAnsi="Times New Roman" w:eastAsia="宋体" w:cs="Times New Roman"/>
      <w:b/>
      <w:color w:val="000000"/>
      <w:kern w:val="24"/>
      <w:sz w:val="32"/>
      <w:szCs w:val="32"/>
    </w:rPr>
  </w:style>
  <w:style w:type="character" w:customStyle="1" w:styleId="385">
    <w:name w:val="标题 4 Char1"/>
    <w:qFormat/>
    <w:uiPriority w:val="9"/>
    <w:rPr>
      <w:rFonts w:ascii="Arial" w:hAnsi="Arial" w:eastAsia="黑体" w:cs="Times New Roman"/>
      <w:b/>
      <w:color w:val="000000"/>
      <w:kern w:val="24"/>
      <w:sz w:val="28"/>
      <w:szCs w:val="28"/>
    </w:rPr>
  </w:style>
  <w:style w:type="character" w:customStyle="1" w:styleId="386">
    <w:name w:val="标题 5 字符"/>
    <w:link w:val="7"/>
    <w:qFormat/>
    <w:uiPriority w:val="0"/>
    <w:rPr>
      <w:b/>
      <w:color w:val="000000"/>
      <w:kern w:val="24"/>
      <w:sz w:val="28"/>
      <w:szCs w:val="28"/>
    </w:rPr>
  </w:style>
  <w:style w:type="character" w:customStyle="1" w:styleId="387">
    <w:name w:val="标题 6 字符"/>
    <w:link w:val="8"/>
    <w:qFormat/>
    <w:uiPriority w:val="0"/>
    <w:rPr>
      <w:rFonts w:ascii="Arial" w:hAnsi="Arial" w:eastAsia="黑体"/>
      <w:b/>
      <w:color w:val="000000"/>
      <w:kern w:val="24"/>
      <w:sz w:val="24"/>
      <w:szCs w:val="24"/>
    </w:rPr>
  </w:style>
  <w:style w:type="character" w:customStyle="1" w:styleId="388">
    <w:name w:val="标题 7 字符"/>
    <w:link w:val="9"/>
    <w:qFormat/>
    <w:uiPriority w:val="0"/>
    <w:rPr>
      <w:b/>
      <w:color w:val="000000"/>
      <w:kern w:val="24"/>
      <w:sz w:val="24"/>
      <w:szCs w:val="24"/>
    </w:rPr>
  </w:style>
  <w:style w:type="character" w:customStyle="1" w:styleId="389">
    <w:name w:val="标题 8 字符"/>
    <w:link w:val="10"/>
    <w:qFormat/>
    <w:uiPriority w:val="0"/>
    <w:rPr>
      <w:rFonts w:ascii="Arial" w:hAnsi="Arial" w:eastAsia="黑体"/>
      <w:bCs/>
      <w:color w:val="000000"/>
      <w:kern w:val="24"/>
      <w:sz w:val="24"/>
      <w:szCs w:val="24"/>
    </w:rPr>
  </w:style>
  <w:style w:type="character" w:customStyle="1" w:styleId="390">
    <w:name w:val="标题 9 字符"/>
    <w:link w:val="11"/>
    <w:qFormat/>
    <w:uiPriority w:val="0"/>
    <w:rPr>
      <w:rFonts w:ascii="Arial" w:hAnsi="Arial" w:eastAsia="黑体"/>
      <w:bCs/>
      <w:color w:val="000000"/>
      <w:kern w:val="24"/>
      <w:sz w:val="21"/>
      <w:szCs w:val="21"/>
    </w:rPr>
  </w:style>
  <w:style w:type="character" w:customStyle="1" w:styleId="391">
    <w:name w:val="注释标题 字符"/>
    <w:link w:val="15"/>
    <w:qFormat/>
    <w:uiPriority w:val="0"/>
    <w:rPr>
      <w:rFonts w:ascii="Sim Sun" w:hAnsi="Batang" w:cs="Batang"/>
      <w:bCs/>
      <w:color w:val="000000"/>
      <w:kern w:val="24"/>
      <w:sz w:val="21"/>
    </w:rPr>
  </w:style>
  <w:style w:type="character" w:customStyle="1" w:styleId="392">
    <w:name w:val="正文缩进 Char1"/>
    <w:qFormat/>
    <w:uiPriority w:val="0"/>
    <w:rPr>
      <w:rFonts w:ascii="Times New Roman" w:hAnsi="Times New Roman" w:eastAsia="宋体" w:cs="Times New Roman"/>
      <w:bCs/>
      <w:color w:val="000000"/>
      <w:kern w:val="24"/>
      <w:sz w:val="24"/>
      <w:szCs w:val="24"/>
    </w:rPr>
  </w:style>
  <w:style w:type="character" w:customStyle="1" w:styleId="393">
    <w:name w:val="题注 Char1"/>
    <w:qFormat/>
    <w:uiPriority w:val="0"/>
    <w:rPr>
      <w:rFonts w:ascii="宋体" w:hAnsi="Arial" w:eastAsia="宋体" w:cs="Arial"/>
      <w:bCs/>
      <w:color w:val="000000"/>
      <w:kern w:val="24"/>
      <w:sz w:val="21"/>
      <w:szCs w:val="20"/>
    </w:rPr>
  </w:style>
  <w:style w:type="character" w:customStyle="1" w:styleId="394">
    <w:name w:val="文档结构图 Char1"/>
    <w:qFormat/>
    <w:uiPriority w:val="99"/>
    <w:rPr>
      <w:rFonts w:ascii="Times New Roman" w:hAnsi="Times New Roman" w:eastAsia="宋体" w:cs="Times New Roman"/>
      <w:bCs/>
      <w:color w:val="000000"/>
      <w:kern w:val="24"/>
      <w:sz w:val="24"/>
      <w:szCs w:val="24"/>
      <w:shd w:val="clear" w:color="auto" w:fill="000080"/>
    </w:rPr>
  </w:style>
  <w:style w:type="character" w:customStyle="1" w:styleId="395">
    <w:name w:val="称呼 字符"/>
    <w:link w:val="25"/>
    <w:qFormat/>
    <w:uiPriority w:val="0"/>
    <w:rPr>
      <w:rFonts w:ascii="Batang" w:hAnsi="Batang" w:cs="Batang"/>
      <w:bCs/>
      <w:color w:val="000000"/>
      <w:kern w:val="24"/>
      <w:sz w:val="28"/>
    </w:rPr>
  </w:style>
  <w:style w:type="character" w:customStyle="1" w:styleId="396">
    <w:name w:val="正文文本 3 字符"/>
    <w:link w:val="26"/>
    <w:qFormat/>
    <w:uiPriority w:val="0"/>
    <w:rPr>
      <w:bCs/>
      <w:color w:val="000000"/>
      <w:kern w:val="24"/>
      <w:sz w:val="21"/>
      <w:szCs w:val="24"/>
    </w:rPr>
  </w:style>
  <w:style w:type="character" w:customStyle="1" w:styleId="397">
    <w:name w:val="正文文本 Char2"/>
    <w:qFormat/>
    <w:uiPriority w:val="99"/>
    <w:rPr>
      <w:rFonts w:ascii="Times New Roman" w:hAnsi="Times New Roman" w:eastAsia="宋体" w:cs="Times New Roman"/>
      <w:bCs/>
      <w:color w:val="000000"/>
      <w:kern w:val="24"/>
      <w:sz w:val="24"/>
      <w:szCs w:val="24"/>
    </w:rPr>
  </w:style>
  <w:style w:type="character" w:customStyle="1" w:styleId="398">
    <w:name w:val="纯文本 字符"/>
    <w:link w:val="37"/>
    <w:qFormat/>
    <w:uiPriority w:val="0"/>
    <w:rPr>
      <w:rFonts w:ascii="宋体" w:hAnsi="Courier New"/>
      <w:bCs/>
      <w:color w:val="000000"/>
      <w:sz w:val="21"/>
    </w:rPr>
  </w:style>
  <w:style w:type="character" w:customStyle="1" w:styleId="399">
    <w:name w:val="正文文本缩进 2 字符"/>
    <w:link w:val="44"/>
    <w:qFormat/>
    <w:uiPriority w:val="99"/>
    <w:rPr>
      <w:rFonts w:ascii="宋体" w:hAnsi="宋体"/>
      <w:bCs/>
      <w:color w:val="000000"/>
      <w:sz w:val="28"/>
      <w:szCs w:val="28"/>
    </w:rPr>
  </w:style>
  <w:style w:type="character" w:customStyle="1" w:styleId="400">
    <w:name w:val="尾注文本 字符"/>
    <w:link w:val="45"/>
    <w:qFormat/>
    <w:uiPriority w:val="0"/>
    <w:rPr>
      <w:bCs/>
      <w:color w:val="000000"/>
      <w:kern w:val="24"/>
      <w:sz w:val="24"/>
      <w:szCs w:val="24"/>
    </w:rPr>
  </w:style>
  <w:style w:type="character" w:customStyle="1" w:styleId="401">
    <w:name w:val="签名 字符"/>
    <w:link w:val="50"/>
    <w:qFormat/>
    <w:uiPriority w:val="0"/>
    <w:rPr>
      <w:rFonts w:ascii="FLGPEK+TimesNewRoman,Italic" w:hAnsi="ˎ̥" w:eastAsia="FLGPEK+TimesNewRoman,Italic" w:cs="ˎ̥"/>
      <w:bCs/>
      <w:color w:val="000000"/>
      <w:spacing w:val="5"/>
      <w:kern w:val="24"/>
      <w:sz w:val="25"/>
      <w:szCs w:val="25"/>
    </w:rPr>
  </w:style>
  <w:style w:type="character" w:customStyle="1" w:styleId="402">
    <w:name w:val="副标题 字符"/>
    <w:link w:val="56"/>
    <w:qFormat/>
    <w:uiPriority w:val="0"/>
    <w:rPr>
      <w:rFonts w:ascii="Batang" w:hAnsi="Batang" w:eastAsia="FLGPEK+TimesNewRoman,Italic" w:cs="ˎ̥"/>
      <w:color w:val="000000"/>
      <w:kern w:val="28"/>
      <w:sz w:val="24"/>
      <w:szCs w:val="32"/>
    </w:rPr>
  </w:style>
  <w:style w:type="character" w:customStyle="1" w:styleId="403">
    <w:name w:val="脚注文本 字符"/>
    <w:link w:val="59"/>
    <w:semiHidden/>
    <w:qFormat/>
    <w:uiPriority w:val="0"/>
    <w:rPr>
      <w:bCs/>
      <w:color w:val="000000"/>
      <w:kern w:val="24"/>
      <w:sz w:val="18"/>
    </w:rPr>
  </w:style>
  <w:style w:type="character" w:customStyle="1" w:styleId="404">
    <w:name w:val="正文文本缩进 3 字符"/>
    <w:link w:val="62"/>
    <w:qFormat/>
    <w:uiPriority w:val="0"/>
    <w:rPr>
      <w:bCs/>
      <w:color w:val="000000"/>
      <w:kern w:val="24"/>
      <w:sz w:val="16"/>
      <w:szCs w:val="16"/>
    </w:rPr>
  </w:style>
  <w:style w:type="character" w:customStyle="1" w:styleId="405">
    <w:name w:val="正文文本 2 字符"/>
    <w:link w:val="68"/>
    <w:qFormat/>
    <w:uiPriority w:val="0"/>
    <w:rPr>
      <w:bCs/>
      <w:color w:val="000000"/>
      <w:kern w:val="24"/>
      <w:sz w:val="21"/>
      <w:szCs w:val="24"/>
    </w:rPr>
  </w:style>
  <w:style w:type="character" w:customStyle="1" w:styleId="406">
    <w:name w:val="HTML 预设格式 Char1"/>
    <w:qFormat/>
    <w:uiPriority w:val="0"/>
    <w:rPr>
      <w:rFonts w:ascii="Arial Unicode MS" w:hAnsi="Arial Unicode MS" w:eastAsia="Arial Unicode MS" w:cs="Arial Unicode MS"/>
      <w:bCs/>
      <w:color w:val="000000"/>
      <w:sz w:val="20"/>
      <w:szCs w:val="20"/>
    </w:rPr>
  </w:style>
  <w:style w:type="character" w:customStyle="1" w:styleId="407">
    <w:name w:val="正文文本首行缩进 字符"/>
    <w:link w:val="77"/>
    <w:qFormat/>
    <w:uiPriority w:val="99"/>
    <w:rPr>
      <w:bCs/>
      <w:color w:val="000000"/>
      <w:kern w:val="24"/>
      <w:sz w:val="24"/>
      <w:szCs w:val="24"/>
    </w:rPr>
  </w:style>
  <w:style w:type="character" w:customStyle="1" w:styleId="408">
    <w:name w:val="表格中的文字 Char"/>
    <w:link w:val="409"/>
    <w:qFormat/>
    <w:uiPriority w:val="0"/>
    <w:rPr>
      <w:rFonts w:ascii="宋体" w:hAnsi="宋体" w:cs="宋体"/>
      <w:sz w:val="21"/>
    </w:rPr>
  </w:style>
  <w:style w:type="paragraph" w:customStyle="1" w:styleId="409">
    <w:name w:val="表格中的文字"/>
    <w:basedOn w:val="1"/>
    <w:link w:val="408"/>
    <w:qFormat/>
    <w:uiPriority w:val="0"/>
    <w:pPr>
      <w:jc w:val="center"/>
    </w:pPr>
    <w:rPr>
      <w:rFonts w:ascii="宋体" w:hAnsi="宋体" w:cs="宋体"/>
      <w:kern w:val="0"/>
      <w:szCs w:val="20"/>
    </w:rPr>
  </w:style>
  <w:style w:type="character" w:customStyle="1" w:styleId="410">
    <w:name w:val="文本 Char"/>
    <w:link w:val="411"/>
    <w:qFormat/>
    <w:uiPriority w:val="0"/>
    <w:rPr>
      <w:rFonts w:ascii="Batang" w:hAnsi="Batang" w:cs="Batang"/>
      <w:bCs/>
      <w:color w:val="000000"/>
      <w:kern w:val="24"/>
      <w:sz w:val="28"/>
    </w:rPr>
  </w:style>
  <w:style w:type="paragraph" w:customStyle="1" w:styleId="411">
    <w:name w:val="文本"/>
    <w:basedOn w:val="1"/>
    <w:link w:val="410"/>
    <w:qFormat/>
    <w:uiPriority w:val="0"/>
    <w:pPr>
      <w:adjustRightInd w:val="0"/>
      <w:spacing w:line="400" w:lineRule="exact"/>
      <w:textAlignment w:val="baseline"/>
    </w:pPr>
    <w:rPr>
      <w:rFonts w:ascii="Batang" w:hAnsi="Batang" w:cs="Batang"/>
      <w:bCs/>
      <w:color w:val="000000"/>
      <w:kern w:val="24"/>
      <w:sz w:val="28"/>
      <w:szCs w:val="20"/>
    </w:rPr>
  </w:style>
  <w:style w:type="character" w:customStyle="1" w:styleId="412">
    <w:name w:val="首行缩进"/>
    <w:qFormat/>
    <w:uiPriority w:val="0"/>
    <w:rPr>
      <w:rFonts w:ascii="Arial" w:hAnsi="Arial" w:eastAsia="宋体"/>
      <w:kern w:val="2"/>
      <w:sz w:val="24"/>
      <w:szCs w:val="24"/>
      <w:lang w:val="en-US" w:eastAsia="zh-CN" w:bidi="ar-SA"/>
    </w:rPr>
  </w:style>
  <w:style w:type="character" w:customStyle="1" w:styleId="413">
    <w:name w:val="style81"/>
    <w:qFormat/>
    <w:uiPriority w:val="0"/>
    <w:rPr>
      <w:sz w:val="24"/>
      <w:szCs w:val="24"/>
    </w:rPr>
  </w:style>
  <w:style w:type="character" w:customStyle="1" w:styleId="414">
    <w:name w:val="标题 2 Char Char Char"/>
    <w:qFormat/>
    <w:uiPriority w:val="0"/>
    <w:rPr>
      <w:rFonts w:ascii="黑体" w:hAnsi="Arial" w:eastAsia="黑体"/>
      <w:bCs/>
      <w:sz w:val="28"/>
      <w:lang w:val="en-US" w:eastAsia="zh-CN" w:bidi="ar-SA"/>
    </w:rPr>
  </w:style>
  <w:style w:type="character" w:customStyle="1" w:styleId="415">
    <w:name w:val="标题-3 Char"/>
    <w:link w:val="416"/>
    <w:qFormat/>
    <w:uiPriority w:val="0"/>
    <w:rPr>
      <w:rFonts w:ascii="FLGPEK+TimesNewRoman,Italic" w:hAnsi="FLGPEK+TimesNewRoman,Italic" w:eastAsia="FLGPEK+TimesNewRoman,Italic" w:cs="ˎ̥"/>
      <w:b/>
      <w:color w:val="000000"/>
      <w:sz w:val="24"/>
      <w:szCs w:val="24"/>
    </w:rPr>
  </w:style>
  <w:style w:type="paragraph" w:customStyle="1" w:styleId="416">
    <w:name w:val="标题-3"/>
    <w:basedOn w:val="6"/>
    <w:link w:val="415"/>
    <w:qFormat/>
    <w:uiPriority w:val="0"/>
    <w:pPr>
      <w:snapToGrid w:val="0"/>
      <w:spacing w:before="0" w:after="0" w:line="360" w:lineRule="auto"/>
    </w:pPr>
    <w:rPr>
      <w:rFonts w:ascii="FLGPEK+TimesNewRoman,Italic" w:hAnsi="FLGPEK+TimesNewRoman,Italic" w:eastAsia="FLGPEK+TimesNewRoman,Italic" w:cs="ˎ̥"/>
      <w:bCs w:val="0"/>
      <w:color w:val="000000"/>
      <w:kern w:val="0"/>
      <w:sz w:val="24"/>
      <w:szCs w:val="24"/>
    </w:rPr>
  </w:style>
  <w:style w:type="character" w:customStyle="1" w:styleId="417">
    <w:name w:val="content1"/>
    <w:qFormat/>
    <w:uiPriority w:val="0"/>
    <w:rPr>
      <w:rFonts w:hint="eastAsia" w:ascii="宋体" w:hAnsi="宋体" w:eastAsia="宋体"/>
      <w:color w:val="333333"/>
      <w:sz w:val="21"/>
      <w:szCs w:val="21"/>
    </w:rPr>
  </w:style>
  <w:style w:type="character" w:customStyle="1" w:styleId="418">
    <w:name w:val="纯文本 Char"/>
    <w:semiHidden/>
    <w:qFormat/>
    <w:uiPriority w:val="99"/>
    <w:rPr>
      <w:rFonts w:ascii="宋体" w:hAnsi="Courier New" w:eastAsia="宋体" w:cs="Courier New"/>
      <w:bCs/>
      <w:color w:val="000000"/>
      <w:kern w:val="24"/>
      <w:sz w:val="21"/>
      <w:szCs w:val="21"/>
    </w:rPr>
  </w:style>
  <w:style w:type="character" w:customStyle="1" w:styleId="419">
    <w:name w:val="Char Char121"/>
    <w:qFormat/>
    <w:uiPriority w:val="0"/>
    <w:rPr>
      <w:rFonts w:ascii="宋体" w:hAnsi="Times New Roman" w:eastAsia="宋体" w:cs="Times New Roman"/>
      <w:sz w:val="28"/>
      <w:szCs w:val="20"/>
    </w:rPr>
  </w:style>
  <w:style w:type="character" w:customStyle="1" w:styleId="420">
    <w:name w:val="样式 样式 仪征正文 + 黑色 + 红色 Char"/>
    <w:link w:val="421"/>
    <w:qFormat/>
    <w:uiPriority w:val="0"/>
    <w:rPr>
      <w:rFonts w:ascii="ˎ̥" w:hAnsi="ˎ̥" w:eastAsia="Garamond"/>
      <w:bCs/>
      <w:color w:val="000000"/>
      <w:sz w:val="24"/>
    </w:rPr>
  </w:style>
  <w:style w:type="paragraph" w:customStyle="1" w:styleId="421">
    <w:name w:val="样式 样式 仪征正文 + 黑色 + 红色"/>
    <w:basedOn w:val="422"/>
    <w:link w:val="420"/>
    <w:qFormat/>
    <w:uiPriority w:val="0"/>
    <w:rPr>
      <w:bCs/>
    </w:rPr>
  </w:style>
  <w:style w:type="paragraph" w:customStyle="1" w:styleId="422">
    <w:name w:val="样式 仪征正文 + 黑色"/>
    <w:basedOn w:val="1"/>
    <w:link w:val="423"/>
    <w:qFormat/>
    <w:uiPriority w:val="0"/>
    <w:pPr>
      <w:spacing w:before="120" w:after="120" w:line="360" w:lineRule="exact"/>
      <w:ind w:firstLine="480"/>
    </w:pPr>
    <w:rPr>
      <w:rFonts w:ascii="ˎ̥" w:hAnsi="ˎ̥" w:eastAsia="Garamond"/>
      <w:color w:val="000000"/>
      <w:kern w:val="0"/>
      <w:szCs w:val="20"/>
    </w:rPr>
  </w:style>
  <w:style w:type="character" w:customStyle="1" w:styleId="423">
    <w:name w:val="样式 仪征正文 + 黑色 Char"/>
    <w:link w:val="422"/>
    <w:qFormat/>
    <w:uiPriority w:val="0"/>
    <w:rPr>
      <w:rFonts w:ascii="ˎ̥" w:hAnsi="ˎ̥" w:eastAsia="Garamond"/>
      <w:color w:val="000000"/>
      <w:sz w:val="24"/>
    </w:rPr>
  </w:style>
  <w:style w:type="character" w:customStyle="1" w:styleId="424">
    <w:name w:val="Char Char Char1"/>
    <w:qFormat/>
    <w:uiPriority w:val="0"/>
    <w:rPr>
      <w:rFonts w:ascii="Sim Sun" w:hAnsi="DFKai-SB" w:eastAsia="Sim Sun"/>
      <w:kern w:val="2"/>
      <w:sz w:val="21"/>
      <w:lang w:val="en-US" w:eastAsia="zh-CN" w:bidi="ar-SA"/>
    </w:rPr>
  </w:style>
  <w:style w:type="character" w:customStyle="1" w:styleId="425">
    <w:name w:val="标题 6 Char Char1"/>
    <w:qFormat/>
    <w:uiPriority w:val="0"/>
    <w:rPr>
      <w:rFonts w:ascii="黑体" w:hAnsi="Arial" w:eastAsia="黑体"/>
      <w:bCs/>
      <w:kern w:val="2"/>
      <w:sz w:val="24"/>
      <w:szCs w:val="24"/>
      <w:lang w:val="en-US" w:eastAsia="zh-CN" w:bidi="ar-SA"/>
    </w:rPr>
  </w:style>
  <w:style w:type="character" w:customStyle="1" w:styleId="426">
    <w:name w:val="尾注文本 Char"/>
    <w:qFormat/>
    <w:uiPriority w:val="0"/>
    <w:rPr>
      <w:rFonts w:eastAsia="黑体"/>
      <w:b/>
      <w:bCs/>
      <w:snapToGrid w:val="0"/>
      <w:sz w:val="24"/>
      <w:szCs w:val="32"/>
    </w:rPr>
  </w:style>
  <w:style w:type="character" w:customStyle="1" w:styleId="427">
    <w:name w:val="表文 Char"/>
    <w:link w:val="218"/>
    <w:qFormat/>
    <w:uiPriority w:val="99"/>
    <w:rPr>
      <w:sz w:val="21"/>
    </w:rPr>
  </w:style>
  <w:style w:type="character" w:customStyle="1" w:styleId="428">
    <w:name w:val="表格内容1 Char"/>
    <w:link w:val="429"/>
    <w:qFormat/>
    <w:uiPriority w:val="0"/>
    <w:rPr>
      <w:rFonts w:ascii="宋体" w:hAnsi="Vladimir Script" w:cs="Vladimir Script"/>
      <w:snapToGrid w:val="0"/>
      <w:sz w:val="21"/>
      <w:szCs w:val="24"/>
    </w:rPr>
  </w:style>
  <w:style w:type="paragraph" w:customStyle="1" w:styleId="429">
    <w:name w:val="表格内容1"/>
    <w:basedOn w:val="1"/>
    <w:link w:val="428"/>
    <w:qFormat/>
    <w:uiPriority w:val="0"/>
    <w:pPr>
      <w:adjustRightInd w:val="0"/>
      <w:snapToGrid w:val="0"/>
      <w:spacing w:beforeLines="15" w:afterLines="15" w:line="240" w:lineRule="exact"/>
    </w:pPr>
    <w:rPr>
      <w:rFonts w:ascii="宋体" w:hAnsi="Vladimir Script" w:cs="Vladimir Script"/>
      <w:snapToGrid w:val="0"/>
      <w:kern w:val="0"/>
    </w:rPr>
  </w:style>
  <w:style w:type="character" w:customStyle="1" w:styleId="430">
    <w:name w:val="热电厂正文 Char Char"/>
    <w:qFormat/>
    <w:uiPriority w:val="0"/>
    <w:rPr>
      <w:rFonts w:eastAsia="宋体"/>
      <w:kern w:val="2"/>
      <w:sz w:val="24"/>
      <w:szCs w:val="24"/>
      <w:lang w:val="en-US" w:eastAsia="zh-CN" w:bidi="ar-SA"/>
    </w:rPr>
  </w:style>
  <w:style w:type="character" w:customStyle="1" w:styleId="431">
    <w:name w:val="p131"/>
    <w:qFormat/>
    <w:uiPriority w:val="0"/>
    <w:rPr>
      <w:b/>
      <w:color w:val="FF6600"/>
      <w:sz w:val="28"/>
    </w:rPr>
  </w:style>
  <w:style w:type="character" w:customStyle="1" w:styleId="432">
    <w:name w:val="show"/>
    <w:basedOn w:val="95"/>
    <w:qFormat/>
    <w:uiPriority w:val="0"/>
  </w:style>
  <w:style w:type="character" w:customStyle="1" w:styleId="433">
    <w:name w:val="Char Char11"/>
    <w:qFormat/>
    <w:uiPriority w:val="0"/>
    <w:rPr>
      <w:rFonts w:ascii="宋体" w:hAnsi="Courier New" w:eastAsia="宋体" w:cs="Courier New"/>
      <w:kern w:val="2"/>
      <w:sz w:val="21"/>
      <w:szCs w:val="21"/>
      <w:lang w:val="en-US" w:eastAsia="zh-CN" w:bidi="ar-SA"/>
    </w:rPr>
  </w:style>
  <w:style w:type="character" w:customStyle="1" w:styleId="434">
    <w:name w:val="标题 1 Char1"/>
    <w:qFormat/>
    <w:uiPriority w:val="0"/>
    <w:rPr>
      <w:rFonts w:ascii="Times New Roman" w:hAnsi="Times New Roman" w:eastAsia="宋体" w:cs="Times New Roman"/>
      <w:b/>
      <w:color w:val="000000"/>
      <w:kern w:val="44"/>
      <w:sz w:val="44"/>
      <w:szCs w:val="44"/>
    </w:rPr>
  </w:style>
  <w:style w:type="character" w:customStyle="1" w:styleId="435">
    <w:name w:val="Char Char132"/>
    <w:qFormat/>
    <w:uiPriority w:val="0"/>
    <w:rPr>
      <w:rFonts w:ascii="FLGPEK+TimesNewRoman,Italic" w:hAnsi="FLGPEK+TimesNewRoman,Italic" w:eastAsia="FLGPEK+TimesNewRoman,Italic"/>
      <w:sz w:val="24"/>
      <w:lang w:val="en-US" w:eastAsia="zh-CN" w:bidi="ar-SA"/>
    </w:rPr>
  </w:style>
  <w:style w:type="character" w:customStyle="1" w:styleId="436">
    <w:name w:val="图表 Char"/>
    <w:link w:val="437"/>
    <w:qFormat/>
    <w:uiPriority w:val="0"/>
    <w:rPr>
      <w:bCs/>
      <w:color w:val="000000"/>
      <w:kern w:val="24"/>
      <w:sz w:val="21"/>
      <w:szCs w:val="21"/>
    </w:rPr>
  </w:style>
  <w:style w:type="paragraph" w:customStyle="1" w:styleId="437">
    <w:name w:val="图表"/>
    <w:basedOn w:val="65"/>
    <w:link w:val="436"/>
    <w:qFormat/>
    <w:uiPriority w:val="0"/>
    <w:pPr>
      <w:ind w:left="0" w:leftChars="0" w:firstLine="0" w:firstLineChars="0"/>
      <w:jc w:val="center"/>
    </w:pPr>
    <w:rPr>
      <w:rFonts w:ascii="Times New Roman" w:hAnsi="Times New Roman" w:eastAsia="宋体" w:cs="Times New Roman"/>
      <w:sz w:val="21"/>
      <w:szCs w:val="21"/>
    </w:rPr>
  </w:style>
  <w:style w:type="character" w:customStyle="1" w:styleId="438">
    <w:name w:val="标题 2 Char Char"/>
    <w:qFormat/>
    <w:uiPriority w:val="0"/>
    <w:rPr>
      <w:rFonts w:ascii="Arial" w:hAnsi="Arial" w:eastAsia="黑体"/>
      <w:b/>
      <w:sz w:val="32"/>
      <w:lang w:val="en-US" w:eastAsia="zh-CN" w:bidi="ar-SA"/>
    </w:rPr>
  </w:style>
  <w:style w:type="character" w:customStyle="1" w:styleId="439">
    <w:name w:val="text_he1"/>
    <w:qFormat/>
    <w:uiPriority w:val="0"/>
    <w:rPr>
      <w:sz w:val="24"/>
      <w:szCs w:val="24"/>
    </w:rPr>
  </w:style>
  <w:style w:type="character" w:customStyle="1" w:styleId="440">
    <w:name w:val="hang"/>
    <w:basedOn w:val="95"/>
    <w:qFormat/>
    <w:uiPriority w:val="0"/>
  </w:style>
  <w:style w:type="character" w:customStyle="1" w:styleId="441">
    <w:name w:val="正文DG Char"/>
    <w:link w:val="442"/>
    <w:qFormat/>
    <w:uiPriority w:val="0"/>
    <w:rPr>
      <w:rFonts w:ascii="新宋体" w:hAnsi="新宋体" w:eastAsia="新宋体"/>
      <w:kern w:val="2"/>
      <w:sz w:val="24"/>
      <w:szCs w:val="24"/>
    </w:rPr>
  </w:style>
  <w:style w:type="paragraph" w:customStyle="1" w:styleId="442">
    <w:name w:val="正文DG"/>
    <w:basedOn w:val="1"/>
    <w:link w:val="441"/>
    <w:qFormat/>
    <w:uiPriority w:val="0"/>
    <w:pPr>
      <w:spacing w:line="520" w:lineRule="exact"/>
      <w:ind w:firstLine="480"/>
    </w:pPr>
    <w:rPr>
      <w:rFonts w:ascii="新宋体" w:hAnsi="新宋体" w:eastAsia="新宋体"/>
    </w:rPr>
  </w:style>
  <w:style w:type="character" w:customStyle="1" w:styleId="443">
    <w:name w:val="LT正文1 Char"/>
    <w:link w:val="444"/>
    <w:qFormat/>
    <w:uiPriority w:val="0"/>
    <w:rPr>
      <w:bCs/>
      <w:color w:val="000000"/>
      <w:kern w:val="24"/>
      <w:sz w:val="24"/>
      <w:szCs w:val="24"/>
    </w:rPr>
  </w:style>
  <w:style w:type="paragraph" w:customStyle="1" w:styleId="444">
    <w:name w:val="LT正文1"/>
    <w:basedOn w:val="1"/>
    <w:next w:val="1"/>
    <w:link w:val="443"/>
    <w:qFormat/>
    <w:uiPriority w:val="0"/>
    <w:pPr>
      <w:widowControl/>
      <w:ind w:firstLine="200"/>
    </w:pPr>
    <w:rPr>
      <w:bCs/>
      <w:color w:val="000000"/>
      <w:kern w:val="24"/>
    </w:rPr>
  </w:style>
  <w:style w:type="character" w:customStyle="1" w:styleId="445">
    <w:name w:val="标题4 Char1"/>
    <w:qFormat/>
    <w:uiPriority w:val="0"/>
    <w:rPr>
      <w:rFonts w:ascii="Sim Sun" w:hAnsi="Sim Sun" w:eastAsia="宋体" w:cs="Batang"/>
      <w:kern w:val="2"/>
      <w:sz w:val="24"/>
      <w:szCs w:val="24"/>
      <w:lang w:val="en-US" w:eastAsia="zh-CN" w:bidi="ar-SA"/>
    </w:rPr>
  </w:style>
  <w:style w:type="character" w:customStyle="1" w:styleId="446">
    <w:name w:val="图表注 Char4"/>
    <w:qFormat/>
    <w:uiPriority w:val="0"/>
    <w:rPr>
      <w:rFonts w:eastAsia="宋体"/>
      <w:kern w:val="2"/>
      <w:sz w:val="24"/>
      <w:lang w:val="en-US" w:eastAsia="zh-CN" w:bidi="ar-SA"/>
    </w:rPr>
  </w:style>
  <w:style w:type="character" w:customStyle="1" w:styleId="447">
    <w:name w:val="tit"/>
    <w:basedOn w:val="95"/>
    <w:qFormat/>
    <w:uiPriority w:val="0"/>
  </w:style>
  <w:style w:type="character" w:customStyle="1" w:styleId="448">
    <w:name w:val="Char Char71"/>
    <w:qFormat/>
    <w:uiPriority w:val="0"/>
    <w:rPr>
      <w:rFonts w:eastAsia="仿宋体"/>
      <w:b/>
      <w:kern w:val="44"/>
      <w:sz w:val="44"/>
      <w:lang w:val="en-US" w:eastAsia="zh-CN"/>
    </w:rPr>
  </w:style>
  <w:style w:type="character" w:customStyle="1" w:styleId="449">
    <w:name w:val="正文文字缩进 3 Char Char2"/>
    <w:qFormat/>
    <w:uiPriority w:val="0"/>
    <w:rPr>
      <w:rFonts w:ascii="Batang" w:hAnsi="Batang" w:eastAsia="宋体-方正超大字符集" w:cs="Batang"/>
      <w:kern w:val="2"/>
      <w:sz w:val="28"/>
      <w:lang w:val="en-US" w:eastAsia="zh-CN" w:bidi="ar-SA"/>
    </w:rPr>
  </w:style>
  <w:style w:type="character" w:customStyle="1" w:styleId="450">
    <w:name w:val="表格标题 Char"/>
    <w:qFormat/>
    <w:uiPriority w:val="0"/>
    <w:rPr>
      <w:rFonts w:ascii="Arial" w:hAnsi="Arial" w:eastAsia="仿宋_GB2312"/>
      <w:b/>
      <w:sz w:val="24"/>
      <w:lang w:val="en-US" w:eastAsia="zh-CN" w:bidi="ar-SA"/>
    </w:rPr>
  </w:style>
  <w:style w:type="character" w:customStyle="1" w:styleId="451">
    <w:name w:val="Char Char191"/>
    <w:qFormat/>
    <w:uiPriority w:val="0"/>
    <w:rPr>
      <w:rFonts w:eastAsia="仿宋体"/>
      <w:b/>
      <w:kern w:val="2"/>
      <w:sz w:val="28"/>
      <w:lang w:val="en-US" w:eastAsia="zh-CN"/>
    </w:rPr>
  </w:style>
  <w:style w:type="character" w:customStyle="1" w:styleId="452">
    <w:name w:val="图标题 Char"/>
    <w:link w:val="453"/>
    <w:qFormat/>
    <w:uiPriority w:val="0"/>
    <w:rPr>
      <w:rFonts w:ascii="黑体" w:eastAsia="黑体"/>
      <w:bCs/>
      <w:color w:val="000000"/>
      <w:kern w:val="24"/>
      <w:sz w:val="24"/>
      <w:szCs w:val="24"/>
    </w:rPr>
  </w:style>
  <w:style w:type="paragraph" w:customStyle="1" w:styleId="453">
    <w:name w:val="图标题"/>
    <w:basedOn w:val="1"/>
    <w:link w:val="452"/>
    <w:qFormat/>
    <w:uiPriority w:val="0"/>
    <w:pPr>
      <w:spacing w:line="520" w:lineRule="exact"/>
      <w:jc w:val="center"/>
    </w:pPr>
    <w:rPr>
      <w:rFonts w:ascii="黑体" w:eastAsia="黑体"/>
      <w:bCs/>
      <w:color w:val="000000"/>
      <w:kern w:val="24"/>
    </w:rPr>
  </w:style>
  <w:style w:type="character" w:customStyle="1" w:styleId="454">
    <w:name w:val="123YJ Char Char"/>
    <w:qFormat/>
    <w:uiPriority w:val="0"/>
    <w:rPr>
      <w:kern w:val="2"/>
      <w:sz w:val="18"/>
      <w:szCs w:val="18"/>
    </w:rPr>
  </w:style>
  <w:style w:type="character" w:customStyle="1" w:styleId="455">
    <w:name w:val="main1"/>
    <w:qFormat/>
    <w:uiPriority w:val="0"/>
    <w:rPr>
      <w:rFonts w:hint="default"/>
      <w:color w:val="0033CC"/>
      <w:spacing w:val="240"/>
      <w:sz w:val="18"/>
      <w:szCs w:val="18"/>
    </w:rPr>
  </w:style>
  <w:style w:type="character" w:customStyle="1" w:styleId="456">
    <w:name w:val="表格正文 Char Char"/>
    <w:qFormat/>
    <w:uiPriority w:val="0"/>
    <w:rPr>
      <w:sz w:val="21"/>
    </w:rPr>
  </w:style>
  <w:style w:type="character" w:customStyle="1" w:styleId="457">
    <w:name w:val="Char Char4"/>
    <w:qFormat/>
    <w:uiPriority w:val="0"/>
    <w:rPr>
      <w:rFonts w:eastAsia="仿宋体"/>
      <w:kern w:val="2"/>
      <w:sz w:val="16"/>
      <w:lang w:val="en-US" w:eastAsia="zh-CN"/>
    </w:rPr>
  </w:style>
  <w:style w:type="character" w:customStyle="1" w:styleId="458">
    <w:name w:val="样式 样式1 + (符号) 宋体 Char"/>
    <w:link w:val="459"/>
    <w:qFormat/>
    <w:uiPriority w:val="0"/>
    <w:rPr>
      <w:rFonts w:ascii="宋体" w:hAnsi="宋体" w:cs="Batang"/>
      <w:snapToGrid w:val="0"/>
      <w:kern w:val="2"/>
      <w:sz w:val="24"/>
      <w:szCs w:val="24"/>
    </w:rPr>
  </w:style>
  <w:style w:type="paragraph" w:customStyle="1" w:styleId="459">
    <w:name w:val="样式 样式1 + (符号) 宋体"/>
    <w:basedOn w:val="460"/>
    <w:link w:val="458"/>
    <w:qFormat/>
    <w:uiPriority w:val="0"/>
    <w:pPr>
      <w:widowControl/>
      <w:spacing w:line="460" w:lineRule="exact"/>
    </w:pPr>
    <w:rPr>
      <w:rFonts w:ascii="宋体" w:hAnsi="宋体" w:cs="Batang"/>
      <w:bCs w:val="0"/>
      <w:snapToGrid w:val="0"/>
      <w:color w:val="auto"/>
      <w:kern w:val="2"/>
    </w:rPr>
  </w:style>
  <w:style w:type="paragraph" w:customStyle="1" w:styleId="460">
    <w:name w:val="样式1"/>
    <w:basedOn w:val="1"/>
    <w:link w:val="461"/>
    <w:qFormat/>
    <w:uiPriority w:val="0"/>
    <w:pPr>
      <w:spacing w:line="440" w:lineRule="exact"/>
      <w:ind w:firstLine="200"/>
    </w:pPr>
    <w:rPr>
      <w:bCs/>
      <w:color w:val="000000"/>
      <w:kern w:val="24"/>
    </w:rPr>
  </w:style>
  <w:style w:type="character" w:customStyle="1" w:styleId="461">
    <w:name w:val="样式1 Char"/>
    <w:link w:val="460"/>
    <w:qFormat/>
    <w:uiPriority w:val="0"/>
    <w:rPr>
      <w:bCs/>
      <w:color w:val="000000"/>
      <w:kern w:val="24"/>
      <w:sz w:val="24"/>
      <w:szCs w:val="24"/>
    </w:rPr>
  </w:style>
  <w:style w:type="character" w:customStyle="1" w:styleId="462">
    <w:name w:val="海港表头 Char"/>
    <w:link w:val="463"/>
    <w:qFormat/>
    <w:uiPriority w:val="0"/>
    <w:rPr>
      <w:rFonts w:ascii="Arial Unicode MS" w:hAnsi="Arial Unicode MS" w:eastAsia="宋体-方正超大字符集" w:cs="Batang"/>
      <w:color w:val="000000"/>
      <w:kern w:val="24"/>
      <w:sz w:val="21"/>
      <w:szCs w:val="21"/>
    </w:rPr>
  </w:style>
  <w:style w:type="paragraph" w:customStyle="1" w:styleId="463">
    <w:name w:val="海港表头"/>
    <w:basedOn w:val="164"/>
    <w:link w:val="462"/>
    <w:qFormat/>
    <w:uiPriority w:val="0"/>
    <w:pPr>
      <w:tabs>
        <w:tab w:val="left" w:pos="5040"/>
      </w:tabs>
      <w:adjustRightInd w:val="0"/>
      <w:spacing w:line="300" w:lineRule="exact"/>
      <w:ind w:left="-56" w:leftChars="-30" w:right="-63" w:rightChars="-30"/>
      <w:textAlignment w:val="baseline"/>
    </w:pPr>
    <w:rPr>
      <w:rFonts w:ascii="Arial Unicode MS" w:hAnsi="Arial Unicode MS" w:eastAsia="宋体-方正超大字符集" w:cs="Batang"/>
      <w:color w:val="000000"/>
      <w:spacing w:val="0"/>
      <w:kern w:val="24"/>
    </w:rPr>
  </w:style>
  <w:style w:type="character" w:customStyle="1" w:styleId="464">
    <w:name w:val="Char Char131"/>
    <w:qFormat/>
    <w:uiPriority w:val="0"/>
    <w:rPr>
      <w:rFonts w:ascii="仿宋体" w:hAnsi="仿宋体" w:eastAsia="仿宋体"/>
      <w:sz w:val="24"/>
      <w:lang w:val="en-US" w:eastAsia="zh-CN"/>
    </w:rPr>
  </w:style>
  <w:style w:type="character" w:customStyle="1" w:styleId="465">
    <w:name w:val="表格头 Char Char"/>
    <w:link w:val="466"/>
    <w:qFormat/>
    <w:uiPriority w:val="0"/>
    <w:rPr>
      <w:rFonts w:eastAsia="华文中宋"/>
      <w:bCs/>
      <w:color w:val="000000"/>
      <w:kern w:val="2"/>
      <w:sz w:val="24"/>
      <w:szCs w:val="24"/>
    </w:rPr>
  </w:style>
  <w:style w:type="paragraph" w:customStyle="1" w:styleId="466">
    <w:name w:val="表格头"/>
    <w:next w:val="1"/>
    <w:link w:val="465"/>
    <w:qFormat/>
    <w:uiPriority w:val="0"/>
    <w:pPr>
      <w:keepNext/>
      <w:tabs>
        <w:tab w:val="center" w:pos="4620"/>
      </w:tabs>
    </w:pPr>
    <w:rPr>
      <w:rFonts w:ascii="Times New Roman" w:hAnsi="Times New Roman" w:eastAsia="华文中宋" w:cs="Times New Roman"/>
      <w:bCs/>
      <w:color w:val="000000"/>
      <w:kern w:val="2"/>
      <w:sz w:val="24"/>
      <w:szCs w:val="24"/>
      <w:lang w:val="en-US" w:eastAsia="zh-CN" w:bidi="ar-SA"/>
    </w:rPr>
  </w:style>
  <w:style w:type="character" w:customStyle="1" w:styleId="467">
    <w:name w:val="Char Char201"/>
    <w:qFormat/>
    <w:uiPriority w:val="0"/>
    <w:rPr>
      <w:rFonts w:eastAsia="仿宋体"/>
      <w:b/>
      <w:bCs/>
      <w:sz w:val="28"/>
      <w:szCs w:val="28"/>
      <w:lang w:val="en-US" w:eastAsia="zh-CN"/>
    </w:rPr>
  </w:style>
  <w:style w:type="character" w:customStyle="1" w:styleId="468">
    <w:name w:val="正文文字 2 Char"/>
    <w:qFormat/>
    <w:uiPriority w:val="0"/>
    <w:rPr>
      <w:rFonts w:eastAsia="宋体"/>
      <w:kern w:val="2"/>
      <w:sz w:val="21"/>
      <w:lang w:val="en-US" w:eastAsia="zh-CN" w:bidi="ar-SA"/>
    </w:rPr>
  </w:style>
  <w:style w:type="character" w:customStyle="1" w:styleId="469">
    <w:name w:val="正文（首行缩进两字） Char Char2 Char"/>
    <w:qFormat/>
    <w:uiPriority w:val="0"/>
    <w:rPr>
      <w:b/>
      <w:bCs/>
      <w:sz w:val="21"/>
    </w:rPr>
  </w:style>
  <w:style w:type="character" w:customStyle="1" w:styleId="470">
    <w:name w:val="我的正文 Char"/>
    <w:link w:val="471"/>
    <w:qFormat/>
    <w:uiPriority w:val="0"/>
    <w:rPr>
      <w:rFonts w:cs="宋体"/>
      <w:kern w:val="2"/>
      <w:sz w:val="24"/>
    </w:rPr>
  </w:style>
  <w:style w:type="paragraph" w:customStyle="1" w:styleId="471">
    <w:name w:val="我的正文"/>
    <w:basedOn w:val="1"/>
    <w:link w:val="470"/>
    <w:qFormat/>
    <w:uiPriority w:val="0"/>
    <w:pPr>
      <w:ind w:firstLine="480"/>
    </w:pPr>
    <w:rPr>
      <w:rFonts w:cs="宋体"/>
      <w:szCs w:val="20"/>
    </w:rPr>
  </w:style>
  <w:style w:type="character" w:customStyle="1" w:styleId="472">
    <w:name w:val="标题 2 Char2"/>
    <w:qFormat/>
    <w:uiPriority w:val="0"/>
    <w:rPr>
      <w:rFonts w:ascii="Batang" w:hAnsi="Batang" w:eastAsia="宋体-方正超大字符集"/>
      <w:b/>
      <w:bCs/>
      <w:kern w:val="2"/>
      <w:sz w:val="32"/>
      <w:szCs w:val="32"/>
      <w:lang w:val="en-US" w:eastAsia="zh-CN" w:bidi="ar-SA"/>
    </w:rPr>
  </w:style>
  <w:style w:type="character" w:customStyle="1" w:styleId="473">
    <w:name w:val="正文文本 2 Char"/>
    <w:link w:val="474"/>
    <w:qFormat/>
    <w:uiPriority w:val="0"/>
    <w:rPr>
      <w:bCs/>
      <w:color w:val="000000"/>
      <w:kern w:val="24"/>
      <w:sz w:val="24"/>
      <w:szCs w:val="24"/>
    </w:rPr>
  </w:style>
  <w:style w:type="paragraph" w:customStyle="1" w:styleId="474">
    <w:name w:val="正文文本 21"/>
    <w:basedOn w:val="1"/>
    <w:link w:val="473"/>
    <w:qFormat/>
    <w:uiPriority w:val="0"/>
    <w:pPr>
      <w:adjustRightInd w:val="0"/>
      <w:ind w:firstLine="840"/>
      <w:textAlignment w:val="baseline"/>
    </w:pPr>
    <w:rPr>
      <w:bCs/>
      <w:color w:val="000000"/>
      <w:kern w:val="24"/>
    </w:rPr>
  </w:style>
  <w:style w:type="character" w:customStyle="1" w:styleId="475">
    <w:name w:val="Char Char172"/>
    <w:qFormat/>
    <w:uiPriority w:val="0"/>
    <w:rPr>
      <w:rFonts w:ascii="幼圆" w:hAnsi="幼圆" w:eastAsia="@幼圆"/>
      <w:kern w:val="2"/>
      <w:sz w:val="24"/>
      <w:lang w:val="en-US" w:eastAsia="zh-CN" w:bidi="ar-SA"/>
    </w:rPr>
  </w:style>
  <w:style w:type="character" w:customStyle="1" w:styleId="476">
    <w:name w:val="环评表头 Char"/>
    <w:link w:val="477"/>
    <w:qFormat/>
    <w:uiPriority w:val="0"/>
    <w:rPr>
      <w:szCs w:val="21"/>
    </w:rPr>
  </w:style>
  <w:style w:type="paragraph" w:customStyle="1" w:styleId="477">
    <w:name w:val="环评表头"/>
    <w:basedOn w:val="49"/>
    <w:next w:val="49"/>
    <w:link w:val="476"/>
    <w:qFormat/>
    <w:uiPriority w:val="0"/>
    <w:pPr>
      <w:widowControl/>
      <w:tabs>
        <w:tab w:val="center" w:pos="4153"/>
        <w:tab w:val="right" w:pos="8306"/>
      </w:tabs>
      <w:adjustRightInd/>
      <w:spacing w:beforeLines="50" w:line="240" w:lineRule="auto"/>
      <w:ind w:firstLine="0" w:firstLineChars="0"/>
      <w:jc w:val="center"/>
    </w:pPr>
    <w:rPr>
      <w:bCs w:val="0"/>
      <w:color w:val="auto"/>
      <w:kern w:val="0"/>
      <w:sz w:val="20"/>
      <w:szCs w:val="21"/>
    </w:rPr>
  </w:style>
  <w:style w:type="character" w:customStyle="1" w:styleId="478">
    <w:name w:val="zhenwen14"/>
    <w:basedOn w:val="95"/>
    <w:qFormat/>
    <w:uiPriority w:val="0"/>
  </w:style>
  <w:style w:type="character" w:customStyle="1" w:styleId="479">
    <w:name w:val="样式 居中 段前: 1.55 磅 段后: 1.55 磅 底端: (单实线 自动设置  0.75 磅 行宽)"/>
    <w:qFormat/>
    <w:uiPriority w:val="0"/>
    <w:rPr>
      <w:sz w:val="18"/>
    </w:rPr>
  </w:style>
  <w:style w:type="character" w:customStyle="1" w:styleId="480">
    <w:name w:val="样式 正文文本 + Char"/>
    <w:link w:val="481"/>
    <w:qFormat/>
    <w:uiPriority w:val="0"/>
    <w:rPr>
      <w:rFonts w:eastAsia="Garamond"/>
      <w:snapToGrid w:val="0"/>
      <w:spacing w:val="-6"/>
      <w:sz w:val="18"/>
    </w:rPr>
  </w:style>
  <w:style w:type="paragraph" w:customStyle="1" w:styleId="481">
    <w:name w:val="样式 正文文本 +"/>
    <w:basedOn w:val="28"/>
    <w:link w:val="480"/>
    <w:qFormat/>
    <w:uiPriority w:val="0"/>
    <w:pPr>
      <w:widowControl w:val="0"/>
      <w:adjustRightInd w:val="0"/>
      <w:spacing w:after="60" w:line="264" w:lineRule="auto"/>
      <w:ind w:right="0" w:firstLine="200"/>
      <w:textAlignment w:val="baseline"/>
    </w:pPr>
    <w:rPr>
      <w:rFonts w:eastAsia="Garamond"/>
      <w:snapToGrid w:val="0"/>
      <w:spacing w:val="-6"/>
    </w:rPr>
  </w:style>
  <w:style w:type="character" w:customStyle="1" w:styleId="482">
    <w:name w:val="Char Char8"/>
    <w:qFormat/>
    <w:uiPriority w:val="0"/>
    <w:rPr>
      <w:rFonts w:eastAsia="Sim Sun"/>
      <w:kern w:val="2"/>
      <w:sz w:val="21"/>
      <w:szCs w:val="24"/>
      <w:lang w:val="en-US" w:eastAsia="zh-CN" w:bidi="ar-SA"/>
    </w:rPr>
  </w:style>
  <w:style w:type="character" w:customStyle="1" w:styleId="483">
    <w:name w:val="样式4 Char"/>
    <w:link w:val="484"/>
    <w:qFormat/>
    <w:uiPriority w:val="0"/>
    <w:rPr>
      <w:b/>
      <w:color w:val="000000"/>
      <w:kern w:val="24"/>
      <w:sz w:val="28"/>
      <w:szCs w:val="28"/>
    </w:rPr>
  </w:style>
  <w:style w:type="paragraph" w:customStyle="1" w:styleId="484">
    <w:name w:val="样式4"/>
    <w:basedOn w:val="3"/>
    <w:link w:val="483"/>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character" w:customStyle="1" w:styleId="485">
    <w:name w:val="unnamed11"/>
    <w:qFormat/>
    <w:uiPriority w:val="0"/>
    <w:rPr>
      <w:rFonts w:hint="eastAsia" w:ascii="FLGPEK+TimesNewRoman,Italic" w:hAnsi="FLGPEK+TimesNewRoman,Italic" w:eastAsia="FLGPEK+TimesNewRoman,Italic"/>
      <w:sz w:val="18"/>
      <w:szCs w:val="18"/>
    </w:rPr>
  </w:style>
  <w:style w:type="character" w:customStyle="1" w:styleId="486">
    <w:name w:val="题注 Char2"/>
    <w:qFormat/>
    <w:uiPriority w:val="0"/>
    <w:rPr>
      <w:sz w:val="24"/>
      <w:lang w:bidi="ar-SA"/>
    </w:rPr>
  </w:style>
  <w:style w:type="character" w:customStyle="1" w:styleId="487">
    <w:name w:val="left2"/>
    <w:basedOn w:val="95"/>
    <w:qFormat/>
    <w:uiPriority w:val="0"/>
  </w:style>
  <w:style w:type="character" w:customStyle="1" w:styleId="488">
    <w:name w:val="表格文字1 Char"/>
    <w:qFormat/>
    <w:uiPriority w:val="0"/>
    <w:rPr>
      <w:rFonts w:ascii="Sim Sun" w:hAnsi="DFKai-SB" w:eastAsia="Sim Sun" w:cs="DFKai-SB"/>
      <w:kern w:val="2"/>
      <w:sz w:val="21"/>
      <w:szCs w:val="21"/>
      <w:lang w:val="en-US" w:eastAsia="zh-CN" w:bidi="ar-SA"/>
    </w:rPr>
  </w:style>
  <w:style w:type="character" w:customStyle="1" w:styleId="489">
    <w:name w:val="hang1"/>
    <w:qFormat/>
    <w:uiPriority w:val="0"/>
    <w:rPr>
      <w:sz w:val="20"/>
      <w:szCs w:val="20"/>
    </w:rPr>
  </w:style>
  <w:style w:type="character" w:customStyle="1" w:styleId="490">
    <w:name w:val="正文文字缩进 3 Char Char Char"/>
    <w:qFormat/>
    <w:uiPriority w:val="0"/>
    <w:rPr>
      <w:rFonts w:eastAsia="Sim Sun"/>
      <w:kern w:val="2"/>
      <w:sz w:val="28"/>
      <w:lang w:val="en-US" w:eastAsia="zh-CN" w:bidi="ar-SA"/>
    </w:rPr>
  </w:style>
  <w:style w:type="character" w:customStyle="1" w:styleId="491">
    <w:name w:val="标题 2 Char Char Char Char Char Char C"/>
    <w:qFormat/>
    <w:uiPriority w:val="0"/>
    <w:rPr>
      <w:rFonts w:ascii="宋体" w:hAnsi="Arial"/>
      <w:b/>
      <w:sz w:val="28"/>
    </w:rPr>
  </w:style>
  <w:style w:type="character" w:customStyle="1" w:styleId="492">
    <w:name w:val="Char Char7"/>
    <w:qFormat/>
    <w:uiPriority w:val="0"/>
    <w:rPr>
      <w:rFonts w:hint="default" w:ascii="ˎ̥" w:hAnsi="ˎ̥" w:eastAsia="FLGPEK+TimesNewRoman,Italic" w:cs="ˎ̥"/>
      <w:sz w:val="16"/>
      <w:szCs w:val="16"/>
    </w:rPr>
  </w:style>
  <w:style w:type="character" w:customStyle="1" w:styleId="493">
    <w:name w:val="样式 标题 1 + 非加宽量 / 紧缩量 Char"/>
    <w:link w:val="494"/>
    <w:qFormat/>
    <w:uiPriority w:val="0"/>
    <w:rPr>
      <w:rFonts w:ascii="Batang" w:hAnsi="Batang" w:eastAsia="FLGPEK+TimesNewRoman,Italic" w:cs="Batang"/>
      <w:b/>
      <w:color w:val="000000"/>
      <w:kern w:val="44"/>
      <w:sz w:val="28"/>
      <w:szCs w:val="28"/>
    </w:rPr>
  </w:style>
  <w:style w:type="paragraph" w:customStyle="1" w:styleId="494">
    <w:name w:val="样式 标题 1 + 非加宽量 / 紧缩量"/>
    <w:basedOn w:val="4"/>
    <w:link w:val="493"/>
    <w:qFormat/>
    <w:uiPriority w:val="0"/>
    <w:pPr>
      <w:keepLines/>
      <w:overflowPunct/>
      <w:snapToGrid/>
      <w:spacing w:before="360" w:after="0" w:line="360" w:lineRule="auto"/>
      <w:ind w:left="0" w:firstLine="0"/>
    </w:pPr>
    <w:rPr>
      <w:rFonts w:ascii="Batang" w:hAnsi="Batang" w:eastAsia="FLGPEK+TimesNewRoman,Italic" w:cs="Batang"/>
      <w:bCs w:val="0"/>
      <w:sz w:val="28"/>
      <w:szCs w:val="28"/>
    </w:rPr>
  </w:style>
  <w:style w:type="character" w:customStyle="1" w:styleId="495">
    <w:name w:val="Char Char Char2"/>
    <w:link w:val="496"/>
    <w:qFormat/>
    <w:uiPriority w:val="0"/>
    <w:rPr>
      <w:rFonts w:ascii="Batang" w:hAnsi="Batang" w:eastAsia="宋体-方正超大字符集" w:cs="Batang"/>
      <w:b/>
      <w:kern w:val="44"/>
      <w:sz w:val="44"/>
    </w:rPr>
  </w:style>
  <w:style w:type="paragraph" w:customStyle="1" w:styleId="496">
    <w:name w:val="11"/>
    <w:basedOn w:val="47"/>
    <w:link w:val="495"/>
    <w:qFormat/>
    <w:uiPriority w:val="0"/>
    <w:pPr>
      <w:pBdr>
        <w:bottom w:val="none" w:color="auto" w:sz="0" w:space="0"/>
      </w:pBdr>
      <w:tabs>
        <w:tab w:val="clear" w:pos="4153"/>
        <w:tab w:val="clear" w:pos="8306"/>
      </w:tabs>
      <w:autoSpaceDE w:val="0"/>
      <w:autoSpaceDN w:val="0"/>
      <w:adjustRightInd w:val="0"/>
      <w:snapToGrid/>
      <w:ind w:firstLine="560"/>
      <w:jc w:val="left"/>
      <w:textAlignment w:val="baseline"/>
    </w:pPr>
    <w:rPr>
      <w:rFonts w:ascii="Batang" w:hAnsi="Batang" w:eastAsia="宋体-方正超大字符集" w:cs="Batang"/>
      <w:b/>
      <w:kern w:val="44"/>
      <w:sz w:val="44"/>
    </w:rPr>
  </w:style>
  <w:style w:type="character" w:customStyle="1" w:styleId="497">
    <w:name w:val="3zw1"/>
    <w:qFormat/>
    <w:uiPriority w:val="0"/>
    <w:rPr>
      <w:color w:val="000000"/>
      <w:spacing w:val="360"/>
      <w:sz w:val="21"/>
      <w:szCs w:val="21"/>
    </w:rPr>
  </w:style>
  <w:style w:type="character" w:customStyle="1" w:styleId="498">
    <w:name w:val="样式 黑色"/>
    <w:qFormat/>
    <w:uiPriority w:val="0"/>
    <w:rPr>
      <w:color w:val="auto"/>
    </w:rPr>
  </w:style>
  <w:style w:type="character" w:customStyle="1" w:styleId="499">
    <w:name w:val="Char Char15"/>
    <w:qFormat/>
    <w:uiPriority w:val="0"/>
    <w:rPr>
      <w:rFonts w:ascii="Arial" w:hAnsi="Arial" w:eastAsia="黑体" w:cs="Arial"/>
      <w:sz w:val="20"/>
      <w:szCs w:val="20"/>
    </w:rPr>
  </w:style>
  <w:style w:type="character" w:customStyle="1" w:styleId="500">
    <w:name w:val="Char Char16"/>
    <w:qFormat/>
    <w:uiPriority w:val="0"/>
    <w:rPr>
      <w:rFonts w:ascii="幼圆" w:hAnsi="幼圆" w:eastAsia="@幼圆"/>
      <w:kern w:val="2"/>
      <w:sz w:val="21"/>
      <w:szCs w:val="21"/>
      <w:lang w:val="en-US" w:eastAsia="zh-CN" w:bidi="ar-SA"/>
    </w:rPr>
  </w:style>
  <w:style w:type="character" w:customStyle="1" w:styleId="501">
    <w:name w:val="style14"/>
    <w:basedOn w:val="95"/>
    <w:qFormat/>
    <w:uiPriority w:val="0"/>
  </w:style>
  <w:style w:type="character" w:customStyle="1" w:styleId="502">
    <w:name w:val="tit02"/>
    <w:basedOn w:val="95"/>
    <w:qFormat/>
    <w:uiPriority w:val="0"/>
  </w:style>
  <w:style w:type="character" w:customStyle="1" w:styleId="503">
    <w:name w:val="z-窗体顶端 Char1"/>
    <w:link w:val="504"/>
    <w:qFormat/>
    <w:uiPriority w:val="0"/>
    <w:rPr>
      <w:rFonts w:ascii="Arial" w:hAnsi="Arial" w:cs="Arial"/>
      <w:bCs/>
      <w:vanish/>
      <w:color w:val="000000"/>
      <w:sz w:val="16"/>
      <w:szCs w:val="16"/>
    </w:rPr>
  </w:style>
  <w:style w:type="paragraph" w:customStyle="1" w:styleId="504">
    <w:name w:val="z-窗体顶端2"/>
    <w:basedOn w:val="1"/>
    <w:next w:val="1"/>
    <w:link w:val="503"/>
    <w:qFormat/>
    <w:uiPriority w:val="0"/>
    <w:pPr>
      <w:widowControl/>
      <w:pBdr>
        <w:bottom w:val="single" w:color="auto" w:sz="6" w:space="1"/>
      </w:pBdr>
      <w:jc w:val="center"/>
    </w:pPr>
    <w:rPr>
      <w:rFonts w:ascii="Arial" w:hAnsi="Arial" w:cs="Arial"/>
      <w:bCs/>
      <w:vanish/>
      <w:color w:val="000000"/>
      <w:kern w:val="0"/>
      <w:sz w:val="16"/>
      <w:szCs w:val="16"/>
    </w:rPr>
  </w:style>
  <w:style w:type="character" w:customStyle="1" w:styleId="505">
    <w:name w:val="表头文字 Char"/>
    <w:link w:val="506"/>
    <w:qFormat/>
    <w:uiPriority w:val="0"/>
    <w:rPr>
      <w:rFonts w:eastAsia="黑体"/>
      <w:bCs/>
      <w:color w:val="000000"/>
      <w:kern w:val="24"/>
      <w:sz w:val="24"/>
    </w:rPr>
  </w:style>
  <w:style w:type="paragraph" w:customStyle="1" w:styleId="506">
    <w:name w:val="表头文字"/>
    <w:basedOn w:val="1"/>
    <w:link w:val="505"/>
    <w:qFormat/>
    <w:uiPriority w:val="0"/>
    <w:pPr>
      <w:jc w:val="center"/>
    </w:pPr>
    <w:rPr>
      <w:rFonts w:eastAsia="黑体"/>
      <w:bCs/>
      <w:color w:val="000000"/>
      <w:kern w:val="24"/>
      <w:szCs w:val="20"/>
    </w:rPr>
  </w:style>
  <w:style w:type="character" w:customStyle="1" w:styleId="507">
    <w:name w:val="dfgdfg Char"/>
    <w:qFormat/>
    <w:uiPriority w:val="0"/>
    <w:rPr>
      <w:rFonts w:ascii="ˎ̥" w:hAnsi="ˎ̥" w:eastAsia="仿宋体"/>
      <w:kern w:val="2"/>
      <w:sz w:val="24"/>
      <w:lang w:val="en-US" w:eastAsia="zh-CN"/>
    </w:rPr>
  </w:style>
  <w:style w:type="character" w:customStyle="1" w:styleId="508">
    <w:name w:val="标题-4 Char"/>
    <w:link w:val="509"/>
    <w:qFormat/>
    <w:uiPriority w:val="0"/>
    <w:rPr>
      <w:rFonts w:ascii="幼圆" w:hAnsi="幼圆" w:eastAsia="FLGPEK+TimesNewRoman,Italic" w:cs="ˎ̥"/>
      <w:b/>
      <w:bCs/>
      <w:color w:val="000000"/>
      <w:sz w:val="24"/>
      <w:szCs w:val="24"/>
    </w:rPr>
  </w:style>
  <w:style w:type="paragraph" w:customStyle="1" w:styleId="509">
    <w:name w:val="标题-4"/>
    <w:basedOn w:val="3"/>
    <w:link w:val="508"/>
    <w:qFormat/>
    <w:uiPriority w:val="0"/>
    <w:pPr>
      <w:adjustRightInd w:val="0"/>
      <w:snapToGrid w:val="0"/>
      <w:spacing w:beforeLines="50" w:line="360" w:lineRule="auto"/>
      <w:textAlignment w:val="baseline"/>
    </w:pPr>
    <w:rPr>
      <w:rFonts w:ascii="幼圆" w:hAnsi="幼圆" w:eastAsia="FLGPEK+TimesNewRoman,Italic" w:cs="ˎ̥"/>
      <w:color w:val="000000"/>
      <w:kern w:val="0"/>
      <w:sz w:val="24"/>
      <w:szCs w:val="24"/>
    </w:rPr>
  </w:style>
  <w:style w:type="character" w:customStyle="1" w:styleId="510">
    <w:name w:val="二 Char Char"/>
    <w:qFormat/>
    <w:uiPriority w:val="0"/>
    <w:rPr>
      <w:rFonts w:ascii="FLGPEK+TimesNewRoman,Italic" w:eastAsia="FLGPEK+TimesNewRoman,Italic"/>
      <w:b/>
      <w:kern w:val="2"/>
      <w:sz w:val="24"/>
      <w:lang w:val="en-US" w:eastAsia="zh-CN"/>
    </w:rPr>
  </w:style>
  <w:style w:type="character" w:customStyle="1" w:styleId="511">
    <w:name w:val="正文文字 2 Char Char"/>
    <w:qFormat/>
    <w:uiPriority w:val="0"/>
    <w:rPr>
      <w:rFonts w:ascii="Batang" w:hAnsi="Batang" w:eastAsia="宋体-方正超大字符集" w:cs="Batang"/>
      <w:kern w:val="2"/>
      <w:sz w:val="21"/>
      <w:lang w:val="en-US" w:eastAsia="zh-CN" w:bidi="ar-SA"/>
    </w:rPr>
  </w:style>
  <w:style w:type="character" w:customStyle="1" w:styleId="512">
    <w:name w:val="style191"/>
    <w:qFormat/>
    <w:uiPriority w:val="0"/>
    <w:rPr>
      <w:b/>
      <w:bCs/>
      <w:color w:val="FF0000"/>
    </w:rPr>
  </w:style>
  <w:style w:type="character" w:customStyle="1" w:styleId="513">
    <w:name w:val="武正文 Char"/>
    <w:link w:val="514"/>
    <w:qFormat/>
    <w:uiPriority w:val="0"/>
    <w:rPr>
      <w:color w:val="000000"/>
      <w:sz w:val="24"/>
      <w:szCs w:val="24"/>
    </w:rPr>
  </w:style>
  <w:style w:type="paragraph" w:customStyle="1" w:styleId="514">
    <w:name w:val="武正文"/>
    <w:basedOn w:val="1"/>
    <w:link w:val="513"/>
    <w:qFormat/>
    <w:uiPriority w:val="0"/>
    <w:pPr>
      <w:spacing w:line="440" w:lineRule="exact"/>
      <w:ind w:firstLine="200"/>
    </w:pPr>
    <w:rPr>
      <w:color w:val="000000"/>
      <w:kern w:val="0"/>
    </w:rPr>
  </w:style>
  <w:style w:type="character" w:customStyle="1" w:styleId="515">
    <w:name w:val="表格题注 Char"/>
    <w:link w:val="516"/>
    <w:qFormat/>
    <w:uiPriority w:val="0"/>
    <w:rPr>
      <w:rFonts w:ascii="Sim Sun"/>
      <w:sz w:val="24"/>
      <w:szCs w:val="24"/>
    </w:rPr>
  </w:style>
  <w:style w:type="paragraph" w:customStyle="1" w:styleId="516">
    <w:name w:val="表格题注"/>
    <w:basedOn w:val="1"/>
    <w:link w:val="515"/>
    <w:qFormat/>
    <w:uiPriority w:val="0"/>
    <w:pPr>
      <w:spacing w:line="440" w:lineRule="exact"/>
      <w:ind w:firstLine="200"/>
      <w:jc w:val="center"/>
    </w:pPr>
    <w:rPr>
      <w:rFonts w:ascii="Sim Sun"/>
      <w:kern w:val="0"/>
    </w:rPr>
  </w:style>
  <w:style w:type="character" w:customStyle="1" w:styleId="517">
    <w:name w:val="篇号"/>
    <w:qFormat/>
    <w:uiPriority w:val="0"/>
    <w:rPr>
      <w:rFonts w:eastAsia="Sim Sun"/>
      <w:sz w:val="28"/>
      <w:szCs w:val="28"/>
    </w:rPr>
  </w:style>
  <w:style w:type="character" w:customStyle="1" w:styleId="518">
    <w:name w:val="一般正文 Char1"/>
    <w:link w:val="519"/>
    <w:qFormat/>
    <w:uiPriority w:val="0"/>
    <w:rPr>
      <w:rFonts w:ascii="Sim Sun" w:hAnsi="Sim Sun" w:eastAsia="Sim Sun"/>
      <w:kern w:val="2"/>
      <w:sz w:val="28"/>
    </w:rPr>
  </w:style>
  <w:style w:type="paragraph" w:customStyle="1" w:styleId="519">
    <w:name w:val="一般正文"/>
    <w:basedOn w:val="1"/>
    <w:link w:val="518"/>
    <w:qFormat/>
    <w:uiPriority w:val="0"/>
    <w:pPr>
      <w:spacing w:before="120" w:after="120"/>
      <w:ind w:right="1" w:rightChars="1" w:firstLine="560"/>
    </w:pPr>
    <w:rPr>
      <w:rFonts w:ascii="Sim Sun" w:hAnsi="Sim Sun" w:eastAsia="Sim Sun"/>
      <w:sz w:val="28"/>
      <w:szCs w:val="20"/>
    </w:rPr>
  </w:style>
  <w:style w:type="character" w:customStyle="1" w:styleId="520">
    <w:name w:val="标题 5 Char1"/>
    <w:qFormat/>
    <w:uiPriority w:val="0"/>
    <w:rPr>
      <w:rFonts w:ascii="Arial Unicode MS" w:hAnsi="Arial Unicode MS" w:eastAsia="Arial Unicode MS"/>
      <w:b/>
      <w:bCs/>
      <w:kern w:val="2"/>
      <w:sz w:val="24"/>
      <w:szCs w:val="28"/>
      <w:lang w:val="en-US" w:eastAsia="zh-CN" w:bidi="ar-SA"/>
    </w:rPr>
  </w:style>
  <w:style w:type="character" w:customStyle="1" w:styleId="521">
    <w:name w:val="font_21"/>
    <w:qFormat/>
    <w:uiPriority w:val="0"/>
    <w:rPr>
      <w:b/>
      <w:bCs/>
      <w:sz w:val="21"/>
      <w:szCs w:val="21"/>
    </w:rPr>
  </w:style>
  <w:style w:type="character" w:customStyle="1" w:styleId="522">
    <w:name w:val="正文内容 Char"/>
    <w:link w:val="523"/>
    <w:qFormat/>
    <w:uiPriority w:val="0"/>
    <w:rPr>
      <w:rFonts w:ascii="FLGPEK+TimesNewRoman,Italic" w:hAnsi="ˎ̥" w:eastAsia="FLGPEK+TimesNewRoman,Italic" w:cs="ˎ̥"/>
      <w:bCs/>
      <w:color w:val="000000"/>
      <w:kern w:val="24"/>
      <w:sz w:val="24"/>
    </w:rPr>
  </w:style>
  <w:style w:type="paragraph" w:customStyle="1" w:styleId="523">
    <w:name w:val="正文内容"/>
    <w:basedOn w:val="1"/>
    <w:link w:val="522"/>
    <w:qFormat/>
    <w:uiPriority w:val="0"/>
    <w:pPr>
      <w:ind w:firstLine="200"/>
    </w:pPr>
    <w:rPr>
      <w:rFonts w:ascii="FLGPEK+TimesNewRoman,Italic" w:hAnsi="ˎ̥" w:eastAsia="FLGPEK+TimesNewRoman,Italic" w:cs="ˎ̥"/>
      <w:bCs/>
      <w:color w:val="000000"/>
      <w:kern w:val="24"/>
      <w:szCs w:val="20"/>
    </w:rPr>
  </w:style>
  <w:style w:type="character" w:customStyle="1" w:styleId="524">
    <w:name w:val="题注 Char1 Char1"/>
    <w:qFormat/>
    <w:uiPriority w:val="0"/>
    <w:rPr>
      <w:rFonts w:ascii="Batang" w:hAnsi="Batang" w:eastAsia="宋体-方正超大字符集" w:cs="ˎ̥"/>
      <w:kern w:val="2"/>
      <w:sz w:val="24"/>
      <w:lang w:val="en-US" w:eastAsia="zh-CN" w:bidi="ar-SA"/>
    </w:rPr>
  </w:style>
  <w:style w:type="character" w:customStyle="1" w:styleId="525">
    <w:name w:val="正文1 Char Char Char Char"/>
    <w:link w:val="526"/>
    <w:qFormat/>
    <w:uiPriority w:val="0"/>
    <w:rPr>
      <w:rFonts w:ascii="ˎ̥" w:hAnsi="ˎ̥" w:eastAsia="FLGPEK+TimesNewRoman,Italic" w:cs="ˎ̥"/>
      <w:bCs/>
      <w:color w:val="000000"/>
      <w:kern w:val="24"/>
      <w:sz w:val="24"/>
      <w:szCs w:val="24"/>
    </w:rPr>
  </w:style>
  <w:style w:type="paragraph" w:customStyle="1" w:styleId="526">
    <w:name w:val="正文1 Char Char Char"/>
    <w:basedOn w:val="1"/>
    <w:next w:val="1"/>
    <w:link w:val="525"/>
    <w:qFormat/>
    <w:uiPriority w:val="0"/>
    <w:pPr>
      <w:adjustRightInd w:val="0"/>
      <w:snapToGrid w:val="0"/>
      <w:spacing w:line="480" w:lineRule="exact"/>
      <w:ind w:firstLine="200"/>
    </w:pPr>
    <w:rPr>
      <w:rFonts w:ascii="ˎ̥" w:hAnsi="ˎ̥" w:eastAsia="FLGPEK+TimesNewRoman,Italic" w:cs="ˎ̥"/>
      <w:bCs/>
      <w:color w:val="000000"/>
      <w:kern w:val="24"/>
    </w:rPr>
  </w:style>
  <w:style w:type="character" w:customStyle="1" w:styleId="527">
    <w:name w:val="blue1"/>
    <w:qFormat/>
    <w:uiPriority w:val="0"/>
    <w:rPr>
      <w:color w:val="626E83"/>
    </w:rPr>
  </w:style>
  <w:style w:type="character" w:customStyle="1" w:styleId="528">
    <w:name w:val="样式 正文（首行缩进两字） + 行距: 固定值 20 磅 Char"/>
    <w:link w:val="529"/>
    <w:qFormat/>
    <w:uiPriority w:val="0"/>
    <w:rPr>
      <w:rFonts w:eastAsia="Garamond"/>
      <w:bCs/>
      <w:sz w:val="24"/>
    </w:rPr>
  </w:style>
  <w:style w:type="paragraph" w:customStyle="1" w:styleId="529">
    <w:name w:val="样式 正文（首行缩进两字） + 行距: 固定值 20 磅"/>
    <w:basedOn w:val="186"/>
    <w:link w:val="528"/>
    <w:qFormat/>
    <w:uiPriority w:val="0"/>
    <w:pPr>
      <w:spacing w:afterLines="20" w:line="400" w:lineRule="exact"/>
      <w:jc w:val="both"/>
    </w:pPr>
    <w:rPr>
      <w:rFonts w:eastAsia="Garamond"/>
      <w:bCs/>
      <w:color w:val="auto"/>
    </w:rPr>
  </w:style>
  <w:style w:type="character" w:customStyle="1" w:styleId="530">
    <w:name w:val="通用正文 Char"/>
    <w:link w:val="531"/>
    <w:qFormat/>
    <w:uiPriority w:val="0"/>
    <w:rPr>
      <w:rFonts w:ascii="新宋体" w:hAnsi="新宋体" w:eastAsia="新宋体"/>
      <w:kern w:val="2"/>
      <w:sz w:val="24"/>
      <w:szCs w:val="24"/>
    </w:rPr>
  </w:style>
  <w:style w:type="paragraph" w:customStyle="1" w:styleId="531">
    <w:name w:val="通用正文"/>
    <w:basedOn w:val="1"/>
    <w:link w:val="530"/>
    <w:qFormat/>
    <w:uiPriority w:val="0"/>
    <w:pPr>
      <w:spacing w:line="600" w:lineRule="exact"/>
      <w:ind w:firstLine="200"/>
    </w:pPr>
    <w:rPr>
      <w:rFonts w:ascii="新宋体" w:hAnsi="新宋体" w:eastAsia="新宋体"/>
    </w:rPr>
  </w:style>
  <w:style w:type="character" w:customStyle="1" w:styleId="532">
    <w:name w:val="kait"/>
    <w:basedOn w:val="95"/>
    <w:qFormat/>
    <w:uiPriority w:val="0"/>
  </w:style>
  <w:style w:type="character" w:customStyle="1" w:styleId="533">
    <w:name w:val="表格正文 Char"/>
    <w:link w:val="534"/>
    <w:qFormat/>
    <w:uiPriority w:val="0"/>
    <w:rPr>
      <w:bCs/>
      <w:color w:val="000000"/>
      <w:kern w:val="24"/>
      <w:sz w:val="24"/>
      <w:szCs w:val="24"/>
    </w:rPr>
  </w:style>
  <w:style w:type="paragraph" w:customStyle="1" w:styleId="534">
    <w:name w:val="表格正文"/>
    <w:basedOn w:val="1"/>
    <w:link w:val="533"/>
    <w:qFormat/>
    <w:uiPriority w:val="0"/>
    <w:pPr>
      <w:jc w:val="center"/>
    </w:pPr>
    <w:rPr>
      <w:bCs/>
      <w:color w:val="000000"/>
      <w:kern w:val="24"/>
    </w:rPr>
  </w:style>
  <w:style w:type="character" w:customStyle="1" w:styleId="535">
    <w:name w:val="行号1"/>
    <w:basedOn w:val="95"/>
    <w:qFormat/>
    <w:uiPriority w:val="0"/>
  </w:style>
  <w:style w:type="character" w:customStyle="1" w:styleId="536">
    <w:name w:val="Char Char24"/>
    <w:qFormat/>
    <w:uiPriority w:val="0"/>
    <w:rPr>
      <w:rFonts w:eastAsia="宋体"/>
      <w:kern w:val="2"/>
      <w:sz w:val="24"/>
      <w:lang w:val="en-US" w:eastAsia="zh-CN" w:bidi="ar-SA"/>
    </w:rPr>
  </w:style>
  <w:style w:type="character" w:customStyle="1" w:styleId="537">
    <w:name w:val="表头 Char"/>
    <w:link w:val="538"/>
    <w:qFormat/>
    <w:uiPriority w:val="0"/>
    <w:rPr>
      <w:b/>
      <w:bCs/>
      <w:color w:val="000000"/>
      <w:kern w:val="24"/>
      <w:sz w:val="24"/>
      <w:szCs w:val="24"/>
    </w:rPr>
  </w:style>
  <w:style w:type="paragraph" w:customStyle="1" w:styleId="538">
    <w:name w:val="表头"/>
    <w:basedOn w:val="49"/>
    <w:next w:val="49"/>
    <w:link w:val="537"/>
    <w:qFormat/>
    <w:uiPriority w:val="0"/>
    <w:pPr>
      <w:ind w:firstLine="0" w:firstLineChars="0"/>
      <w:jc w:val="center"/>
    </w:pPr>
    <w:rPr>
      <w:b/>
    </w:rPr>
  </w:style>
  <w:style w:type="character" w:customStyle="1" w:styleId="539">
    <w:name w:val="表1 Char"/>
    <w:link w:val="540"/>
    <w:qFormat/>
    <w:uiPriority w:val="0"/>
    <w:rPr>
      <w:bCs/>
      <w:color w:val="000000"/>
      <w:sz w:val="21"/>
      <w:szCs w:val="24"/>
    </w:rPr>
  </w:style>
  <w:style w:type="paragraph" w:customStyle="1" w:styleId="540">
    <w:name w:val="表1"/>
    <w:next w:val="1"/>
    <w:link w:val="539"/>
    <w:qFormat/>
    <w:uiPriority w:val="0"/>
    <w:pPr>
      <w:adjustRightInd w:val="0"/>
      <w:snapToGrid w:val="0"/>
      <w:jc w:val="center"/>
    </w:pPr>
    <w:rPr>
      <w:rFonts w:ascii="Times New Roman" w:hAnsi="Times New Roman" w:eastAsia="宋体" w:cs="Times New Roman"/>
      <w:bCs/>
      <w:color w:val="000000"/>
      <w:sz w:val="21"/>
      <w:szCs w:val="24"/>
      <w:lang w:val="en-US" w:eastAsia="zh-CN" w:bidi="ar-SA"/>
    </w:rPr>
  </w:style>
  <w:style w:type="character" w:customStyle="1" w:styleId="541">
    <w:name w:val="亚行正文 Char"/>
    <w:qFormat/>
    <w:uiPriority w:val="0"/>
    <w:rPr>
      <w:rFonts w:eastAsia="Sim Sun"/>
      <w:kern w:val="2"/>
      <w:sz w:val="24"/>
      <w:szCs w:val="24"/>
      <w:lang w:val="en-US" w:eastAsia="zh-CN" w:bidi="ar-SA"/>
    </w:rPr>
  </w:style>
  <w:style w:type="character" w:customStyle="1" w:styleId="542">
    <w:name w:val="标题1"/>
    <w:basedOn w:val="95"/>
    <w:qFormat/>
    <w:uiPriority w:val="0"/>
  </w:style>
  <w:style w:type="character" w:customStyle="1" w:styleId="543">
    <w:name w:val="段落 Char"/>
    <w:link w:val="544"/>
    <w:qFormat/>
    <w:uiPriority w:val="0"/>
    <w:rPr>
      <w:rFonts w:ascii="宋体"/>
      <w:bCs/>
      <w:color w:val="000000"/>
      <w:sz w:val="21"/>
    </w:rPr>
  </w:style>
  <w:style w:type="paragraph" w:customStyle="1" w:styleId="544">
    <w:name w:val="段落"/>
    <w:basedOn w:val="1"/>
    <w:link w:val="543"/>
    <w:qFormat/>
    <w:uiPriority w:val="0"/>
    <w:pPr>
      <w:widowControl/>
      <w:spacing w:beforeLines="100" w:line="288" w:lineRule="auto"/>
      <w:ind w:firstLine="420"/>
    </w:pPr>
    <w:rPr>
      <w:rFonts w:ascii="宋体"/>
      <w:bCs/>
      <w:color w:val="000000"/>
      <w:kern w:val="0"/>
      <w:szCs w:val="20"/>
    </w:rPr>
  </w:style>
  <w:style w:type="character" w:customStyle="1" w:styleId="545">
    <w:name w:val="一 Char Char"/>
    <w:qFormat/>
    <w:uiPriority w:val="0"/>
    <w:rPr>
      <w:rFonts w:ascii="@幼圆" w:eastAsia="@幼圆"/>
      <w:b/>
      <w:kern w:val="2"/>
      <w:sz w:val="28"/>
      <w:lang w:val="en-US" w:eastAsia="zh-CN" w:bidi="ar-SA"/>
    </w:rPr>
  </w:style>
  <w:style w:type="character" w:customStyle="1" w:styleId="546">
    <w:name w:val="标题 4＋小四 Char Char"/>
    <w:qFormat/>
    <w:uiPriority w:val="0"/>
    <w:rPr>
      <w:rFonts w:eastAsia="宋体"/>
      <w:b/>
      <w:bCs/>
      <w:kern w:val="2"/>
      <w:sz w:val="21"/>
      <w:szCs w:val="24"/>
      <w:lang w:val="en-US" w:eastAsia="zh-CN" w:bidi="ar-SA"/>
    </w:rPr>
  </w:style>
  <w:style w:type="character" w:customStyle="1" w:styleId="547">
    <w:name w:val="表头1 Char"/>
    <w:link w:val="548"/>
    <w:qFormat/>
    <w:uiPriority w:val="0"/>
    <w:rPr>
      <w:rFonts w:eastAsia="黑体"/>
      <w:bCs/>
      <w:color w:val="000000"/>
      <w:sz w:val="21"/>
      <w:szCs w:val="28"/>
    </w:rPr>
  </w:style>
  <w:style w:type="paragraph" w:customStyle="1" w:styleId="548">
    <w:name w:val="表头1"/>
    <w:basedOn w:val="1"/>
    <w:next w:val="1"/>
    <w:link w:val="547"/>
    <w:qFormat/>
    <w:uiPriority w:val="0"/>
    <w:pPr>
      <w:tabs>
        <w:tab w:val="left" w:pos="605"/>
      </w:tabs>
      <w:adjustRightInd w:val="0"/>
      <w:snapToGrid w:val="0"/>
      <w:jc w:val="center"/>
    </w:pPr>
    <w:rPr>
      <w:rFonts w:eastAsia="黑体"/>
      <w:bCs/>
      <w:color w:val="000000"/>
      <w:kern w:val="0"/>
      <w:szCs w:val="28"/>
    </w:rPr>
  </w:style>
  <w:style w:type="character" w:customStyle="1" w:styleId="549">
    <w:name w:val="正文（首行缩进两字） Char Char1 Char"/>
    <w:link w:val="550"/>
    <w:qFormat/>
    <w:uiPriority w:val="0"/>
    <w:rPr>
      <w:rFonts w:ascii="Arial" w:hAnsi="Arial" w:cs="Arial"/>
      <w:bCs/>
      <w:color w:val="000000"/>
      <w:kern w:val="24"/>
      <w:sz w:val="24"/>
      <w:szCs w:val="24"/>
    </w:rPr>
  </w:style>
  <w:style w:type="paragraph" w:customStyle="1" w:styleId="550">
    <w:name w:val="正文（首行缩进两字） Char Char Char2"/>
    <w:basedOn w:val="1"/>
    <w:next w:val="2"/>
    <w:link w:val="549"/>
    <w:qFormat/>
    <w:uiPriority w:val="0"/>
    <w:pPr>
      <w:spacing w:line="440" w:lineRule="exact"/>
      <w:ind w:firstLine="200"/>
    </w:pPr>
    <w:rPr>
      <w:rFonts w:ascii="Arial" w:hAnsi="Arial" w:cs="Arial"/>
      <w:bCs/>
      <w:color w:val="000000"/>
      <w:kern w:val="24"/>
    </w:rPr>
  </w:style>
  <w:style w:type="character" w:customStyle="1" w:styleId="551">
    <w:name w:val="duanluo1"/>
    <w:basedOn w:val="95"/>
    <w:qFormat/>
    <w:uiPriority w:val="0"/>
  </w:style>
  <w:style w:type="character" w:customStyle="1" w:styleId="552">
    <w:name w:val="样式 首行缩进:  2 字符 Char"/>
    <w:link w:val="553"/>
    <w:qFormat/>
    <w:uiPriority w:val="0"/>
    <w:rPr>
      <w:rFonts w:cs="宋体"/>
      <w:bCs/>
      <w:color w:val="000000"/>
      <w:kern w:val="24"/>
      <w:sz w:val="24"/>
      <w:szCs w:val="24"/>
    </w:rPr>
  </w:style>
  <w:style w:type="paragraph" w:customStyle="1" w:styleId="553">
    <w:name w:val="样式 首行缩进:  2 字符"/>
    <w:basedOn w:val="1"/>
    <w:link w:val="552"/>
    <w:qFormat/>
    <w:uiPriority w:val="0"/>
    <w:pPr>
      <w:spacing w:line="460" w:lineRule="exact"/>
      <w:ind w:firstLine="471"/>
    </w:pPr>
    <w:rPr>
      <w:rFonts w:cs="宋体"/>
      <w:bCs/>
      <w:color w:val="000000"/>
      <w:kern w:val="24"/>
    </w:rPr>
  </w:style>
  <w:style w:type="character" w:customStyle="1" w:styleId="554">
    <w:name w:val="正文（首行缩进两字） Char Char Char3"/>
    <w:qFormat/>
    <w:uiPriority w:val="0"/>
    <w:rPr>
      <w:rFonts w:ascii="Arial" w:hAnsi="Arial" w:eastAsia="宋体"/>
      <w:snapToGrid w:val="0"/>
      <w:sz w:val="24"/>
      <w:lang w:val="en-US" w:eastAsia="zh-CN" w:bidi="ar-SA"/>
    </w:rPr>
  </w:style>
  <w:style w:type="character" w:customStyle="1" w:styleId="555">
    <w:name w:val="正文文字 Char1"/>
    <w:qFormat/>
    <w:uiPriority w:val="0"/>
    <w:rPr>
      <w:rFonts w:ascii="Arial" w:hAnsi="Arial" w:eastAsia="宋体"/>
      <w:kern w:val="2"/>
      <w:sz w:val="24"/>
      <w:lang w:val="en-US" w:eastAsia="zh-CN" w:bidi="ar-SA"/>
    </w:rPr>
  </w:style>
  <w:style w:type="character" w:customStyle="1" w:styleId="556">
    <w:name w:val="表 Char1"/>
    <w:qFormat/>
    <w:uiPriority w:val="0"/>
    <w:rPr>
      <w:rFonts w:eastAsia="Garamond"/>
      <w:color w:val="FF0000"/>
      <w:kern w:val="2"/>
      <w:sz w:val="21"/>
      <w:lang w:val="en-US" w:eastAsia="zh-CN"/>
    </w:rPr>
  </w:style>
  <w:style w:type="character" w:customStyle="1" w:styleId="557">
    <w:name w:val="超链接1"/>
    <w:qFormat/>
    <w:uiPriority w:val="0"/>
    <w:rPr>
      <w:color w:val="auto"/>
      <w:sz w:val="18"/>
      <w:u w:val="none"/>
    </w:rPr>
  </w:style>
  <w:style w:type="character" w:customStyle="1" w:styleId="558">
    <w:name w:val="c91"/>
    <w:qFormat/>
    <w:uiPriority w:val="0"/>
    <w:rPr>
      <w:color w:val="414141"/>
      <w:spacing w:val="432"/>
      <w:sz w:val="18"/>
      <w:szCs w:val="18"/>
    </w:rPr>
  </w:style>
  <w:style w:type="character" w:customStyle="1" w:styleId="559">
    <w:name w:val="标题 41"/>
    <w:qFormat/>
    <w:uiPriority w:val="0"/>
    <w:rPr>
      <w:rFonts w:ascii="Arial" w:hAnsi="Arial" w:eastAsia="宋体"/>
      <w:b/>
      <w:bCs/>
      <w:kern w:val="2"/>
      <w:sz w:val="28"/>
      <w:szCs w:val="28"/>
      <w:lang w:val="en-US" w:eastAsia="zh-CN" w:bidi="ar-SA"/>
    </w:rPr>
  </w:style>
  <w:style w:type="character" w:customStyle="1" w:styleId="560">
    <w:name w:val="样式 样式 首行缩进:  2 字符 行距: 最小值 24 磅 + 首行缩进:  2 字符 Char Char"/>
    <w:link w:val="561"/>
    <w:qFormat/>
    <w:uiPriority w:val="0"/>
    <w:rPr>
      <w:rFonts w:cs="宋体"/>
      <w:bCs/>
      <w:color w:val="000000"/>
      <w:kern w:val="24"/>
      <w:sz w:val="24"/>
    </w:rPr>
  </w:style>
  <w:style w:type="paragraph" w:customStyle="1" w:styleId="561">
    <w:name w:val="样式 样式 首行缩进:  2 字符 行距: 最小值 24 磅 + 首行缩进:  2 字符 Char"/>
    <w:basedOn w:val="1"/>
    <w:link w:val="560"/>
    <w:qFormat/>
    <w:uiPriority w:val="0"/>
    <w:pPr>
      <w:spacing w:line="480" w:lineRule="atLeast"/>
      <w:ind w:firstLine="480"/>
    </w:pPr>
    <w:rPr>
      <w:rFonts w:cs="宋体"/>
      <w:bCs/>
      <w:color w:val="000000"/>
      <w:kern w:val="24"/>
      <w:szCs w:val="20"/>
    </w:rPr>
  </w:style>
  <w:style w:type="character" w:customStyle="1" w:styleId="562">
    <w:name w:val="ht091"/>
    <w:qFormat/>
    <w:uiPriority w:val="0"/>
    <w:rPr>
      <w:rFonts w:hint="eastAsia" w:ascii="Sim Sun" w:hAnsi="Sim Sun" w:eastAsia="Sim Sun"/>
      <w:spacing w:val="360"/>
      <w:sz w:val="18"/>
      <w:szCs w:val="18"/>
    </w:rPr>
  </w:style>
  <w:style w:type="character" w:customStyle="1" w:styleId="563">
    <w:name w:val="1-正文 Char"/>
    <w:link w:val="564"/>
    <w:qFormat/>
    <w:uiPriority w:val="0"/>
    <w:rPr>
      <w:rFonts w:ascii="Sim Sun" w:hAnsi="Sim Sun" w:cs="Batang"/>
      <w:bCs/>
      <w:color w:val="000000"/>
      <w:kern w:val="24"/>
      <w:sz w:val="24"/>
      <w:szCs w:val="24"/>
    </w:rPr>
  </w:style>
  <w:style w:type="paragraph" w:customStyle="1" w:styleId="564">
    <w:name w:val="1-正文"/>
    <w:basedOn w:val="1"/>
    <w:link w:val="563"/>
    <w:qFormat/>
    <w:uiPriority w:val="0"/>
    <w:pPr>
      <w:ind w:firstLine="480"/>
    </w:pPr>
    <w:rPr>
      <w:rFonts w:ascii="Sim Sun" w:hAnsi="Sim Sun" w:cs="Batang"/>
      <w:bCs/>
      <w:color w:val="000000"/>
      <w:kern w:val="24"/>
    </w:rPr>
  </w:style>
  <w:style w:type="character" w:customStyle="1" w:styleId="565">
    <w:name w:val="font201"/>
    <w:basedOn w:val="95"/>
    <w:qFormat/>
    <w:uiPriority w:val="0"/>
  </w:style>
  <w:style w:type="character" w:customStyle="1" w:styleId="566">
    <w:name w:val="apple-style-span"/>
    <w:basedOn w:val="95"/>
    <w:qFormat/>
    <w:uiPriority w:val="0"/>
  </w:style>
  <w:style w:type="character" w:customStyle="1" w:styleId="567">
    <w:name w:val="曹文本 Char Char"/>
    <w:link w:val="568"/>
    <w:qFormat/>
    <w:uiPriority w:val="0"/>
    <w:rPr>
      <w:rFonts w:ascii="宋体" w:hAnsi="宋体"/>
      <w:kern w:val="2"/>
      <w:sz w:val="24"/>
    </w:rPr>
  </w:style>
  <w:style w:type="paragraph" w:customStyle="1" w:styleId="568">
    <w:name w:val="曹文本"/>
    <w:basedOn w:val="1"/>
    <w:link w:val="567"/>
    <w:qFormat/>
    <w:uiPriority w:val="0"/>
    <w:pPr>
      <w:ind w:firstLine="200"/>
    </w:pPr>
    <w:rPr>
      <w:rFonts w:ascii="宋体" w:hAnsi="宋体"/>
      <w:szCs w:val="20"/>
    </w:rPr>
  </w:style>
  <w:style w:type="character" w:customStyle="1" w:styleId="569">
    <w:name w:val="0031"/>
    <w:qFormat/>
    <w:uiPriority w:val="0"/>
    <w:rPr>
      <w:spacing w:val="432"/>
      <w:sz w:val="21"/>
      <w:szCs w:val="21"/>
    </w:rPr>
  </w:style>
  <w:style w:type="character" w:customStyle="1" w:styleId="570">
    <w:name w:val="正文首行缩进 Char2"/>
    <w:link w:val="253"/>
    <w:qFormat/>
    <w:uiPriority w:val="0"/>
    <w:rPr>
      <w:rFonts w:ascii="Arial Unicode MS" w:hAnsi="Arial Unicode MS"/>
      <w:bCs/>
      <w:color w:val="000000"/>
      <w:kern w:val="24"/>
      <w:sz w:val="24"/>
      <w:szCs w:val="24"/>
    </w:rPr>
  </w:style>
  <w:style w:type="character" w:customStyle="1" w:styleId="571">
    <w:name w:val="文本条款 Char"/>
    <w:qFormat/>
    <w:uiPriority w:val="0"/>
    <w:rPr>
      <w:rFonts w:ascii="仿宋_GB2312" w:hAnsi="Arial Black" w:eastAsia="仿宋_GB2312"/>
      <w:kern w:val="2"/>
      <w:sz w:val="28"/>
      <w:lang w:val="en-US" w:eastAsia="zh-CN" w:bidi="ar-SA"/>
    </w:rPr>
  </w:style>
  <w:style w:type="character" w:customStyle="1" w:styleId="572">
    <w:name w:val="Char Char20"/>
    <w:qFormat/>
    <w:uiPriority w:val="0"/>
    <w:rPr>
      <w:rFonts w:ascii="Batang" w:hAnsi="Batang"/>
      <w:smallCaps/>
      <w:kern w:val="2"/>
    </w:rPr>
  </w:style>
  <w:style w:type="character" w:customStyle="1" w:styleId="573">
    <w:name w:val="style11"/>
    <w:qFormat/>
    <w:uiPriority w:val="0"/>
    <w:rPr>
      <w:color w:val="FF0000"/>
    </w:rPr>
  </w:style>
  <w:style w:type="character" w:customStyle="1" w:styleId="574">
    <w:name w:val="a0021"/>
    <w:qFormat/>
    <w:uiPriority w:val="0"/>
    <w:rPr>
      <w:color w:val="333333"/>
      <w:sz w:val="20"/>
      <w:szCs w:val="20"/>
    </w:rPr>
  </w:style>
  <w:style w:type="character" w:customStyle="1" w:styleId="575">
    <w:name w:val="search_content1"/>
    <w:qFormat/>
    <w:uiPriority w:val="0"/>
    <w:rPr>
      <w:sz w:val="24"/>
      <w:szCs w:val="24"/>
    </w:rPr>
  </w:style>
  <w:style w:type="character" w:customStyle="1" w:styleId="576">
    <w:name w:val="h31"/>
    <w:qFormat/>
    <w:uiPriority w:val="0"/>
    <w:rPr>
      <w:sz w:val="23"/>
      <w:szCs w:val="23"/>
    </w:rPr>
  </w:style>
  <w:style w:type="character" w:customStyle="1" w:styleId="577">
    <w:name w:val="正文qrz Char Char"/>
    <w:link w:val="578"/>
    <w:qFormat/>
    <w:uiPriority w:val="0"/>
    <w:rPr>
      <w:rFonts w:ascii="宋体" w:hAnsi="宋体" w:cs="宋体"/>
      <w:kern w:val="2"/>
      <w:sz w:val="24"/>
      <w:szCs w:val="21"/>
    </w:rPr>
  </w:style>
  <w:style w:type="paragraph" w:customStyle="1" w:styleId="578">
    <w:name w:val="正文qrz"/>
    <w:basedOn w:val="1"/>
    <w:link w:val="577"/>
    <w:qFormat/>
    <w:uiPriority w:val="0"/>
    <w:pPr>
      <w:spacing w:beforeLines="50"/>
      <w:ind w:firstLine="480"/>
    </w:pPr>
    <w:rPr>
      <w:rFonts w:ascii="宋体" w:hAnsi="宋体" w:cs="宋体"/>
      <w:szCs w:val="21"/>
    </w:rPr>
  </w:style>
  <w:style w:type="character" w:customStyle="1" w:styleId="579">
    <w:name w:val="style12"/>
    <w:basedOn w:val="95"/>
    <w:qFormat/>
    <w:uiPriority w:val="0"/>
  </w:style>
  <w:style w:type="character" w:customStyle="1" w:styleId="580">
    <w:name w:val="nota"/>
    <w:qFormat/>
    <w:uiPriority w:val="0"/>
    <w:rPr>
      <w:i/>
      <w:iCs/>
      <w:sz w:val="20"/>
    </w:rPr>
  </w:style>
  <w:style w:type="character" w:customStyle="1" w:styleId="581">
    <w:name w:val="表格文字 Char1"/>
    <w:qFormat/>
    <w:uiPriority w:val="0"/>
    <w:rPr>
      <w:rFonts w:ascii="Sim Sun" w:hAnsi="DFKai-SB" w:eastAsia="Sim Sun" w:cs="DFKai-SB"/>
      <w:kern w:val="2"/>
      <w:sz w:val="21"/>
      <w:szCs w:val="21"/>
      <w:lang w:val="en-US" w:eastAsia="zh-CN" w:bidi="ar-SA"/>
    </w:rPr>
  </w:style>
  <w:style w:type="character" w:customStyle="1" w:styleId="582">
    <w:name w:val="jiu"/>
    <w:basedOn w:val="95"/>
    <w:qFormat/>
    <w:uiPriority w:val="0"/>
  </w:style>
  <w:style w:type="character" w:customStyle="1" w:styleId="583">
    <w:name w:val="样式 正文A + (中文) PMingLiU Char Char"/>
    <w:qFormat/>
    <w:uiPriority w:val="0"/>
    <w:rPr>
      <w:rFonts w:hint="eastAsia" w:ascii="Sim Sun" w:hAnsi="Sim Sun" w:eastAsia="Sim Sun" w:cs="Sim Sun"/>
      <w:kern w:val="2"/>
      <w:sz w:val="24"/>
      <w:szCs w:val="24"/>
      <w:lang w:val="en-US" w:eastAsia="zh-CN" w:bidi="ar-SA"/>
    </w:rPr>
  </w:style>
  <w:style w:type="character" w:customStyle="1" w:styleId="584">
    <w:name w:val="word221"/>
    <w:basedOn w:val="95"/>
    <w:qFormat/>
    <w:uiPriority w:val="0"/>
  </w:style>
  <w:style w:type="character" w:customStyle="1" w:styleId="585">
    <w:name w:val="hei141"/>
    <w:qFormat/>
    <w:uiPriority w:val="0"/>
    <w:rPr>
      <w:rFonts w:hint="default" w:ascii="华文新魏" w:hAnsi="华文新魏"/>
      <w:color w:val="000000"/>
      <w:sz w:val="21"/>
      <w:szCs w:val="21"/>
      <w:u w:val="none"/>
    </w:rPr>
  </w:style>
  <w:style w:type="character" w:customStyle="1" w:styleId="586">
    <w:name w:val="一级条 Char2"/>
    <w:qFormat/>
    <w:uiPriority w:val="0"/>
    <w:rPr>
      <w:rFonts w:ascii="ˎ̥" w:hAnsi="ˎ̥" w:eastAsia="Sim Sun"/>
      <w:b/>
      <w:bCs/>
      <w:kern w:val="2"/>
      <w:sz w:val="28"/>
      <w:szCs w:val="32"/>
      <w:lang w:val="en-US" w:eastAsia="zh-CN" w:bidi="ar-SA"/>
    </w:rPr>
  </w:style>
  <w:style w:type="character" w:customStyle="1" w:styleId="587">
    <w:name w:val="content"/>
    <w:basedOn w:val="95"/>
    <w:qFormat/>
    <w:uiPriority w:val="0"/>
  </w:style>
  <w:style w:type="character" w:customStyle="1" w:styleId="588">
    <w:name w:val="标题3 Char Char Char"/>
    <w:link w:val="589"/>
    <w:qFormat/>
    <w:uiPriority w:val="0"/>
    <w:rPr>
      <w:rFonts w:ascii="Sim Sun" w:hAnsi="Sim Sun" w:eastAsia="Sim Sun" w:cs="Batang"/>
      <w:b/>
      <w:bCs/>
      <w:color w:val="000000"/>
      <w:sz w:val="24"/>
      <w:szCs w:val="24"/>
    </w:rPr>
  </w:style>
  <w:style w:type="paragraph" w:customStyle="1" w:styleId="589">
    <w:name w:val="标题3 Char Char"/>
    <w:basedOn w:val="6"/>
    <w:next w:val="1"/>
    <w:link w:val="588"/>
    <w:qFormat/>
    <w:uiPriority w:val="0"/>
    <w:pPr>
      <w:widowControl/>
      <w:spacing w:before="80" w:after="80" w:line="440" w:lineRule="atLeast"/>
    </w:pPr>
    <w:rPr>
      <w:rFonts w:ascii="Sim Sun" w:hAnsi="Sim Sun" w:eastAsia="Sim Sun" w:cs="Batang"/>
      <w:color w:val="000000"/>
      <w:kern w:val="0"/>
      <w:sz w:val="24"/>
      <w:szCs w:val="24"/>
    </w:rPr>
  </w:style>
  <w:style w:type="character" w:customStyle="1" w:styleId="590">
    <w:name w:val="报告书正文 Char"/>
    <w:link w:val="591"/>
    <w:semiHidden/>
    <w:qFormat/>
    <w:uiPriority w:val="0"/>
    <w:rPr>
      <w:rFonts w:ascii="Batang" w:hAnsi="Batang" w:cs="Batang"/>
      <w:bCs/>
      <w:color w:val="000000"/>
      <w:kern w:val="24"/>
      <w:sz w:val="24"/>
      <w:szCs w:val="24"/>
    </w:rPr>
  </w:style>
  <w:style w:type="paragraph" w:customStyle="1" w:styleId="591">
    <w:name w:val="报告书正文"/>
    <w:basedOn w:val="1"/>
    <w:link w:val="590"/>
    <w:semiHidden/>
    <w:qFormat/>
    <w:uiPriority w:val="0"/>
    <w:pPr>
      <w:ind w:firstLine="480"/>
    </w:pPr>
    <w:rPr>
      <w:rFonts w:ascii="Batang" w:hAnsi="Batang" w:cs="Batang"/>
      <w:bCs/>
      <w:color w:val="000000"/>
      <w:kern w:val="24"/>
    </w:rPr>
  </w:style>
  <w:style w:type="character" w:customStyle="1" w:styleId="592">
    <w:name w:val="四号 正文 Char1"/>
    <w:link w:val="593"/>
    <w:qFormat/>
    <w:uiPriority w:val="0"/>
    <w:rPr>
      <w:rFonts w:ascii="Batang" w:hAnsi="Batang" w:cs="Sim Sun"/>
      <w:bCs/>
      <w:color w:val="000000"/>
      <w:spacing w:val="6"/>
      <w:kern w:val="24"/>
      <w:sz w:val="28"/>
    </w:rPr>
  </w:style>
  <w:style w:type="paragraph" w:customStyle="1" w:styleId="593">
    <w:name w:val="四号 正文"/>
    <w:basedOn w:val="1"/>
    <w:link w:val="592"/>
    <w:qFormat/>
    <w:uiPriority w:val="0"/>
    <w:pPr>
      <w:ind w:firstLine="584"/>
    </w:pPr>
    <w:rPr>
      <w:rFonts w:ascii="Batang" w:hAnsi="Batang" w:cs="Sim Sun"/>
      <w:bCs/>
      <w:color w:val="000000"/>
      <w:spacing w:val="6"/>
      <w:kern w:val="24"/>
      <w:sz w:val="28"/>
      <w:szCs w:val="20"/>
    </w:rPr>
  </w:style>
  <w:style w:type="character" w:customStyle="1" w:styleId="594">
    <w:name w:val="Char Char9"/>
    <w:qFormat/>
    <w:uiPriority w:val="0"/>
    <w:rPr>
      <w:rFonts w:ascii="FLGPEK+TimesNewRoman,Italic" w:hAnsi="ˎ̥" w:eastAsia="FLGPEK+TimesNewRoman,Italic"/>
      <w:sz w:val="18"/>
    </w:rPr>
  </w:style>
  <w:style w:type="character" w:customStyle="1" w:styleId="595">
    <w:name w:val="example2"/>
    <w:basedOn w:val="95"/>
    <w:qFormat/>
    <w:uiPriority w:val="0"/>
  </w:style>
  <w:style w:type="character" w:customStyle="1" w:styleId="596">
    <w:name w:val="新正文样式 Char"/>
    <w:link w:val="597"/>
    <w:qFormat/>
    <w:uiPriority w:val="0"/>
    <w:rPr>
      <w:rFonts w:ascii="Batang" w:hAnsi="Batang" w:cs="Batang"/>
      <w:bCs/>
      <w:color w:val="000000"/>
      <w:spacing w:val="20"/>
      <w:kern w:val="24"/>
      <w:sz w:val="24"/>
    </w:rPr>
  </w:style>
  <w:style w:type="paragraph" w:customStyle="1" w:styleId="597">
    <w:name w:val="新正文样式"/>
    <w:basedOn w:val="1"/>
    <w:link w:val="596"/>
    <w:qFormat/>
    <w:uiPriority w:val="0"/>
    <w:pPr>
      <w:tabs>
        <w:tab w:val="left" w:pos="567"/>
      </w:tabs>
      <w:ind w:firstLine="567"/>
    </w:pPr>
    <w:rPr>
      <w:rFonts w:ascii="Batang" w:hAnsi="Batang" w:cs="Batang"/>
      <w:bCs/>
      <w:color w:val="000000"/>
      <w:spacing w:val="20"/>
      <w:kern w:val="24"/>
      <w:szCs w:val="20"/>
    </w:rPr>
  </w:style>
  <w:style w:type="character" w:customStyle="1" w:styleId="598">
    <w:name w:val="heading1"/>
    <w:qFormat/>
    <w:uiPriority w:val="0"/>
    <w:rPr>
      <w:rFonts w:hint="default" w:ascii="Sim Sun" w:hAnsi="Sim Sun"/>
      <w:b/>
      <w:i/>
      <w:color w:val="000000"/>
      <w:sz w:val="32"/>
    </w:rPr>
  </w:style>
  <w:style w:type="character" w:customStyle="1" w:styleId="599">
    <w:name w:val="char"/>
    <w:basedOn w:val="95"/>
    <w:qFormat/>
    <w:uiPriority w:val="0"/>
  </w:style>
  <w:style w:type="character" w:customStyle="1" w:styleId="600">
    <w:name w:val="正文文本缩进 3 Char Char Char"/>
    <w:qFormat/>
    <w:uiPriority w:val="0"/>
    <w:rPr>
      <w:rFonts w:eastAsia="FLGPEK+TimesNewRoman,Italic"/>
      <w:kern w:val="2"/>
      <w:sz w:val="16"/>
      <w:lang w:val="en-US" w:eastAsia="zh-CN"/>
    </w:rPr>
  </w:style>
  <w:style w:type="character" w:customStyle="1" w:styleId="601">
    <w:name w:val="题注 Char1 Char2"/>
    <w:qFormat/>
    <w:uiPriority w:val="0"/>
    <w:rPr>
      <w:rFonts w:ascii="宋体" w:hAnsi="Arial" w:eastAsia="宋体" w:cs="Arial"/>
      <w:kern w:val="2"/>
      <w:sz w:val="21"/>
      <w:lang w:val="en-US" w:eastAsia="zh-CN" w:bidi="ar-SA"/>
    </w:rPr>
  </w:style>
  <w:style w:type="character" w:customStyle="1" w:styleId="602">
    <w:name w:val="Char Char14"/>
    <w:qFormat/>
    <w:uiPriority w:val="0"/>
    <w:rPr>
      <w:rFonts w:ascii="ˎ̥" w:hAnsi="ˎ̥" w:eastAsia="FLGPEK+TimesNewRoman,Italic" w:cs="ˎ̥"/>
      <w:kern w:val="2"/>
      <w:sz w:val="21"/>
      <w:lang w:val="en-US" w:eastAsia="zh-CN" w:bidi="ar-SA"/>
    </w:rPr>
  </w:style>
  <w:style w:type="character" w:customStyle="1" w:styleId="603">
    <w:name w:val="Char Char12"/>
    <w:qFormat/>
    <w:uiPriority w:val="0"/>
    <w:rPr>
      <w:rFonts w:eastAsia="FLGPEK+TimesNewRoman,Italic"/>
      <w:kern w:val="2"/>
      <w:sz w:val="21"/>
      <w:szCs w:val="24"/>
      <w:lang w:val="en-US" w:eastAsia="zh-CN" w:bidi="ar-SA"/>
    </w:rPr>
  </w:style>
  <w:style w:type="character" w:customStyle="1" w:styleId="604">
    <w:name w:val="Char Char5"/>
    <w:qFormat/>
    <w:uiPriority w:val="0"/>
    <w:rPr>
      <w:rFonts w:eastAsia="FLGPEK+TimesNewRoman,Italic"/>
      <w:kern w:val="2"/>
      <w:sz w:val="21"/>
      <w:szCs w:val="24"/>
      <w:lang w:val="en-US" w:eastAsia="zh-CN" w:bidi="ar-SA"/>
    </w:rPr>
  </w:style>
  <w:style w:type="character" w:customStyle="1" w:styleId="605">
    <w:name w:val="f241"/>
    <w:qFormat/>
    <w:uiPriority w:val="0"/>
    <w:rPr>
      <w:sz w:val="24"/>
      <w:szCs w:val="24"/>
    </w:rPr>
  </w:style>
  <w:style w:type="character" w:customStyle="1" w:styleId="606">
    <w:name w:val="Char Char92"/>
    <w:qFormat/>
    <w:uiPriority w:val="0"/>
    <w:rPr>
      <w:rFonts w:hint="eastAsia" w:ascii="FLGPEK+TimesNewRoman,Italic" w:hAnsi="ˎ̥" w:eastAsia="FLGPEK+TimesNewRoman,Italic" w:cs="ˎ̥"/>
      <w:sz w:val="18"/>
      <w:szCs w:val="18"/>
    </w:rPr>
  </w:style>
  <w:style w:type="character" w:customStyle="1" w:styleId="607">
    <w:name w:val="content3"/>
    <w:basedOn w:val="95"/>
    <w:qFormat/>
    <w:uiPriority w:val="0"/>
  </w:style>
  <w:style w:type="character" w:customStyle="1" w:styleId="608">
    <w:name w:val="Char Char192"/>
    <w:qFormat/>
    <w:uiPriority w:val="0"/>
    <w:rPr>
      <w:rFonts w:eastAsia="FLGPEK+TimesNewRoman,Italic"/>
      <w:b/>
      <w:kern w:val="2"/>
      <w:sz w:val="28"/>
      <w:lang w:val="en-US" w:eastAsia="zh-CN" w:bidi="ar-SA"/>
    </w:rPr>
  </w:style>
  <w:style w:type="character" w:customStyle="1" w:styleId="609">
    <w:name w:val="Char Char182"/>
    <w:qFormat/>
    <w:uiPriority w:val="0"/>
    <w:rPr>
      <w:rFonts w:eastAsia="FLGPEK+TimesNewRoman,Italic"/>
      <w:b/>
      <w:kern w:val="2"/>
      <w:sz w:val="24"/>
      <w:lang w:val="en-US" w:eastAsia="zh-CN" w:bidi="ar-SA"/>
    </w:rPr>
  </w:style>
  <w:style w:type="character" w:customStyle="1" w:styleId="610">
    <w:name w:val="纯文本1 Char"/>
    <w:qFormat/>
    <w:uiPriority w:val="0"/>
    <w:rPr>
      <w:rFonts w:ascii="宋体" w:hAnsi="Courier New" w:eastAsia="宋体"/>
      <w:kern w:val="2"/>
      <w:sz w:val="21"/>
      <w:lang w:val="en-US" w:eastAsia="zh-CN"/>
    </w:rPr>
  </w:style>
  <w:style w:type="character" w:customStyle="1" w:styleId="611">
    <w:name w:val="Char Char162"/>
    <w:qFormat/>
    <w:uiPriority w:val="0"/>
    <w:rPr>
      <w:rFonts w:ascii="幼圆" w:hAnsi="幼圆" w:eastAsia="@幼圆"/>
      <w:kern w:val="2"/>
      <w:sz w:val="21"/>
      <w:lang w:val="en-US" w:eastAsia="zh-CN" w:bidi="ar-SA"/>
    </w:rPr>
  </w:style>
  <w:style w:type="character" w:customStyle="1" w:styleId="612">
    <w:name w:val="正文文字缩进 Char Char Char Char"/>
    <w:qFormat/>
    <w:uiPriority w:val="0"/>
    <w:rPr>
      <w:rFonts w:ascii="FLGPEK+TimesNewRoman,Italic" w:eastAsia="FLGPEK+TimesNewRoman,Italic"/>
      <w:spacing w:val="5"/>
      <w:kern w:val="2"/>
      <w:sz w:val="25"/>
      <w:szCs w:val="25"/>
      <w:lang w:val="en-US" w:eastAsia="zh-CN" w:bidi="ar-SA"/>
    </w:rPr>
  </w:style>
  <w:style w:type="character" w:customStyle="1" w:styleId="613">
    <w:name w:val="visited style1"/>
    <w:basedOn w:val="95"/>
    <w:qFormat/>
    <w:uiPriority w:val="0"/>
  </w:style>
  <w:style w:type="character" w:customStyle="1" w:styleId="614">
    <w:name w:val="表格文字居中 Char"/>
    <w:link w:val="615"/>
    <w:qFormat/>
    <w:uiPriority w:val="0"/>
    <w:rPr>
      <w:rFonts w:ascii="Arial Unicode MS" w:hAnsi="Arial Unicode MS"/>
      <w:sz w:val="21"/>
      <w:szCs w:val="24"/>
    </w:rPr>
  </w:style>
  <w:style w:type="paragraph" w:customStyle="1" w:styleId="615">
    <w:name w:val="表格文字居中"/>
    <w:basedOn w:val="1"/>
    <w:link w:val="614"/>
    <w:qFormat/>
    <w:uiPriority w:val="0"/>
    <w:pPr>
      <w:widowControl/>
      <w:tabs>
        <w:tab w:val="left" w:pos="-1843"/>
        <w:tab w:val="left" w:pos="1458"/>
        <w:tab w:val="left" w:pos="1727"/>
        <w:tab w:val="left" w:pos="1884"/>
      </w:tabs>
      <w:spacing w:line="360" w:lineRule="exact"/>
      <w:ind w:firstLine="200"/>
      <w:jc w:val="center"/>
      <w:textAlignment w:val="bottom"/>
      <w:outlineLvl w:val="0"/>
    </w:pPr>
    <w:rPr>
      <w:rFonts w:ascii="Arial Unicode MS" w:hAnsi="Arial Unicode MS"/>
      <w:kern w:val="0"/>
    </w:rPr>
  </w:style>
  <w:style w:type="character" w:customStyle="1" w:styleId="616">
    <w:name w:val="样式 正文文字 + Char1"/>
    <w:qFormat/>
    <w:uiPriority w:val="0"/>
    <w:rPr>
      <w:rFonts w:eastAsia="Garamond"/>
      <w:sz w:val="24"/>
      <w:lang w:val="en-US" w:eastAsia="zh-CN"/>
    </w:rPr>
  </w:style>
  <w:style w:type="character" w:customStyle="1" w:styleId="617">
    <w:name w:val="正文首行缩进 Char1"/>
    <w:qFormat/>
    <w:uiPriority w:val="0"/>
    <w:rPr>
      <w:rFonts w:eastAsia="仿宋体"/>
      <w:kern w:val="2"/>
      <w:sz w:val="24"/>
      <w:lang w:val="en-US" w:eastAsia="zh-CN"/>
    </w:rPr>
  </w:style>
  <w:style w:type="character" w:customStyle="1" w:styleId="618">
    <w:name w:val="tpc_content1"/>
    <w:qFormat/>
    <w:uiPriority w:val="0"/>
    <w:rPr>
      <w:sz w:val="18"/>
      <w:szCs w:val="18"/>
    </w:rPr>
  </w:style>
  <w:style w:type="character" w:customStyle="1" w:styleId="619">
    <w:name w:val="Job"/>
    <w:basedOn w:val="95"/>
    <w:qFormat/>
    <w:uiPriority w:val="0"/>
  </w:style>
  <w:style w:type="character" w:customStyle="1" w:styleId="620">
    <w:name w:val="Char Char151"/>
    <w:qFormat/>
    <w:uiPriority w:val="0"/>
    <w:rPr>
      <w:rFonts w:ascii="Century Schoolbook" w:hAnsi="Century Schoolbook" w:eastAsia="Garamond" w:cs="Century Schoolbook"/>
      <w:kern w:val="2"/>
      <w:lang w:val="en-US" w:eastAsia="zh-CN"/>
    </w:rPr>
  </w:style>
  <w:style w:type="character" w:customStyle="1" w:styleId="621">
    <w:name w:val="Font Style18"/>
    <w:qFormat/>
    <w:uiPriority w:val="0"/>
    <w:rPr>
      <w:rFonts w:ascii="黑体" w:eastAsia="黑体" w:cs="黑体"/>
      <w:sz w:val="22"/>
      <w:szCs w:val="22"/>
    </w:rPr>
  </w:style>
  <w:style w:type="character" w:customStyle="1" w:styleId="622">
    <w:name w:val="样式 标题 11.标题 1一、标题 1 Char Char Char Char1 南陵标题 1标题 1 Char标题...1 Char"/>
    <w:link w:val="623"/>
    <w:qFormat/>
    <w:uiPriority w:val="0"/>
    <w:rPr>
      <w:rFonts w:eastAsia="Garamond"/>
      <w:b/>
      <w:sz w:val="28"/>
    </w:rPr>
  </w:style>
  <w:style w:type="paragraph" w:customStyle="1" w:styleId="623">
    <w:name w:val="样式 标题 11.标题 1一、标题 1 Char Char Char Char1 南陵标题 1标题 1 Char标题...1"/>
    <w:basedOn w:val="4"/>
    <w:link w:val="622"/>
    <w:qFormat/>
    <w:uiPriority w:val="0"/>
    <w:pPr>
      <w:overflowPunct/>
      <w:adjustRightInd w:val="0"/>
      <w:snapToGrid/>
      <w:spacing w:after="62" w:line="440" w:lineRule="exact"/>
      <w:ind w:left="0" w:firstLine="200"/>
      <w:textAlignment w:val="baseline"/>
    </w:pPr>
    <w:rPr>
      <w:rFonts w:eastAsia="Garamond"/>
      <w:bCs w:val="0"/>
      <w:color w:val="auto"/>
      <w:kern w:val="0"/>
      <w:sz w:val="28"/>
      <w:szCs w:val="20"/>
    </w:rPr>
  </w:style>
  <w:style w:type="character" w:customStyle="1" w:styleId="624">
    <w:name w:val="标题6 Char"/>
    <w:link w:val="625"/>
    <w:qFormat/>
    <w:uiPriority w:val="0"/>
    <w:rPr>
      <w:rFonts w:ascii="Arial Unicode MS" w:hAnsi="Arial Unicode MS"/>
      <w:kern w:val="2"/>
      <w:sz w:val="28"/>
      <w:szCs w:val="21"/>
    </w:rPr>
  </w:style>
  <w:style w:type="paragraph" w:customStyle="1" w:styleId="625">
    <w:name w:val="标题6"/>
    <w:basedOn w:val="1"/>
    <w:next w:val="253"/>
    <w:link w:val="624"/>
    <w:qFormat/>
    <w:uiPriority w:val="0"/>
    <w:pPr>
      <w:keepNext/>
      <w:ind w:firstLine="567"/>
      <w:outlineLvl w:val="5"/>
    </w:pPr>
    <w:rPr>
      <w:rFonts w:ascii="Arial Unicode MS" w:hAnsi="Arial Unicode MS"/>
      <w:sz w:val="28"/>
      <w:szCs w:val="21"/>
    </w:rPr>
  </w:style>
  <w:style w:type="character" w:customStyle="1" w:styleId="626">
    <w:name w:val="正文文本 Char Char"/>
    <w:qFormat/>
    <w:uiPriority w:val="0"/>
    <w:rPr>
      <w:rFonts w:eastAsia="Garamond"/>
      <w:snapToGrid w:val="0"/>
      <w:kern w:val="2"/>
      <w:sz w:val="24"/>
      <w:lang w:val="en-US" w:eastAsia="zh-CN"/>
    </w:rPr>
  </w:style>
  <w:style w:type="character" w:customStyle="1" w:styleId="627">
    <w:name w:val="title011"/>
    <w:qFormat/>
    <w:uiPriority w:val="0"/>
    <w:rPr>
      <w:rFonts w:eastAsia="Sim Sun"/>
      <w:kern w:val="2"/>
      <w:sz w:val="38"/>
      <w:u w:val="none"/>
      <w:lang w:val="en-US" w:eastAsia="zh-CN"/>
    </w:rPr>
  </w:style>
  <w:style w:type="character" w:customStyle="1" w:styleId="628">
    <w:name w:val="表粗 Char Char"/>
    <w:qFormat/>
    <w:uiPriority w:val="0"/>
    <w:rPr>
      <w:rFonts w:ascii="ˎ̥" w:hAnsi="ˎ̥" w:eastAsia="Garamond"/>
      <w:b/>
      <w:kern w:val="2"/>
      <w:sz w:val="21"/>
      <w:lang w:val="en-US" w:eastAsia="zh-CN"/>
    </w:rPr>
  </w:style>
  <w:style w:type="character" w:customStyle="1" w:styleId="629">
    <w:name w:val="Lead-in Emphasis"/>
    <w:qFormat/>
    <w:uiPriority w:val="0"/>
    <w:rPr>
      <w:rFonts w:ascii="ˎ̥" w:hAnsi="ˎ̥"/>
      <w:b/>
      <w:spacing w:val="-8"/>
      <w:sz w:val="18"/>
    </w:rPr>
  </w:style>
  <w:style w:type="character" w:customStyle="1" w:styleId="630">
    <w:name w:val="样式 正文文字缩进 + 左侧:  -0.05 字符 悬挂缩进: 0.05 字符"/>
    <w:qFormat/>
    <w:uiPriority w:val="0"/>
    <w:rPr>
      <w:rFonts w:hint="eastAsia" w:ascii="Sim Sun" w:hAnsi="Sim Sun" w:eastAsia="Sim Sun"/>
      <w:b/>
      <w:sz w:val="24"/>
    </w:rPr>
  </w:style>
  <w:style w:type="character" w:customStyle="1" w:styleId="631">
    <w:name w:val="正文缩进2 Char"/>
    <w:qFormat/>
    <w:uiPriority w:val="0"/>
    <w:rPr>
      <w:rFonts w:ascii="Sim Sun" w:hAnsi="Sim Sun" w:eastAsia="Sim Sun"/>
      <w:kern w:val="2"/>
      <w:sz w:val="24"/>
      <w:lang w:val="en-US" w:eastAsia="zh-CN"/>
    </w:rPr>
  </w:style>
  <w:style w:type="character" w:customStyle="1" w:styleId="632">
    <w:name w:val="mn_school"/>
    <w:basedOn w:val="95"/>
    <w:qFormat/>
    <w:uiPriority w:val="0"/>
  </w:style>
  <w:style w:type="character" w:customStyle="1" w:styleId="633">
    <w:name w:val="题注+ Char Char"/>
    <w:qFormat/>
    <w:uiPriority w:val="0"/>
    <w:rPr>
      <w:rFonts w:ascii="仿宋体" w:hAnsi="ˎ̥" w:eastAsia="仿宋体"/>
      <w:sz w:val="24"/>
      <w:szCs w:val="24"/>
      <w:lang w:val="en-US" w:eastAsia="zh-CN"/>
    </w:rPr>
  </w:style>
  <w:style w:type="character" w:customStyle="1" w:styleId="634">
    <w:name w:val="Char Char81"/>
    <w:qFormat/>
    <w:uiPriority w:val="0"/>
    <w:rPr>
      <w:rFonts w:eastAsia="仿宋体"/>
      <w:kern w:val="2"/>
      <w:sz w:val="21"/>
      <w:szCs w:val="24"/>
      <w:lang w:val="en-US" w:eastAsia="zh-CN"/>
    </w:rPr>
  </w:style>
  <w:style w:type="character" w:customStyle="1" w:styleId="635">
    <w:name w:val="正文文字 Char Char Char Char Char"/>
    <w:qFormat/>
    <w:uiPriority w:val="0"/>
    <w:rPr>
      <w:rFonts w:eastAsia="Sim Sun"/>
      <w:kern w:val="2"/>
      <w:sz w:val="24"/>
      <w:lang w:val="en-US" w:eastAsia="zh-CN"/>
    </w:rPr>
  </w:style>
  <w:style w:type="character" w:customStyle="1" w:styleId="636">
    <w:name w:val="Char Char91"/>
    <w:qFormat/>
    <w:uiPriority w:val="0"/>
    <w:rPr>
      <w:rFonts w:hint="eastAsia" w:ascii="仿宋体" w:hAnsi="ˎ̥" w:eastAsia="仿宋体" w:cs="ˎ̥"/>
      <w:sz w:val="18"/>
      <w:szCs w:val="18"/>
    </w:rPr>
  </w:style>
  <w:style w:type="character" w:customStyle="1" w:styleId="637">
    <w:name w:val="content_normal_bold_title1"/>
    <w:qFormat/>
    <w:uiPriority w:val="0"/>
    <w:rPr>
      <w:rFonts w:hint="default" w:ascii="ˎ̥" w:hAnsi="ˎ̥" w:eastAsia="Sim Sun" w:cs="ˎ̥"/>
      <w:b/>
      <w:bCs/>
      <w:color w:val="000000"/>
      <w:sz w:val="36"/>
      <w:szCs w:val="36"/>
      <w:u w:val="none"/>
    </w:rPr>
  </w:style>
  <w:style w:type="character" w:customStyle="1" w:styleId="638">
    <w:name w:val="样式 题注 + 首行缩进:  2 字符2 Char"/>
    <w:link w:val="639"/>
    <w:qFormat/>
    <w:uiPriority w:val="0"/>
    <w:rPr>
      <w:rFonts w:ascii="Arial Unicode MS" w:hAnsi="Arial Unicode MS"/>
      <w:kern w:val="2"/>
      <w:sz w:val="24"/>
    </w:rPr>
  </w:style>
  <w:style w:type="paragraph" w:customStyle="1" w:styleId="639">
    <w:name w:val="样式 题注 + 首行缩进:  2 字符2"/>
    <w:basedOn w:val="19"/>
    <w:link w:val="638"/>
    <w:qFormat/>
    <w:uiPriority w:val="0"/>
    <w:pPr>
      <w:tabs>
        <w:tab w:val="clear" w:pos="2445"/>
        <w:tab w:val="clear" w:pos="4156"/>
      </w:tabs>
      <w:adjustRightInd w:val="0"/>
      <w:snapToGrid w:val="0"/>
      <w:spacing w:beforeLines="0"/>
      <w:ind w:firstLine="480"/>
      <w:jc w:val="both"/>
    </w:pPr>
    <w:rPr>
      <w:rFonts w:ascii="Arial Unicode MS" w:hAnsi="Arial Unicode MS" w:cs="Times New Roman"/>
      <w:b w:val="0"/>
      <w:snapToGrid/>
      <w:kern w:val="2"/>
      <w:szCs w:val="20"/>
    </w:rPr>
  </w:style>
  <w:style w:type="character" w:customStyle="1" w:styleId="640">
    <w:name w:val="style21 style24"/>
    <w:basedOn w:val="95"/>
    <w:qFormat/>
    <w:uiPriority w:val="0"/>
  </w:style>
  <w:style w:type="character" w:customStyle="1" w:styleId="641">
    <w:name w:val="f12 fgy"/>
    <w:basedOn w:val="95"/>
    <w:qFormat/>
    <w:uiPriority w:val="0"/>
  </w:style>
  <w:style w:type="character" w:customStyle="1" w:styleId="642">
    <w:name w:val="td71"/>
    <w:qFormat/>
    <w:uiPriority w:val="0"/>
    <w:rPr>
      <w:color w:val="3B3B3B"/>
      <w:sz w:val="21"/>
      <w:szCs w:val="21"/>
    </w:rPr>
  </w:style>
  <w:style w:type="character" w:customStyle="1" w:styleId="643">
    <w:name w:val="Char Char211"/>
    <w:semiHidden/>
    <w:qFormat/>
    <w:uiPriority w:val="0"/>
    <w:rPr>
      <w:rFonts w:ascii="Batang" w:hAnsi="Batang" w:eastAsia="宋体-方正超大字符集" w:cs="Batang"/>
      <w:kern w:val="2"/>
      <w:sz w:val="21"/>
      <w:lang w:val="en-US" w:eastAsia="zh-CN" w:bidi="ar-SA"/>
    </w:rPr>
  </w:style>
  <w:style w:type="character" w:customStyle="1" w:styleId="644">
    <w:name w:val="z-窗体底端 Char1"/>
    <w:link w:val="645"/>
    <w:qFormat/>
    <w:uiPriority w:val="0"/>
    <w:rPr>
      <w:rFonts w:ascii="Arial" w:hAnsi="Arial" w:cs="Arial"/>
      <w:bCs/>
      <w:vanish/>
      <w:color w:val="000000"/>
      <w:sz w:val="16"/>
      <w:szCs w:val="16"/>
    </w:rPr>
  </w:style>
  <w:style w:type="paragraph" w:customStyle="1" w:styleId="645">
    <w:name w:val="z-窗体底端2"/>
    <w:basedOn w:val="1"/>
    <w:next w:val="1"/>
    <w:link w:val="644"/>
    <w:qFormat/>
    <w:uiPriority w:val="0"/>
    <w:pPr>
      <w:widowControl/>
      <w:pBdr>
        <w:top w:val="single" w:color="auto" w:sz="6" w:space="1"/>
      </w:pBdr>
      <w:jc w:val="center"/>
    </w:pPr>
    <w:rPr>
      <w:rFonts w:ascii="Arial" w:hAnsi="Arial" w:cs="Arial"/>
      <w:bCs/>
      <w:vanish/>
      <w:color w:val="000000"/>
      <w:kern w:val="0"/>
      <w:sz w:val="16"/>
      <w:szCs w:val="16"/>
    </w:rPr>
  </w:style>
  <w:style w:type="character" w:customStyle="1" w:styleId="646">
    <w:name w:val="line11"/>
    <w:qFormat/>
    <w:uiPriority w:val="0"/>
    <w:rPr>
      <w:color w:val="993333"/>
    </w:rPr>
  </w:style>
  <w:style w:type="character" w:customStyle="1" w:styleId="647">
    <w:name w:val="even Char1"/>
    <w:qFormat/>
    <w:uiPriority w:val="0"/>
    <w:rPr>
      <w:rFonts w:eastAsia="宋体"/>
      <w:kern w:val="2"/>
      <w:sz w:val="18"/>
      <w:lang w:val="en-US" w:eastAsia="zh-CN" w:bidi="ar-SA"/>
    </w:rPr>
  </w:style>
  <w:style w:type="character" w:customStyle="1" w:styleId="648">
    <w:name w:val="正文文字 2 Char Char1"/>
    <w:qFormat/>
    <w:uiPriority w:val="0"/>
    <w:rPr>
      <w:rFonts w:ascii="Batang" w:hAnsi="Batang" w:eastAsia="宋体-方正超大字符集" w:cs="Batang"/>
      <w:kern w:val="2"/>
      <w:sz w:val="21"/>
      <w:lang w:val="en-US" w:eastAsia="zh-CN" w:bidi="ar-SA"/>
    </w:rPr>
  </w:style>
  <w:style w:type="character" w:customStyle="1" w:styleId="649">
    <w:name w:val="标题 5 Char Char"/>
    <w:qFormat/>
    <w:uiPriority w:val="0"/>
    <w:rPr>
      <w:rFonts w:eastAsia="宋体"/>
      <w:b/>
      <w:bCs/>
      <w:kern w:val="2"/>
      <w:sz w:val="21"/>
      <w:szCs w:val="24"/>
      <w:lang w:val="en-US" w:eastAsia="zh-CN" w:bidi="ar-SA"/>
    </w:rPr>
  </w:style>
  <w:style w:type="character" w:customStyle="1" w:styleId="650">
    <w:name w:val="标题33 Char"/>
    <w:link w:val="651"/>
    <w:qFormat/>
    <w:uiPriority w:val="0"/>
    <w:rPr>
      <w:rFonts w:ascii="Arial" w:hAnsi="Arial" w:eastAsia="楷体_GB2312" w:cs="宋体"/>
      <w:b/>
      <w:bCs/>
      <w:kern w:val="2"/>
      <w:sz w:val="24"/>
      <w:szCs w:val="24"/>
    </w:rPr>
  </w:style>
  <w:style w:type="paragraph" w:customStyle="1" w:styleId="651">
    <w:name w:val="标题33"/>
    <w:basedOn w:val="1"/>
    <w:link w:val="650"/>
    <w:qFormat/>
    <w:uiPriority w:val="0"/>
    <w:pPr>
      <w:tabs>
        <w:tab w:val="left" w:pos="1247"/>
        <w:tab w:val="left" w:pos="1808"/>
      </w:tabs>
      <w:spacing w:beforeLines="50"/>
      <w:ind w:left="1808" w:hanging="420"/>
    </w:pPr>
    <w:rPr>
      <w:rFonts w:ascii="Arial" w:hAnsi="Arial" w:eastAsia="楷体_GB2312" w:cs="宋体"/>
      <w:b/>
      <w:bCs/>
    </w:rPr>
  </w:style>
  <w:style w:type="character" w:customStyle="1" w:styleId="652">
    <w:name w:val="样式11 Char"/>
    <w:qFormat/>
    <w:uiPriority w:val="0"/>
    <w:rPr>
      <w:rFonts w:ascii="宋体" w:hAnsi="宋体" w:eastAsia="宋体"/>
      <w:kern w:val="2"/>
      <w:sz w:val="28"/>
      <w:szCs w:val="28"/>
      <w:lang w:val="en-US" w:eastAsia="zh-CN" w:bidi="ar-SA"/>
    </w:rPr>
  </w:style>
  <w:style w:type="character" w:customStyle="1" w:styleId="653">
    <w:name w:val="正文文字缩进 2 Char Char1"/>
    <w:qFormat/>
    <w:uiPriority w:val="0"/>
    <w:rPr>
      <w:rFonts w:eastAsia="宋体"/>
      <w:kern w:val="2"/>
      <w:sz w:val="28"/>
      <w:lang w:val="en-US" w:eastAsia="zh-CN" w:bidi="ar-SA"/>
    </w:rPr>
  </w:style>
  <w:style w:type="character" w:customStyle="1" w:styleId="654">
    <w:name w:val="样式 标题 1 + 宋体 小四 加粗 Char"/>
    <w:link w:val="655"/>
    <w:qFormat/>
    <w:uiPriority w:val="0"/>
    <w:rPr>
      <w:rFonts w:ascii="黑体" w:eastAsia="黑体"/>
      <w:b/>
      <w:bCs/>
      <w:kern w:val="2"/>
      <w:sz w:val="28"/>
      <w:szCs w:val="28"/>
    </w:rPr>
  </w:style>
  <w:style w:type="paragraph" w:customStyle="1" w:styleId="655">
    <w:name w:val="样式 标题 1 + 宋体 小四 加粗"/>
    <w:basedOn w:val="4"/>
    <w:link w:val="654"/>
    <w:qFormat/>
    <w:uiPriority w:val="0"/>
    <w:pPr>
      <w:overflowPunct/>
      <w:snapToGrid/>
      <w:spacing w:before="180" w:after="180" w:line="440" w:lineRule="exact"/>
      <w:ind w:left="0" w:firstLine="0"/>
    </w:pPr>
    <w:rPr>
      <w:rFonts w:ascii="黑体"/>
      <w:color w:val="auto"/>
      <w:kern w:val="2"/>
      <w:sz w:val="28"/>
      <w:szCs w:val="28"/>
    </w:rPr>
  </w:style>
  <w:style w:type="character" w:customStyle="1" w:styleId="656">
    <w:name w:val="p4"/>
    <w:basedOn w:val="95"/>
    <w:qFormat/>
    <w:uiPriority w:val="0"/>
  </w:style>
  <w:style w:type="character" w:customStyle="1" w:styleId="657">
    <w:name w:val="1正文 Char"/>
    <w:link w:val="658"/>
    <w:qFormat/>
    <w:uiPriority w:val="0"/>
    <w:rPr>
      <w:rFonts w:ascii="宋体" w:hAnsi="宋体" w:cs="Vladimir Script"/>
      <w:kern w:val="2"/>
      <w:sz w:val="28"/>
      <w:szCs w:val="28"/>
    </w:rPr>
  </w:style>
  <w:style w:type="paragraph" w:customStyle="1" w:styleId="658">
    <w:name w:val="1正文"/>
    <w:basedOn w:val="1"/>
    <w:link w:val="657"/>
    <w:qFormat/>
    <w:uiPriority w:val="0"/>
    <w:pPr>
      <w:spacing w:line="520" w:lineRule="exact"/>
      <w:ind w:firstLine="200"/>
    </w:pPr>
    <w:rPr>
      <w:rFonts w:ascii="宋体" w:hAnsi="宋体" w:cs="Vladimir Script"/>
      <w:sz w:val="28"/>
      <w:szCs w:val="28"/>
    </w:rPr>
  </w:style>
  <w:style w:type="character" w:customStyle="1" w:styleId="659">
    <w:name w:val="表头 Char Char"/>
    <w:qFormat/>
    <w:uiPriority w:val="0"/>
    <w:rPr>
      <w:rFonts w:eastAsia="宋体"/>
      <w:b/>
      <w:spacing w:val="9"/>
      <w:kern w:val="2"/>
      <w:sz w:val="24"/>
      <w:lang w:val="en-US" w:eastAsia="zh-CN"/>
    </w:rPr>
  </w:style>
  <w:style w:type="character" w:customStyle="1" w:styleId="660">
    <w:name w:val="split-word"/>
    <w:basedOn w:val="95"/>
    <w:qFormat/>
    <w:uiPriority w:val="0"/>
  </w:style>
  <w:style w:type="character" w:customStyle="1" w:styleId="661">
    <w:name w:val="words-outer-wrap"/>
    <w:basedOn w:val="95"/>
    <w:qFormat/>
    <w:uiPriority w:val="0"/>
  </w:style>
  <w:style w:type="character" w:customStyle="1" w:styleId="662">
    <w:name w:val="流程图 Char"/>
    <w:link w:val="663"/>
    <w:qFormat/>
    <w:uiPriority w:val="0"/>
    <w:rPr>
      <w:kern w:val="2"/>
      <w:sz w:val="18"/>
      <w:szCs w:val="24"/>
    </w:rPr>
  </w:style>
  <w:style w:type="paragraph" w:customStyle="1" w:styleId="663">
    <w:name w:val="流程图"/>
    <w:basedOn w:val="28"/>
    <w:link w:val="662"/>
    <w:qFormat/>
    <w:uiPriority w:val="0"/>
    <w:pPr>
      <w:widowControl w:val="0"/>
      <w:snapToGrid/>
      <w:spacing w:before="0" w:after="120" w:line="360" w:lineRule="auto"/>
      <w:ind w:right="0" w:firstLine="480"/>
    </w:pPr>
    <w:rPr>
      <w:kern w:val="2"/>
      <w:szCs w:val="24"/>
    </w:rPr>
  </w:style>
  <w:style w:type="character" w:customStyle="1" w:styleId="664">
    <w:name w:val="Char Char Char11"/>
    <w:qFormat/>
    <w:uiPriority w:val="0"/>
    <w:rPr>
      <w:rFonts w:hint="eastAsia" w:ascii="Sim Sun" w:hAnsi="DFKai-SB" w:eastAsia="Sim Sun"/>
      <w:kern w:val="2"/>
      <w:sz w:val="21"/>
      <w:lang w:val="en-US" w:eastAsia="zh-CN" w:bidi="ar-SA"/>
    </w:rPr>
  </w:style>
  <w:style w:type="character" w:customStyle="1" w:styleId="665">
    <w:name w:val="Char Char241"/>
    <w:qFormat/>
    <w:uiPriority w:val="0"/>
    <w:rPr>
      <w:rFonts w:hint="eastAsia" w:ascii="宋体" w:hAnsi="宋体" w:eastAsia="宋体"/>
      <w:kern w:val="2"/>
      <w:sz w:val="24"/>
      <w:lang w:val="en-US" w:eastAsia="zh-CN" w:bidi="ar-SA"/>
    </w:rPr>
  </w:style>
  <w:style w:type="character" w:customStyle="1" w:styleId="666">
    <w:name w:val="样式 宋体"/>
    <w:qFormat/>
    <w:uiPriority w:val="0"/>
    <w:rPr>
      <w:rFonts w:hint="default" w:ascii="Times New Roman" w:hAnsi="Times New Roman" w:eastAsia="宋体" w:cs="Times New Roman"/>
    </w:rPr>
  </w:style>
  <w:style w:type="character" w:customStyle="1" w:styleId="667">
    <w:name w:val="2级标题 Char1"/>
    <w:link w:val="668"/>
    <w:qFormat/>
    <w:uiPriority w:val="0"/>
    <w:rPr>
      <w:rFonts w:ascii="宋体"/>
      <w:b/>
      <w:bCs/>
      <w:color w:val="000000"/>
      <w:sz w:val="30"/>
      <w:szCs w:val="30"/>
    </w:rPr>
  </w:style>
  <w:style w:type="paragraph" w:customStyle="1" w:styleId="668">
    <w:name w:val="2级标题"/>
    <w:basedOn w:val="111"/>
    <w:link w:val="667"/>
    <w:qFormat/>
    <w:uiPriority w:val="0"/>
    <w:pPr>
      <w:spacing w:line="360" w:lineRule="auto"/>
    </w:pPr>
    <w:rPr>
      <w:b/>
      <w:sz w:val="30"/>
      <w:szCs w:val="30"/>
    </w:rPr>
  </w:style>
  <w:style w:type="character" w:customStyle="1" w:styleId="669">
    <w:name w:val="oblog_text1"/>
    <w:qFormat/>
    <w:uiPriority w:val="0"/>
    <w:rPr>
      <w:rFonts w:ascii="Verdana" w:hAnsi="Verdana"/>
      <w:sz w:val="18"/>
      <w:szCs w:val="18"/>
      <w:lang w:val="en-US" w:eastAsia="en-US" w:bidi="ar-SA"/>
    </w:rPr>
  </w:style>
  <w:style w:type="character" w:customStyle="1" w:styleId="670">
    <w:name w:val="3级标题 Char"/>
    <w:link w:val="671"/>
    <w:qFormat/>
    <w:uiPriority w:val="0"/>
    <w:rPr>
      <w:rFonts w:ascii="宋体"/>
      <w:b/>
      <w:bCs/>
      <w:color w:val="000000"/>
      <w:sz w:val="28"/>
      <w:szCs w:val="28"/>
    </w:rPr>
  </w:style>
  <w:style w:type="paragraph" w:customStyle="1" w:styleId="671">
    <w:name w:val="3级标题"/>
    <w:basedOn w:val="111"/>
    <w:link w:val="670"/>
    <w:qFormat/>
    <w:uiPriority w:val="0"/>
    <w:pPr>
      <w:spacing w:line="360" w:lineRule="auto"/>
    </w:pPr>
    <w:rPr>
      <w:b/>
      <w:sz w:val="28"/>
      <w:szCs w:val="28"/>
    </w:rPr>
  </w:style>
  <w:style w:type="character" w:customStyle="1" w:styleId="672">
    <w:name w:val="环评表格 Char"/>
    <w:link w:val="673"/>
    <w:qFormat/>
    <w:uiPriority w:val="0"/>
    <w:rPr>
      <w:sz w:val="22"/>
      <w:szCs w:val="21"/>
    </w:rPr>
  </w:style>
  <w:style w:type="paragraph" w:customStyle="1" w:styleId="673">
    <w:name w:val="环评表格"/>
    <w:next w:val="1"/>
    <w:link w:val="672"/>
    <w:qFormat/>
    <w:uiPriority w:val="0"/>
    <w:pPr>
      <w:jc w:val="center"/>
    </w:pPr>
    <w:rPr>
      <w:rFonts w:ascii="Times New Roman" w:hAnsi="Times New Roman" w:eastAsia="宋体" w:cs="Times New Roman"/>
      <w:sz w:val="22"/>
      <w:szCs w:val="21"/>
      <w:lang w:val="en-US" w:eastAsia="zh-CN" w:bidi="ar-SA"/>
    </w:rPr>
  </w:style>
  <w:style w:type="character" w:customStyle="1" w:styleId="674">
    <w:name w:val="正文小四首缩1.3行距 Char"/>
    <w:link w:val="675"/>
    <w:qFormat/>
    <w:uiPriority w:val="0"/>
    <w:rPr>
      <w:bCs/>
      <w:sz w:val="24"/>
      <w:szCs w:val="24"/>
    </w:rPr>
  </w:style>
  <w:style w:type="paragraph" w:customStyle="1" w:styleId="675">
    <w:name w:val="正文小四首缩1.3行距"/>
    <w:basedOn w:val="1"/>
    <w:link w:val="674"/>
    <w:qFormat/>
    <w:uiPriority w:val="0"/>
    <w:pPr>
      <w:ind w:firstLine="480"/>
    </w:pPr>
    <w:rPr>
      <w:bCs/>
      <w:kern w:val="0"/>
    </w:rPr>
  </w:style>
  <w:style w:type="character" w:customStyle="1" w:styleId="676">
    <w:name w:val="Body text_"/>
    <w:link w:val="677"/>
    <w:qFormat/>
    <w:uiPriority w:val="99"/>
    <w:rPr>
      <w:rFonts w:ascii="MingLiU" w:eastAsia="MingLiU" w:cs="MingLiU"/>
      <w:shd w:val="clear" w:color="auto" w:fill="FFFFFF"/>
    </w:rPr>
  </w:style>
  <w:style w:type="paragraph" w:customStyle="1" w:styleId="677">
    <w:name w:val="Body text1"/>
    <w:basedOn w:val="1"/>
    <w:link w:val="676"/>
    <w:qFormat/>
    <w:uiPriority w:val="99"/>
    <w:pPr>
      <w:shd w:val="clear" w:color="auto" w:fill="FFFFFF"/>
      <w:spacing w:before="420" w:after="900" w:line="475" w:lineRule="exact"/>
    </w:pPr>
    <w:rPr>
      <w:rFonts w:ascii="MingLiU" w:eastAsia="MingLiU" w:cs="MingLiU"/>
      <w:kern w:val="0"/>
      <w:sz w:val="20"/>
      <w:szCs w:val="20"/>
    </w:rPr>
  </w:style>
  <w:style w:type="character" w:customStyle="1" w:styleId="678">
    <w:name w:val="Body text + Spacing 0 pt Exact1"/>
    <w:qFormat/>
    <w:uiPriority w:val="99"/>
    <w:rPr>
      <w:rFonts w:ascii="MingLiU" w:eastAsia="MingLiU" w:cs="MingLiU"/>
      <w:spacing w:val="-10"/>
      <w:sz w:val="22"/>
      <w:szCs w:val="22"/>
      <w:u w:val="none"/>
      <w:shd w:val="clear" w:color="auto" w:fill="FFFFFF"/>
    </w:rPr>
  </w:style>
  <w:style w:type="character" w:customStyle="1" w:styleId="679">
    <w:name w:val="Table caption Exact"/>
    <w:qFormat/>
    <w:uiPriority w:val="99"/>
    <w:rPr>
      <w:rFonts w:ascii="MingLiU" w:eastAsia="MingLiU" w:cs="MingLiU"/>
      <w:spacing w:val="6"/>
      <w:sz w:val="22"/>
      <w:szCs w:val="22"/>
      <w:u w:val="none"/>
    </w:rPr>
  </w:style>
  <w:style w:type="character" w:customStyle="1" w:styleId="680">
    <w:name w:val="Table caption + Spacing 0 pt Exact"/>
    <w:qFormat/>
    <w:uiPriority w:val="99"/>
    <w:rPr>
      <w:rFonts w:ascii="MingLiU" w:eastAsia="MingLiU" w:cs="MingLiU"/>
      <w:spacing w:val="-10"/>
      <w:sz w:val="22"/>
      <w:szCs w:val="22"/>
      <w:u w:val="none"/>
      <w:shd w:val="clear" w:color="auto" w:fill="FFFFFF"/>
      <w:lang w:val="en-US" w:eastAsia="en-US"/>
    </w:rPr>
  </w:style>
  <w:style w:type="character" w:customStyle="1" w:styleId="681">
    <w:name w:val="font01"/>
    <w:qFormat/>
    <w:uiPriority w:val="0"/>
    <w:rPr>
      <w:rFonts w:hint="default" w:ascii="Times New Roman" w:hAnsi="Times New Roman" w:cs="Times New Roman"/>
      <w:color w:val="000000"/>
      <w:sz w:val="18"/>
      <w:szCs w:val="18"/>
      <w:u w:val="none"/>
    </w:rPr>
  </w:style>
  <w:style w:type="character" w:customStyle="1" w:styleId="682">
    <w:name w:val="正文文本 3 Char2"/>
    <w:basedOn w:val="95"/>
    <w:semiHidden/>
    <w:qFormat/>
    <w:uiPriority w:val="0"/>
    <w:rPr>
      <w:kern w:val="2"/>
      <w:sz w:val="16"/>
      <w:szCs w:val="16"/>
    </w:rPr>
  </w:style>
  <w:style w:type="character" w:customStyle="1" w:styleId="683">
    <w:name w:val="称呼 Char1"/>
    <w:basedOn w:val="95"/>
    <w:semiHidden/>
    <w:qFormat/>
    <w:uiPriority w:val="0"/>
    <w:rPr>
      <w:kern w:val="2"/>
      <w:sz w:val="21"/>
      <w:szCs w:val="24"/>
    </w:rPr>
  </w:style>
  <w:style w:type="character" w:customStyle="1" w:styleId="684">
    <w:name w:val="注释标题 Char1"/>
    <w:basedOn w:val="95"/>
    <w:semiHidden/>
    <w:qFormat/>
    <w:uiPriority w:val="0"/>
    <w:rPr>
      <w:kern w:val="2"/>
      <w:sz w:val="21"/>
      <w:szCs w:val="24"/>
    </w:rPr>
  </w:style>
  <w:style w:type="paragraph" w:customStyle="1" w:styleId="685">
    <w:name w:val="Char Char Char Char Char Char Char Char Char Char Char Char Char Char Char"/>
    <w:basedOn w:val="1"/>
    <w:qFormat/>
    <w:uiPriority w:val="0"/>
    <w:rPr>
      <w:rFonts w:ascii="Batang" w:hAnsi="Batang" w:cs="Batang"/>
      <w:bCs/>
      <w:color w:val="000000"/>
      <w:kern w:val="24"/>
    </w:rPr>
  </w:style>
  <w:style w:type="paragraph" w:customStyle="1" w:styleId="686">
    <w:name w:val="Char Char Char Char Char Char Char Char Char Char Char Char Char Char Char Char Char Char Char Char Char Char Char Char1"/>
    <w:basedOn w:val="1"/>
    <w:qFormat/>
    <w:uiPriority w:val="0"/>
    <w:rPr>
      <w:rFonts w:ascii="Batang" w:hAnsi="Batang" w:cs="Batang"/>
      <w:bCs/>
      <w:color w:val="000000"/>
      <w:kern w:val="24"/>
    </w:rPr>
  </w:style>
  <w:style w:type="paragraph" w:customStyle="1" w:styleId="687">
    <w:name w:val="2 Char Char Char"/>
    <w:basedOn w:val="1"/>
    <w:qFormat/>
    <w:uiPriority w:val="0"/>
    <w:rPr>
      <w:rFonts w:ascii="Batang" w:hAnsi="Batang" w:cs="Batang"/>
      <w:bCs/>
      <w:color w:val="000000"/>
      <w:kern w:val="24"/>
    </w:rPr>
  </w:style>
  <w:style w:type="character" w:customStyle="1" w:styleId="688">
    <w:name w:val="纯文本 Char2"/>
    <w:basedOn w:val="95"/>
    <w:semiHidden/>
    <w:qFormat/>
    <w:uiPriority w:val="0"/>
    <w:rPr>
      <w:rFonts w:ascii="宋体" w:hAnsi="Courier New" w:cs="Courier New"/>
      <w:kern w:val="2"/>
      <w:sz w:val="21"/>
      <w:szCs w:val="21"/>
    </w:rPr>
  </w:style>
  <w:style w:type="character" w:customStyle="1" w:styleId="689">
    <w:name w:val="正文文本缩进 2 Char2"/>
    <w:basedOn w:val="95"/>
    <w:semiHidden/>
    <w:qFormat/>
    <w:uiPriority w:val="0"/>
    <w:rPr>
      <w:kern w:val="2"/>
      <w:sz w:val="21"/>
      <w:szCs w:val="24"/>
    </w:rPr>
  </w:style>
  <w:style w:type="character" w:customStyle="1" w:styleId="690">
    <w:name w:val="正文文本缩进 3 Char2"/>
    <w:basedOn w:val="95"/>
    <w:semiHidden/>
    <w:qFormat/>
    <w:uiPriority w:val="0"/>
    <w:rPr>
      <w:kern w:val="2"/>
      <w:sz w:val="16"/>
      <w:szCs w:val="16"/>
    </w:rPr>
  </w:style>
  <w:style w:type="character" w:customStyle="1" w:styleId="691">
    <w:name w:val="尾注文本 Char2"/>
    <w:basedOn w:val="95"/>
    <w:semiHidden/>
    <w:qFormat/>
    <w:uiPriority w:val="0"/>
    <w:rPr>
      <w:kern w:val="2"/>
      <w:sz w:val="21"/>
      <w:szCs w:val="24"/>
    </w:rPr>
  </w:style>
  <w:style w:type="paragraph" w:customStyle="1" w:styleId="692">
    <w:name w:val="表内宋5"/>
    <w:basedOn w:val="132"/>
    <w:qFormat/>
    <w:uiPriority w:val="0"/>
    <w:pPr>
      <w:adjustRightInd w:val="0"/>
      <w:snapToGrid w:val="0"/>
      <w:spacing w:line="440" w:lineRule="exact"/>
      <w:ind w:firstLine="200"/>
      <w:jc w:val="both"/>
    </w:pPr>
    <w:rPr>
      <w:rFonts w:ascii="Sim Sun" w:hAnsi="Sim Sun" w:eastAsia="Sim Sun"/>
      <w:kern w:val="0"/>
      <w:sz w:val="21"/>
      <w:szCs w:val="24"/>
    </w:rPr>
  </w:style>
  <w:style w:type="character" w:customStyle="1" w:styleId="693">
    <w:name w:val="签名 Char1"/>
    <w:basedOn w:val="95"/>
    <w:semiHidden/>
    <w:qFormat/>
    <w:uiPriority w:val="0"/>
    <w:rPr>
      <w:kern w:val="2"/>
      <w:sz w:val="21"/>
      <w:szCs w:val="24"/>
    </w:rPr>
  </w:style>
  <w:style w:type="paragraph" w:customStyle="1" w:styleId="694">
    <w:name w:val="xl76"/>
    <w:basedOn w:val="1"/>
    <w:qFormat/>
    <w:uiPriority w:val="0"/>
    <w:pPr>
      <w:widowControl/>
      <w:spacing w:before="100" w:after="100"/>
      <w:jc w:val="center"/>
      <w:textAlignment w:val="center"/>
    </w:pPr>
    <w:rPr>
      <w:rFonts w:ascii="Batang" w:hAnsi="Batang" w:cs="Batang"/>
      <w:bCs/>
      <w:color w:val="000000"/>
      <w:kern w:val="0"/>
    </w:rPr>
  </w:style>
  <w:style w:type="paragraph" w:customStyle="1" w:styleId="695">
    <w:name w:val="Char Char Char Char Char Char Char Char Char3"/>
    <w:basedOn w:val="1"/>
    <w:qFormat/>
    <w:uiPriority w:val="0"/>
    <w:rPr>
      <w:rFonts w:ascii="Batang" w:hAnsi="Batang" w:cs="Batang"/>
      <w:bCs/>
      <w:color w:val="000000"/>
      <w:kern w:val="24"/>
    </w:rPr>
  </w:style>
  <w:style w:type="character" w:customStyle="1" w:styleId="696">
    <w:name w:val="脚注文本 Char1"/>
    <w:basedOn w:val="95"/>
    <w:semiHidden/>
    <w:qFormat/>
    <w:uiPriority w:val="0"/>
    <w:rPr>
      <w:kern w:val="2"/>
      <w:sz w:val="18"/>
      <w:szCs w:val="18"/>
    </w:rPr>
  </w:style>
  <w:style w:type="paragraph" w:customStyle="1" w:styleId="697">
    <w:name w:val="正文样式一"/>
    <w:basedOn w:val="1"/>
    <w:qFormat/>
    <w:uiPriority w:val="0"/>
    <w:pPr>
      <w:adjustRightInd w:val="0"/>
      <w:spacing w:line="400" w:lineRule="atLeast"/>
      <w:ind w:firstLine="510"/>
      <w:textAlignment w:val="baseline"/>
    </w:pPr>
    <w:rPr>
      <w:bCs/>
      <w:color w:val="000000"/>
      <w:kern w:val="0"/>
    </w:rPr>
  </w:style>
  <w:style w:type="character" w:customStyle="1" w:styleId="698">
    <w:name w:val="副标题 Char1"/>
    <w:basedOn w:val="95"/>
    <w:qFormat/>
    <w:uiPriority w:val="0"/>
    <w:rPr>
      <w:rFonts w:asciiTheme="majorHAnsi" w:hAnsiTheme="majorHAnsi" w:cstheme="majorBidi"/>
      <w:b/>
      <w:bCs/>
      <w:kern w:val="28"/>
      <w:sz w:val="32"/>
      <w:szCs w:val="32"/>
    </w:rPr>
  </w:style>
  <w:style w:type="character" w:customStyle="1" w:styleId="699">
    <w:name w:val="正文文本 2 Char2"/>
    <w:basedOn w:val="95"/>
    <w:semiHidden/>
    <w:qFormat/>
    <w:uiPriority w:val="0"/>
    <w:rPr>
      <w:kern w:val="2"/>
      <w:sz w:val="21"/>
      <w:szCs w:val="24"/>
    </w:rPr>
  </w:style>
  <w:style w:type="character" w:customStyle="1" w:styleId="700">
    <w:name w:val="正文首行缩进 Char4"/>
    <w:basedOn w:val="116"/>
    <w:semiHidden/>
    <w:qFormat/>
    <w:uiPriority w:val="0"/>
    <w:rPr>
      <w:kern w:val="2"/>
      <w:sz w:val="21"/>
      <w:szCs w:val="24"/>
    </w:rPr>
  </w:style>
  <w:style w:type="paragraph" w:customStyle="1" w:styleId="701">
    <w:name w:val="表头4"/>
    <w:basedOn w:val="702"/>
    <w:qFormat/>
    <w:uiPriority w:val="0"/>
    <w:pPr>
      <w:tabs>
        <w:tab w:val="left" w:pos="360"/>
        <w:tab w:val="left" w:pos="625"/>
      </w:tabs>
      <w:ind w:left="0" w:firstLine="0"/>
    </w:pPr>
  </w:style>
  <w:style w:type="paragraph" w:customStyle="1" w:styleId="702">
    <w:name w:val="表头5"/>
    <w:basedOn w:val="1"/>
    <w:qFormat/>
    <w:uiPriority w:val="0"/>
    <w:pPr>
      <w:tabs>
        <w:tab w:val="left" w:pos="625"/>
      </w:tabs>
      <w:adjustRightInd w:val="0"/>
      <w:snapToGrid w:val="0"/>
      <w:spacing w:beforeLines="100" w:afterLines="50" w:line="240" w:lineRule="atLeast"/>
      <w:ind w:left="950" w:leftChars="250" w:hanging="425"/>
    </w:pPr>
    <w:rPr>
      <w:b/>
      <w:bCs/>
      <w:color w:val="000000"/>
      <w:kern w:val="24"/>
    </w:rPr>
  </w:style>
  <w:style w:type="paragraph" w:customStyle="1" w:styleId="703">
    <w:name w:val="Char1 Char Char Char3"/>
    <w:basedOn w:val="1"/>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704">
    <w:name w:val="副标题3"/>
    <w:basedOn w:val="1"/>
    <w:qFormat/>
    <w:uiPriority w:val="0"/>
    <w:pPr>
      <w:keepLines/>
      <w:tabs>
        <w:tab w:val="left" w:pos="672"/>
        <w:tab w:val="left" w:pos="720"/>
        <w:tab w:val="left" w:pos="2160"/>
      </w:tabs>
      <w:adjustRightInd w:val="0"/>
      <w:snapToGrid w:val="0"/>
      <w:spacing w:line="400" w:lineRule="atLeast"/>
      <w:ind w:left="672" w:hanging="348"/>
      <w:outlineLvl w:val="3"/>
    </w:pPr>
    <w:rPr>
      <w:rFonts w:ascii="Sim Sun" w:hAnsi="Batang" w:cs="Batang"/>
      <w:bCs/>
      <w:snapToGrid w:val="0"/>
      <w:color w:val="000000"/>
      <w:kern w:val="0"/>
    </w:rPr>
  </w:style>
  <w:style w:type="paragraph" w:customStyle="1" w:styleId="705">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黑体"/>
      <w:bCs/>
      <w:color w:val="000000"/>
      <w:kern w:val="0"/>
      <w:sz w:val="18"/>
      <w:szCs w:val="18"/>
    </w:rPr>
  </w:style>
  <w:style w:type="paragraph" w:customStyle="1" w:styleId="706">
    <w:name w:val="样式 样式 标题 4 + 首行缩进:  2 字符1 + 首行缩进:  2 字符"/>
    <w:basedOn w:val="707"/>
    <w:qFormat/>
    <w:uiPriority w:val="0"/>
    <w:pPr>
      <w:tabs>
        <w:tab w:val="left" w:pos="720"/>
      </w:tabs>
      <w:ind w:firstLine="482"/>
    </w:pPr>
    <w:rPr>
      <w:rFonts w:ascii="Times New Roman" w:hAnsi="Times New Roman"/>
      <w:bCs w:val="0"/>
    </w:rPr>
  </w:style>
  <w:style w:type="paragraph" w:customStyle="1" w:styleId="707">
    <w:name w:val="样式 标题 4 + 首行缩进:  2 字符1"/>
    <w:basedOn w:val="3"/>
    <w:qFormat/>
    <w:uiPriority w:val="0"/>
    <w:pPr>
      <w:tabs>
        <w:tab w:val="left" w:pos="720"/>
      </w:tabs>
      <w:adjustRightInd w:val="0"/>
      <w:snapToGrid w:val="0"/>
      <w:spacing w:line="480" w:lineRule="atLeast"/>
      <w:ind w:firstLine="480"/>
    </w:pPr>
    <w:rPr>
      <w:rFonts w:eastAsia="宋体"/>
      <w:color w:val="000000"/>
      <w:kern w:val="24"/>
      <w:sz w:val="24"/>
      <w:szCs w:val="24"/>
    </w:rPr>
  </w:style>
  <w:style w:type="paragraph" w:customStyle="1" w:styleId="708">
    <w:name w:val="Char22"/>
    <w:basedOn w:val="1"/>
    <w:qFormat/>
    <w:uiPriority w:val="0"/>
    <w:pPr>
      <w:widowControl/>
      <w:spacing w:after="160" w:line="240" w:lineRule="exact"/>
      <w:ind w:left="100" w:leftChars="-100" w:hanging="200" w:hangingChars="200"/>
    </w:pPr>
    <w:rPr>
      <w:rFonts w:ascii="Chicago" w:hAnsi="Chicago" w:cs="Vladimir Script"/>
      <w:bCs/>
      <w:color w:val="000000"/>
      <w:spacing w:val="8"/>
      <w:kern w:val="0"/>
      <w:sz w:val="20"/>
      <w:szCs w:val="20"/>
      <w:lang w:eastAsia="en-US"/>
    </w:rPr>
  </w:style>
  <w:style w:type="paragraph" w:customStyle="1" w:styleId="709">
    <w:name w:val="zxl正文首行缩进  2 字符 行距: Char Char"/>
    <w:basedOn w:val="1"/>
    <w:qFormat/>
    <w:uiPriority w:val="0"/>
    <w:pPr>
      <w:widowControl/>
      <w:tabs>
        <w:tab w:val="left" w:pos="-1843"/>
        <w:tab w:val="left" w:pos="0"/>
        <w:tab w:val="left" w:pos="1727"/>
        <w:tab w:val="left" w:pos="1884"/>
      </w:tabs>
      <w:ind w:firstLine="482"/>
      <w:textAlignment w:val="bottom"/>
      <w:outlineLvl w:val="0"/>
    </w:pPr>
    <w:rPr>
      <w:rFonts w:ascii="Sim Sun" w:hAnsi="Sim Sun" w:cs="Vladimir Script"/>
      <w:bCs/>
      <w:color w:val="000000"/>
      <w:kern w:val="24"/>
      <w:szCs w:val="20"/>
    </w:rPr>
  </w:style>
  <w:style w:type="paragraph" w:customStyle="1" w:styleId="710">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711">
    <w:name w:val="Char Char Char Char"/>
    <w:basedOn w:val="1"/>
    <w:qFormat/>
    <w:uiPriority w:val="0"/>
    <w:pPr>
      <w:widowControl/>
      <w:spacing w:after="160" w:line="240" w:lineRule="exact"/>
    </w:pPr>
    <w:rPr>
      <w:rFonts w:ascii="Verdana" w:hAnsi="Verdana"/>
      <w:bCs/>
      <w:color w:val="000000"/>
      <w:kern w:val="0"/>
      <w:sz w:val="20"/>
      <w:szCs w:val="20"/>
      <w:lang w:eastAsia="en-US"/>
    </w:rPr>
  </w:style>
  <w:style w:type="paragraph" w:customStyle="1" w:styleId="712">
    <w:name w:val="签名1"/>
    <w:basedOn w:val="1"/>
    <w:qFormat/>
    <w:uiPriority w:val="0"/>
    <w:pPr>
      <w:spacing w:line="440" w:lineRule="exact"/>
      <w:ind w:left="100" w:leftChars="2100" w:firstLine="200"/>
    </w:pPr>
    <w:rPr>
      <w:rFonts w:ascii="Sim Sun" w:hAnsi="Arial Unicode MS" w:eastAsia="Times New Roman"/>
      <w:bCs/>
      <w:color w:val="000000"/>
      <w:spacing w:val="5"/>
      <w:kern w:val="0"/>
      <w:sz w:val="25"/>
      <w:szCs w:val="25"/>
    </w:rPr>
  </w:style>
  <w:style w:type="paragraph" w:customStyle="1" w:styleId="71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bCs/>
      <w:color w:val="000000"/>
      <w:kern w:val="0"/>
      <w:sz w:val="20"/>
      <w:szCs w:val="20"/>
    </w:rPr>
  </w:style>
  <w:style w:type="paragraph" w:customStyle="1" w:styleId="71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Cs/>
      <w:color w:val="000000"/>
      <w:kern w:val="0"/>
      <w:sz w:val="20"/>
      <w:szCs w:val="20"/>
    </w:rPr>
  </w:style>
  <w:style w:type="paragraph" w:customStyle="1" w:styleId="715">
    <w:name w:val="目录标题"/>
    <w:basedOn w:val="1"/>
    <w:next w:val="1"/>
    <w:qFormat/>
    <w:uiPriority w:val="0"/>
    <w:pPr>
      <w:spacing w:before="104" w:after="209" w:line="0" w:lineRule="atLeast"/>
      <w:ind w:left="1" w:firstLine="200"/>
      <w:jc w:val="center"/>
      <w:textAlignment w:val="bottom"/>
    </w:pPr>
    <w:rPr>
      <w:rFonts w:ascii="ˎ̥" w:hAnsi="ˎ̥" w:eastAsia="仿宋体" w:cs="Vladimir Script"/>
      <w:bCs/>
      <w:color w:val="000000"/>
      <w:spacing w:val="104"/>
      <w:kern w:val="0"/>
      <w:sz w:val="44"/>
      <w:szCs w:val="20"/>
    </w:rPr>
  </w:style>
  <w:style w:type="paragraph" w:customStyle="1" w:styleId="716">
    <w:name w:val="文档结构图1"/>
    <w:basedOn w:val="1"/>
    <w:qFormat/>
    <w:uiPriority w:val="99"/>
    <w:pPr>
      <w:spacing w:line="440" w:lineRule="exact"/>
      <w:ind w:firstLine="200"/>
    </w:pPr>
    <w:rPr>
      <w:rFonts w:ascii="宋体"/>
      <w:bCs/>
      <w:color w:val="000000"/>
      <w:kern w:val="24"/>
      <w:sz w:val="18"/>
      <w:szCs w:val="18"/>
    </w:rPr>
  </w:style>
  <w:style w:type="paragraph" w:customStyle="1" w:styleId="717">
    <w:name w:val="正文缩进快"/>
    <w:basedOn w:val="1"/>
    <w:qFormat/>
    <w:uiPriority w:val="0"/>
    <w:pPr>
      <w:ind w:firstLine="539"/>
    </w:pPr>
    <w:rPr>
      <w:rFonts w:ascii="Batang" w:hAnsi="Batang" w:cs="Batang"/>
      <w:bCs/>
      <w:color w:val="000000"/>
      <w:kern w:val="24"/>
      <w:sz w:val="28"/>
      <w:szCs w:val="20"/>
    </w:rPr>
  </w:style>
  <w:style w:type="paragraph" w:customStyle="1" w:styleId="718">
    <w:name w:val="1文章"/>
    <w:basedOn w:val="1"/>
    <w:qFormat/>
    <w:uiPriority w:val="0"/>
    <w:pPr>
      <w:snapToGrid w:val="0"/>
      <w:ind w:firstLine="496"/>
      <w:outlineLvl w:val="4"/>
    </w:pPr>
    <w:rPr>
      <w:snapToGrid w:val="0"/>
      <w:color w:val="000000"/>
      <w:spacing w:val="4"/>
      <w:kern w:val="0"/>
    </w:rPr>
  </w:style>
  <w:style w:type="paragraph" w:customStyle="1" w:styleId="719">
    <w:name w:val="编号括号数字"/>
    <w:basedOn w:val="1"/>
    <w:qFormat/>
    <w:uiPriority w:val="0"/>
    <w:pPr>
      <w:tabs>
        <w:tab w:val="left" w:pos="939"/>
      </w:tabs>
      <w:ind w:left="342" w:firstLine="198"/>
      <w:outlineLvl w:val="4"/>
    </w:pPr>
    <w:rPr>
      <w:bCs/>
      <w:color w:val="000000"/>
      <w:kern w:val="24"/>
    </w:rPr>
  </w:style>
  <w:style w:type="paragraph" w:customStyle="1" w:styleId="720">
    <w:name w:val="表头6"/>
    <w:basedOn w:val="702"/>
    <w:qFormat/>
    <w:uiPriority w:val="0"/>
    <w:pPr>
      <w:tabs>
        <w:tab w:val="left" w:pos="843"/>
        <w:tab w:val="left" w:pos="1774"/>
      </w:tabs>
      <w:ind w:left="992" w:leftChars="0" w:hanging="363"/>
    </w:pPr>
  </w:style>
  <w:style w:type="paragraph" w:customStyle="1" w:styleId="721">
    <w:name w:val="样式 正文文本缩进 + 小四 非加粗 非倾斜 行距: 固定值 20 磅"/>
    <w:basedOn w:val="29"/>
    <w:qFormat/>
    <w:uiPriority w:val="0"/>
    <w:pPr>
      <w:spacing w:after="0" w:line="440" w:lineRule="exact"/>
      <w:ind w:left="0" w:leftChars="0" w:firstLine="454"/>
    </w:pPr>
    <w:rPr>
      <w:bCs/>
      <w:color w:val="000000"/>
      <w:kern w:val="24"/>
    </w:rPr>
  </w:style>
  <w:style w:type="paragraph" w:customStyle="1" w:styleId="722">
    <w:name w:val="编号汉字数字"/>
    <w:basedOn w:val="719"/>
    <w:next w:val="1"/>
    <w:qFormat/>
    <w:uiPriority w:val="0"/>
    <w:pPr>
      <w:tabs>
        <w:tab w:val="left" w:pos="0"/>
      </w:tabs>
      <w:ind w:left="0" w:firstLine="822"/>
      <w:outlineLvl w:val="9"/>
    </w:pPr>
  </w:style>
  <w:style w:type="paragraph" w:customStyle="1" w:styleId="723">
    <w:name w:val="样式 标题 3标题 3 Char标题 3 Char Char Char Char Char标题 3 Char Char C..."/>
    <w:basedOn w:val="6"/>
    <w:qFormat/>
    <w:uiPriority w:val="0"/>
    <w:pPr>
      <w:tabs>
        <w:tab w:val="left" w:pos="636"/>
      </w:tabs>
      <w:adjustRightInd w:val="0"/>
      <w:spacing w:before="120" w:after="0" w:line="480" w:lineRule="atLeast"/>
      <w:textAlignment w:val="baseline"/>
    </w:pPr>
    <w:rPr>
      <w:rFonts w:eastAsia="黑体"/>
      <w:b w:val="0"/>
      <w:color w:val="000000"/>
      <w:kern w:val="0"/>
      <w:sz w:val="24"/>
      <w:szCs w:val="20"/>
    </w:rPr>
  </w:style>
  <w:style w:type="paragraph" w:customStyle="1" w:styleId="724">
    <w:name w:val="样式 首行缩进:  2 字符10"/>
    <w:basedOn w:val="1"/>
    <w:qFormat/>
    <w:uiPriority w:val="0"/>
    <w:pPr>
      <w:spacing w:line="520" w:lineRule="exact"/>
      <w:ind w:firstLine="560"/>
    </w:pPr>
    <w:rPr>
      <w:rFonts w:cs="宋体"/>
      <w:bCs/>
      <w:color w:val="000000"/>
      <w:kern w:val="24"/>
      <w:szCs w:val="20"/>
    </w:rPr>
  </w:style>
  <w:style w:type="paragraph" w:customStyle="1" w:styleId="725">
    <w:name w:val="样式 首行缩进:  2 字符17"/>
    <w:basedOn w:val="1"/>
    <w:qFormat/>
    <w:uiPriority w:val="0"/>
    <w:pPr>
      <w:spacing w:line="520" w:lineRule="exact"/>
      <w:ind w:firstLine="560"/>
    </w:pPr>
    <w:rPr>
      <w:rFonts w:ascii="ˎ̥" w:hAnsi="ˎ̥" w:eastAsia="FLGPEK+TimesNewRoman,Italic" w:cs="ˎ̥"/>
      <w:bCs/>
      <w:color w:val="000000"/>
      <w:kern w:val="24"/>
      <w:szCs w:val="20"/>
    </w:rPr>
  </w:style>
  <w:style w:type="paragraph" w:customStyle="1" w:styleId="726">
    <w:name w:val="xl68"/>
    <w:basedOn w:val="1"/>
    <w:qFormat/>
    <w:uiPriority w:val="0"/>
    <w:pPr>
      <w:widowControl/>
      <w:pBdr>
        <w:left w:val="single" w:color="auto" w:sz="4" w:space="0"/>
        <w:bottom w:val="single" w:color="auto" w:sz="8" w:space="0"/>
      </w:pBdr>
      <w:spacing w:before="100" w:after="100"/>
      <w:jc w:val="center"/>
      <w:textAlignment w:val="top"/>
    </w:pPr>
    <w:rPr>
      <w:rFonts w:ascii="Batang" w:hAnsi="Batang" w:cs="Batang"/>
      <w:bCs/>
      <w:color w:val="000000"/>
      <w:kern w:val="0"/>
    </w:rPr>
  </w:style>
  <w:style w:type="paragraph" w:customStyle="1" w:styleId="727">
    <w:name w:val="1表格头"/>
    <w:basedOn w:val="1"/>
    <w:qFormat/>
    <w:uiPriority w:val="0"/>
    <w:pPr>
      <w:snapToGrid w:val="0"/>
      <w:spacing w:line="300" w:lineRule="auto"/>
      <w:jc w:val="center"/>
      <w:outlineLvl w:val="3"/>
    </w:pPr>
    <w:rPr>
      <w:rFonts w:eastAsia="黑体"/>
      <w:b/>
      <w:bCs/>
      <w:color w:val="000000"/>
      <w:spacing w:val="4"/>
      <w:kern w:val="24"/>
    </w:rPr>
  </w:style>
  <w:style w:type="paragraph" w:customStyle="1" w:styleId="728">
    <w:name w:val="正文5"/>
    <w:qFormat/>
    <w:uiPriority w:val="0"/>
    <w:pPr>
      <w:widowControl w:val="0"/>
      <w:adjustRightInd w:val="0"/>
      <w:spacing w:line="312" w:lineRule="atLeast"/>
      <w:jc w:val="both"/>
      <w:textAlignment w:val="baseline"/>
    </w:pPr>
    <w:rPr>
      <w:rFonts w:ascii="Arial" w:hAnsi="Times New Roman" w:eastAsia="楷体_GB2312" w:cs="Times New Roman"/>
      <w:bCs/>
      <w:color w:val="000000"/>
      <w:spacing w:val="-6"/>
      <w:sz w:val="28"/>
      <w:szCs w:val="24"/>
      <w:lang w:val="en-US" w:eastAsia="zh-CN" w:bidi="ar-SA"/>
    </w:rPr>
  </w:style>
  <w:style w:type="paragraph" w:customStyle="1" w:styleId="729">
    <w:name w:val="xl54"/>
    <w:basedOn w:val="1"/>
    <w:qFormat/>
    <w:uiPriority w:val="0"/>
    <w:pPr>
      <w:widowControl/>
      <w:pBdr>
        <w:bottom w:val="single" w:color="auto" w:sz="4" w:space="0"/>
        <w:right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730">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200"/>
    </w:pPr>
    <w:rPr>
      <w:rFonts w:ascii="Courier New" w:hAnsi="Courier New"/>
      <w:bCs/>
      <w:color w:val="000000"/>
      <w:kern w:val="24"/>
      <w:sz w:val="20"/>
      <w:szCs w:val="20"/>
    </w:rPr>
  </w:style>
  <w:style w:type="paragraph" w:customStyle="1" w:styleId="731">
    <w:name w:val="附录一级条标题"/>
    <w:basedOn w:val="732"/>
    <w:next w:val="1"/>
    <w:qFormat/>
    <w:uiPriority w:val="0"/>
    <w:pPr>
      <w:autoSpaceDN w:val="0"/>
      <w:spacing w:beforeLines="0" w:afterLines="0"/>
      <w:outlineLvl w:val="2"/>
    </w:pPr>
  </w:style>
  <w:style w:type="paragraph" w:customStyle="1" w:styleId="732">
    <w:name w:val="附录章标题"/>
    <w:next w:val="1"/>
    <w:qFormat/>
    <w:uiPriority w:val="0"/>
    <w:pPr>
      <w:wordWrap w:val="0"/>
      <w:overflowPunct w:val="0"/>
      <w:autoSpaceDE w:val="0"/>
      <w:spacing w:beforeLines="50" w:afterLines="50"/>
      <w:jc w:val="both"/>
      <w:textAlignment w:val="baseline"/>
      <w:outlineLvl w:val="1"/>
    </w:pPr>
    <w:rPr>
      <w:rFonts w:ascii="黑体" w:hAnsi="Times New Roman" w:eastAsia="黑体" w:cs="Times New Roman"/>
      <w:bCs/>
      <w:color w:val="000000"/>
      <w:kern w:val="21"/>
      <w:sz w:val="21"/>
      <w:szCs w:val="24"/>
      <w:lang w:val="en-US" w:eastAsia="zh-CN" w:bidi="ar-SA"/>
    </w:rPr>
  </w:style>
  <w:style w:type="paragraph" w:customStyle="1" w:styleId="733">
    <w:name w:val="Char11"/>
    <w:basedOn w:val="1"/>
    <w:qFormat/>
    <w:uiPriority w:val="0"/>
    <w:pPr>
      <w:spacing w:beforeLines="50"/>
      <w:ind w:firstLine="560"/>
    </w:pPr>
    <w:rPr>
      <w:rFonts w:ascii="Arial Unicode MS" w:hAnsi="Arial Unicode MS" w:eastAsia="Garamond" w:cs="Vladimir Script"/>
      <w:bCs/>
      <w:color w:val="000000"/>
      <w:kern w:val="24"/>
      <w:sz w:val="28"/>
      <w:szCs w:val="20"/>
    </w:rPr>
  </w:style>
  <w:style w:type="paragraph" w:customStyle="1" w:styleId="734">
    <w:name w:val="font9"/>
    <w:basedOn w:val="1"/>
    <w:qFormat/>
    <w:uiPriority w:val="0"/>
    <w:pPr>
      <w:widowControl/>
      <w:spacing w:before="100" w:beforeAutospacing="1" w:after="100" w:afterAutospacing="1"/>
    </w:pPr>
    <w:rPr>
      <w:rFonts w:hint="eastAsia" w:ascii="宋体" w:hAnsi="宋体" w:cs="Arial Unicode MS"/>
      <w:b/>
      <w:color w:val="000000"/>
      <w:kern w:val="0"/>
      <w:sz w:val="18"/>
      <w:szCs w:val="18"/>
    </w:rPr>
  </w:style>
  <w:style w:type="paragraph" w:customStyle="1" w:styleId="735">
    <w:name w:val="Paratitre"/>
    <w:basedOn w:val="1"/>
    <w:qFormat/>
    <w:uiPriority w:val="0"/>
    <w:pPr>
      <w:widowControl/>
      <w:overflowPunct w:val="0"/>
      <w:autoSpaceDE w:val="0"/>
      <w:autoSpaceDN w:val="0"/>
      <w:adjustRightInd w:val="0"/>
      <w:spacing w:before="240"/>
      <w:ind w:left="700"/>
      <w:textAlignment w:val="baseline"/>
    </w:pPr>
    <w:rPr>
      <w:rFonts w:ascii="ˎ̥" w:hAnsi="ˎ̥" w:cs="Batang"/>
      <w:bCs/>
      <w:color w:val="000000"/>
      <w:kern w:val="0"/>
      <w:sz w:val="20"/>
      <w:szCs w:val="20"/>
      <w:lang w:val="fr-FR"/>
    </w:rPr>
  </w:style>
  <w:style w:type="paragraph" w:customStyle="1" w:styleId="736">
    <w:name w:val="一级条标题"/>
    <w:basedOn w:val="4"/>
    <w:next w:val="1"/>
    <w:qFormat/>
    <w:uiPriority w:val="0"/>
    <w:pPr>
      <w:keepNext w:val="0"/>
      <w:widowControl/>
      <w:tabs>
        <w:tab w:val="left" w:pos="360"/>
        <w:tab w:val="left" w:pos="1740"/>
      </w:tabs>
      <w:overflowPunct/>
      <w:snapToGrid/>
      <w:spacing w:before="0" w:after="0" w:line="240" w:lineRule="auto"/>
      <w:ind w:left="1740" w:hanging="420"/>
      <w:outlineLvl w:val="2"/>
    </w:pPr>
    <w:rPr>
      <w:rFonts w:ascii="FLGPEK+TimesNewRoman,Italic" w:hAnsi="Batang" w:eastAsia="FLGPEK+TimesNewRoman,Italic" w:cs="Batang"/>
      <w:b w:val="0"/>
      <w:kern w:val="0"/>
      <w:sz w:val="21"/>
      <w:szCs w:val="20"/>
    </w:rPr>
  </w:style>
  <w:style w:type="paragraph" w:customStyle="1" w:styleId="737">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rFonts w:ascii="Arial Unicode MS" w:hAnsi="Arial Unicode MS" w:eastAsia="Arial Unicode MS" w:cs="Arial Unicode MS"/>
      <w:bCs/>
      <w:color w:val="000000"/>
      <w:kern w:val="0"/>
      <w:sz w:val="20"/>
      <w:szCs w:val="20"/>
    </w:rPr>
  </w:style>
  <w:style w:type="paragraph" w:customStyle="1" w:styleId="738">
    <w:name w:val="Char Char Char Char Char Char Char3"/>
    <w:basedOn w:val="1"/>
    <w:qFormat/>
    <w:uiPriority w:val="0"/>
    <w:rPr>
      <w:bCs/>
      <w:color w:val="000000"/>
      <w:kern w:val="24"/>
      <w:szCs w:val="21"/>
    </w:rPr>
  </w:style>
  <w:style w:type="paragraph" w:customStyle="1" w:styleId="739">
    <w:name w:val="Char Char19 Char Char2"/>
    <w:basedOn w:val="1"/>
    <w:next w:val="1"/>
    <w:semiHidden/>
    <w:qFormat/>
    <w:uiPriority w:val="0"/>
    <w:pPr>
      <w:ind w:firstLine="200"/>
    </w:pPr>
    <w:rPr>
      <w:rFonts w:ascii="宋体" w:hAnsi="宋体" w:cs="宋体"/>
    </w:rPr>
  </w:style>
  <w:style w:type="paragraph" w:customStyle="1" w:styleId="740">
    <w:name w:val="T正文"/>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bCs/>
      <w:color w:val="000000"/>
      <w:sz w:val="28"/>
      <w:szCs w:val="24"/>
      <w:lang w:val="en-US" w:eastAsia="zh-CN" w:bidi="ar-SA"/>
    </w:rPr>
  </w:style>
  <w:style w:type="paragraph" w:customStyle="1" w:styleId="741">
    <w:name w:val="样式 标题 1 + (符号) Times New Roman"/>
    <w:basedOn w:val="4"/>
    <w:qFormat/>
    <w:uiPriority w:val="0"/>
    <w:pPr>
      <w:keepNext w:val="0"/>
      <w:keepLines/>
      <w:overflowPunct/>
      <w:adjustRightInd w:val="0"/>
      <w:spacing w:before="180" w:after="180" w:line="480" w:lineRule="exact"/>
      <w:ind w:left="0" w:firstLine="0"/>
    </w:pPr>
    <w:rPr>
      <w:rFonts w:eastAsia="宋体"/>
      <w:snapToGrid w:val="0"/>
      <w:color w:val="auto"/>
      <w:kern w:val="0"/>
      <w:sz w:val="32"/>
      <w:szCs w:val="20"/>
    </w:rPr>
  </w:style>
  <w:style w:type="paragraph" w:customStyle="1" w:styleId="742">
    <w:name w:val="Char Char5 Char Char Char Char Char Char Char Char Char2 Char"/>
    <w:basedOn w:val="6"/>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743">
    <w:name w:val="样式 首行缩进:  2 字符 行距: 固定值 26 磅"/>
    <w:basedOn w:val="1"/>
    <w:qFormat/>
    <w:uiPriority w:val="0"/>
    <w:pPr>
      <w:spacing w:line="480" w:lineRule="exact"/>
      <w:ind w:firstLine="200"/>
    </w:pPr>
    <w:rPr>
      <w:rFonts w:cs="宋体"/>
      <w:bCs/>
      <w:color w:val="000000"/>
      <w:kern w:val="24"/>
      <w:szCs w:val="20"/>
    </w:rPr>
  </w:style>
  <w:style w:type="paragraph" w:customStyle="1" w:styleId="744">
    <w:name w:val="样式 正文文字 + 两端对齐 首行缩进:  0.92 厘米 行距: 单倍行距"/>
    <w:basedOn w:val="28"/>
    <w:qFormat/>
    <w:uiPriority w:val="0"/>
    <w:pPr>
      <w:widowControl w:val="0"/>
      <w:snapToGrid/>
      <w:spacing w:before="0" w:after="0" w:line="240" w:lineRule="auto"/>
      <w:ind w:right="0" w:firstLine="522"/>
    </w:pPr>
    <w:rPr>
      <w:rFonts w:ascii="FLGPEK+TimesNewRoman,Italic" w:hAnsi="FLGPEK+TimesNewRoman,Italic" w:eastAsia="FLGPEK+TimesNewRoman,Italic" w:cs="Batang"/>
      <w:bCs/>
      <w:color w:val="000000"/>
      <w:kern w:val="24"/>
      <w:sz w:val="28"/>
    </w:rPr>
  </w:style>
  <w:style w:type="paragraph" w:customStyle="1" w:styleId="745">
    <w:name w:val="样式10"/>
    <w:basedOn w:val="238"/>
    <w:qFormat/>
    <w:uiPriority w:val="0"/>
    <w:pPr>
      <w:spacing w:line="240" w:lineRule="auto"/>
      <w:ind w:firstLine="200" w:firstLineChars="200"/>
      <w:jc w:val="left"/>
    </w:pPr>
    <w:rPr>
      <w:rFonts w:ascii="宋体" w:hAnsi="宋体"/>
      <w:smallCaps/>
      <w:snapToGrid w:val="0"/>
      <w:kern w:val="0"/>
      <w:sz w:val="28"/>
      <w:szCs w:val="28"/>
    </w:rPr>
  </w:style>
  <w:style w:type="paragraph" w:customStyle="1" w:styleId="746">
    <w:name w:val="Char Char19 Char Char"/>
    <w:basedOn w:val="1"/>
    <w:next w:val="1"/>
    <w:semiHidden/>
    <w:qFormat/>
    <w:uiPriority w:val="0"/>
    <w:pPr>
      <w:ind w:firstLine="200"/>
    </w:pPr>
    <w:rPr>
      <w:rFonts w:ascii="宋体" w:hAnsi="宋体" w:cs="宋体"/>
    </w:rPr>
  </w:style>
  <w:style w:type="paragraph" w:customStyle="1" w:styleId="747">
    <w:name w:val="Char Char Char Char Char Char Char Char Char Char Char Char Char Char Char Char Char Char Char Char Char Char1"/>
    <w:basedOn w:val="1"/>
    <w:qFormat/>
    <w:uiPriority w:val="0"/>
    <w:pPr>
      <w:widowControl/>
      <w:spacing w:after="160" w:line="240" w:lineRule="exact"/>
      <w:ind w:firstLine="560"/>
    </w:pPr>
    <w:rPr>
      <w:rFonts w:ascii="Verdana" w:hAnsi="Verdana" w:eastAsia="MS Mincho" w:cs="Verdana"/>
      <w:bCs/>
      <w:color w:val="000000"/>
      <w:kern w:val="0"/>
      <w:sz w:val="20"/>
      <w:szCs w:val="20"/>
      <w:lang w:eastAsia="en-US"/>
    </w:rPr>
  </w:style>
  <w:style w:type="paragraph" w:customStyle="1" w:styleId="748">
    <w:name w:val="标题  1"/>
    <w:basedOn w:val="1"/>
    <w:qFormat/>
    <w:uiPriority w:val="0"/>
    <w:pPr>
      <w:tabs>
        <w:tab w:val="left" w:pos="425"/>
      </w:tabs>
      <w:ind w:left="425"/>
    </w:pPr>
    <w:rPr>
      <w:rFonts w:ascii="Tahoma" w:hAnsi="Tahoma"/>
      <w:bCs/>
      <w:color w:val="000000"/>
      <w:kern w:val="24"/>
      <w:szCs w:val="20"/>
    </w:rPr>
  </w:style>
  <w:style w:type="paragraph" w:customStyle="1" w:styleId="749">
    <w:name w:val="段"/>
    <w:qFormat/>
    <w:uiPriority w:val="0"/>
    <w:pPr>
      <w:autoSpaceDE w:val="0"/>
      <w:autoSpaceDN w:val="0"/>
      <w:ind w:firstLine="200" w:firstLineChars="200"/>
      <w:jc w:val="both"/>
    </w:pPr>
    <w:rPr>
      <w:rFonts w:ascii="宋体" w:hAnsi="Times New Roman" w:eastAsia="宋体" w:cs="Times New Roman"/>
      <w:bCs/>
      <w:color w:val="000000"/>
      <w:sz w:val="21"/>
      <w:szCs w:val="24"/>
      <w:lang w:val="en-US" w:eastAsia="zh-CN" w:bidi="ar-SA"/>
    </w:rPr>
  </w:style>
  <w:style w:type="paragraph" w:customStyle="1" w:styleId="750">
    <w:name w:val="样式 粉红 首行缩进:  2 字符"/>
    <w:basedOn w:val="1"/>
    <w:semiHidden/>
    <w:qFormat/>
    <w:uiPriority w:val="0"/>
    <w:pPr>
      <w:spacing w:line="480" w:lineRule="exact"/>
      <w:ind w:firstLine="480"/>
    </w:pPr>
    <w:rPr>
      <w:rFonts w:cs="宋体"/>
      <w:bCs/>
      <w:color w:val="FF0000"/>
      <w:kern w:val="24"/>
      <w:szCs w:val="20"/>
    </w:rPr>
  </w:style>
  <w:style w:type="paragraph" w:customStyle="1" w:styleId="751">
    <w:name w:val="五号表格"/>
    <w:basedOn w:val="1"/>
    <w:qFormat/>
    <w:uiPriority w:val="0"/>
    <w:pPr>
      <w:spacing w:line="240" w:lineRule="atLeast"/>
      <w:ind w:firstLine="200"/>
      <w:jc w:val="center"/>
    </w:pPr>
    <w:rPr>
      <w:rFonts w:ascii="Arial Unicode MS" w:hAnsi="Arial Unicode MS" w:cs="Vladimir Script"/>
      <w:bCs/>
      <w:color w:val="000000"/>
      <w:kern w:val="24"/>
      <w:szCs w:val="20"/>
    </w:rPr>
  </w:style>
  <w:style w:type="paragraph" w:customStyle="1" w:styleId="752">
    <w:name w:val="表格用字 Char1"/>
    <w:basedOn w:val="68"/>
    <w:qFormat/>
    <w:uiPriority w:val="0"/>
    <w:pPr>
      <w:spacing w:after="0" w:line="0" w:lineRule="atLeast"/>
    </w:pPr>
    <w:rPr>
      <w:rFonts w:hint="eastAsia" w:eastAsia="仿宋_GB2312"/>
      <w:szCs w:val="20"/>
    </w:rPr>
  </w:style>
  <w:style w:type="paragraph" w:customStyle="1" w:styleId="753">
    <w:name w:val="二级无标题条"/>
    <w:basedOn w:val="1"/>
    <w:qFormat/>
    <w:uiPriority w:val="0"/>
    <w:rPr>
      <w:bCs/>
      <w:color w:val="000000"/>
      <w:kern w:val="24"/>
    </w:rPr>
  </w:style>
  <w:style w:type="paragraph" w:customStyle="1" w:styleId="754">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bCs/>
      <w:i/>
      <w:color w:val="000000"/>
      <w:spacing w:val="20"/>
      <w:kern w:val="24"/>
      <w:szCs w:val="20"/>
    </w:rPr>
  </w:style>
  <w:style w:type="paragraph" w:customStyle="1" w:styleId="755">
    <w:name w:val="样式 居中 首行缩进:  0.01 厘米 段后: 6 磅"/>
    <w:basedOn w:val="1"/>
    <w:qFormat/>
    <w:uiPriority w:val="0"/>
    <w:pPr>
      <w:spacing w:after="120" w:line="440" w:lineRule="exact"/>
      <w:ind w:firstLine="4"/>
      <w:jc w:val="center"/>
    </w:pPr>
    <w:rPr>
      <w:rFonts w:ascii="Arial Unicode MS" w:hAnsi="Arial Unicode MS" w:eastAsia="DFKai-SB" w:cs="Vladimir Script"/>
      <w:bCs/>
      <w:color w:val="000000"/>
      <w:kern w:val="24"/>
      <w:szCs w:val="20"/>
    </w:rPr>
  </w:style>
  <w:style w:type="paragraph" w:customStyle="1" w:styleId="756">
    <w:name w:val="样式 生物附录 + 小四 段前: 6 磅 段后: 6 磅 非加宽量 / 紧缩量  行距: 1.5 倍行距"/>
    <w:basedOn w:val="1"/>
    <w:qFormat/>
    <w:uiPriority w:val="0"/>
    <w:pPr>
      <w:widowControl/>
      <w:spacing w:before="100" w:beforeAutospacing="1" w:after="100" w:afterAutospacing="1"/>
    </w:pPr>
    <w:rPr>
      <w:b/>
      <w:color w:val="000000"/>
      <w:kern w:val="24"/>
      <w:szCs w:val="20"/>
    </w:rPr>
  </w:style>
  <w:style w:type="paragraph" w:customStyle="1" w:styleId="757">
    <w:name w:val="新标题3"/>
    <w:basedOn w:val="1"/>
    <w:qFormat/>
    <w:uiPriority w:val="0"/>
    <w:pPr>
      <w:keepNext/>
      <w:autoSpaceDE w:val="0"/>
      <w:autoSpaceDN w:val="0"/>
      <w:adjustRightInd w:val="0"/>
      <w:spacing w:before="120" w:after="120" w:line="460" w:lineRule="exact"/>
      <w:outlineLvl w:val="2"/>
    </w:pPr>
    <w:rPr>
      <w:rFonts w:ascii="FLGPEK+TimesNewRoman,Italic" w:hAnsi="Batang" w:eastAsia="FLGPEK+TimesNewRoman,Italic" w:cs="Sim Sun"/>
      <w:b/>
      <w:color w:val="000000"/>
      <w:kern w:val="24"/>
      <w:lang w:val="zh-CN"/>
    </w:rPr>
  </w:style>
  <w:style w:type="paragraph" w:customStyle="1" w:styleId="758">
    <w:name w:val="xl32"/>
    <w:basedOn w:val="1"/>
    <w:qFormat/>
    <w:uiPriority w:val="0"/>
    <w:pPr>
      <w:widowControl/>
      <w:spacing w:before="100" w:beforeAutospacing="1" w:after="100" w:afterAutospacing="1"/>
      <w:jc w:val="center"/>
      <w:textAlignment w:val="top"/>
    </w:pPr>
    <w:rPr>
      <w:rFonts w:ascii="Arial Unicode MS" w:hAnsi="Arial Unicode MS" w:eastAsia="Arial Unicode MS" w:cs="Arial Unicode MS"/>
      <w:b/>
      <w:color w:val="000000"/>
      <w:kern w:val="0"/>
      <w:sz w:val="32"/>
      <w:szCs w:val="32"/>
    </w:rPr>
  </w:style>
  <w:style w:type="paragraph" w:customStyle="1" w:styleId="759">
    <w:name w:val="小五表格"/>
    <w:basedOn w:val="1"/>
    <w:qFormat/>
    <w:uiPriority w:val="0"/>
    <w:pPr>
      <w:spacing w:line="440" w:lineRule="exact"/>
      <w:ind w:firstLine="200"/>
    </w:pPr>
    <w:rPr>
      <w:rFonts w:ascii="Arial Unicode MS" w:hAnsi="Arial Unicode MS" w:cs="Vladimir Script"/>
      <w:bCs/>
      <w:color w:val="000000"/>
      <w:kern w:val="24"/>
      <w:sz w:val="18"/>
      <w:szCs w:val="20"/>
    </w:rPr>
  </w:style>
  <w:style w:type="paragraph" w:customStyle="1" w:styleId="760">
    <w:name w:val="样式 小四 首行缩进:  2 字符"/>
    <w:basedOn w:val="1"/>
    <w:next w:val="1"/>
    <w:qFormat/>
    <w:uiPriority w:val="0"/>
    <w:pPr>
      <w:adjustRightInd w:val="0"/>
      <w:spacing w:line="480" w:lineRule="atLeast"/>
      <w:ind w:firstLine="180" w:firstLineChars="180"/>
      <w:textAlignment w:val="baseline"/>
    </w:pPr>
    <w:rPr>
      <w:rFonts w:cs="宋体"/>
      <w:bCs/>
      <w:color w:val="000000"/>
      <w:kern w:val="0"/>
      <w:szCs w:val="20"/>
    </w:rPr>
  </w:style>
  <w:style w:type="paragraph" w:customStyle="1" w:styleId="761">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8000"/>
      <w:kern w:val="0"/>
      <w:sz w:val="20"/>
      <w:szCs w:val="20"/>
    </w:rPr>
  </w:style>
  <w:style w:type="paragraph" w:customStyle="1" w:styleId="762">
    <w:name w:val="Char1 Char Char Char"/>
    <w:basedOn w:val="6"/>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763">
    <w:name w:val="页眉中"/>
    <w:basedOn w:val="2"/>
    <w:qFormat/>
    <w:uiPriority w:val="0"/>
    <w:pPr>
      <w:adjustRightInd w:val="0"/>
      <w:snapToGrid w:val="0"/>
      <w:spacing w:line="300" w:lineRule="auto"/>
      <w:ind w:firstLine="200"/>
      <w:jc w:val="left"/>
    </w:pPr>
    <w:rPr>
      <w:rFonts w:ascii="仿宋体" w:hAnsi="Vladimir Script" w:eastAsia="仿宋体" w:cs="Arial Unicode MS"/>
      <w:color w:val="000000"/>
      <w:kern w:val="24"/>
      <w:sz w:val="24"/>
    </w:rPr>
  </w:style>
  <w:style w:type="paragraph" w:customStyle="1" w:styleId="764">
    <w:name w:val="样式 题目 + 左侧:  1 字符 右侧:  1 字符"/>
    <w:basedOn w:val="4"/>
    <w:qFormat/>
    <w:uiPriority w:val="0"/>
    <w:pPr>
      <w:keepLines/>
      <w:overflowPunct/>
      <w:adjustRightInd w:val="0"/>
      <w:spacing w:before="100" w:beforeAutospacing="1" w:after="100" w:afterAutospacing="1" w:line="360" w:lineRule="auto"/>
      <w:ind w:left="0" w:right="238" w:firstLine="0"/>
      <w:jc w:val="center"/>
    </w:pPr>
    <w:rPr>
      <w:rFonts w:cs="宋体"/>
      <w:snapToGrid w:val="0"/>
      <w:kern w:val="0"/>
      <w:sz w:val="24"/>
      <w:szCs w:val="20"/>
    </w:rPr>
  </w:style>
  <w:style w:type="paragraph" w:customStyle="1" w:styleId="765">
    <w:name w:val="8说明(治)"/>
    <w:basedOn w:val="1"/>
    <w:next w:val="208"/>
    <w:qFormat/>
    <w:uiPriority w:val="0"/>
    <w:pPr>
      <w:ind w:firstLine="480"/>
    </w:pPr>
    <w:rPr>
      <w:rFonts w:ascii="宋体" w:hAnsi="宋体"/>
      <w:bCs/>
      <w:color w:val="000000"/>
      <w:kern w:val="24"/>
      <w:szCs w:val="20"/>
    </w:rPr>
  </w:style>
  <w:style w:type="paragraph" w:customStyle="1" w:styleId="766">
    <w:name w:val="简单回函地址"/>
    <w:basedOn w:val="1"/>
    <w:qFormat/>
    <w:uiPriority w:val="0"/>
    <w:rPr>
      <w:bCs/>
      <w:color w:val="000000"/>
      <w:kern w:val="24"/>
    </w:rPr>
  </w:style>
  <w:style w:type="paragraph" w:customStyle="1" w:styleId="767">
    <w:name w:val="注释标题1"/>
    <w:basedOn w:val="1"/>
    <w:next w:val="1"/>
    <w:qFormat/>
    <w:uiPriority w:val="0"/>
    <w:pPr>
      <w:spacing w:line="440" w:lineRule="exact"/>
      <w:ind w:firstLine="200"/>
      <w:jc w:val="center"/>
    </w:pPr>
    <w:rPr>
      <w:rFonts w:ascii="Sim Sun" w:hAnsi="Arial Unicode MS" w:eastAsia="Times New Roman"/>
      <w:bCs/>
      <w:color w:val="000000"/>
      <w:kern w:val="0"/>
      <w:szCs w:val="20"/>
    </w:rPr>
  </w:style>
  <w:style w:type="paragraph" w:customStyle="1" w:styleId="768">
    <w:name w:val="s0"/>
    <w:qFormat/>
    <w:uiPriority w:val="0"/>
    <w:pPr>
      <w:widowControl w:val="0"/>
      <w:autoSpaceDE w:val="0"/>
      <w:autoSpaceDN w:val="0"/>
      <w:adjustRightInd w:val="0"/>
    </w:pPr>
    <w:rPr>
      <w:rFonts w:ascii="????" w:hAnsi="Times New Roman" w:eastAsia="????" w:cs="Times New Roman"/>
      <w:bCs/>
      <w:color w:val="000000"/>
      <w:sz w:val="24"/>
      <w:szCs w:val="24"/>
      <w:lang w:val="en-US" w:eastAsia="zh-CN" w:bidi="ar-SA"/>
    </w:rPr>
  </w:style>
  <w:style w:type="paragraph" w:customStyle="1" w:styleId="769">
    <w:name w:val="海港标题2"/>
    <w:basedOn w:val="5"/>
    <w:qFormat/>
    <w:uiPriority w:val="0"/>
    <w:pPr>
      <w:keepNext w:val="0"/>
      <w:keepLines w:val="0"/>
      <w:tabs>
        <w:tab w:val="left" w:pos="576"/>
      </w:tabs>
      <w:adjustRightInd w:val="0"/>
      <w:spacing w:before="240" w:after="240" w:line="360" w:lineRule="exact"/>
      <w:ind w:left="576" w:hanging="576"/>
      <w:textAlignment w:val="baseline"/>
    </w:pPr>
    <w:rPr>
      <w:rFonts w:ascii="Arial Unicode MS" w:hAnsi="Arial Unicode MS" w:eastAsia="Garamond" w:cs="Vladimir Script"/>
      <w:color w:val="000000"/>
      <w:kern w:val="0"/>
      <w:sz w:val="24"/>
      <w:szCs w:val="20"/>
    </w:rPr>
  </w:style>
  <w:style w:type="paragraph" w:customStyle="1" w:styleId="770">
    <w:name w:val="xl66"/>
    <w:basedOn w:val="1"/>
    <w:qFormat/>
    <w:uiPriority w:val="0"/>
    <w:pPr>
      <w:widowControl/>
      <w:spacing w:before="100" w:after="100"/>
      <w:jc w:val="center"/>
    </w:pPr>
    <w:rPr>
      <w:rFonts w:ascii="Batang" w:hAnsi="Batang" w:cs="Batang"/>
      <w:bCs/>
      <w:color w:val="000000"/>
      <w:kern w:val="0"/>
      <w:szCs w:val="20"/>
    </w:rPr>
  </w:style>
  <w:style w:type="paragraph" w:customStyle="1" w:styleId="771">
    <w:name w:val="正文首缩快"/>
    <w:basedOn w:val="1"/>
    <w:qFormat/>
    <w:uiPriority w:val="0"/>
    <w:pPr>
      <w:ind w:firstLine="539"/>
    </w:pPr>
    <w:rPr>
      <w:rFonts w:ascii="Batang" w:hAnsi="Batang" w:cs="Batang"/>
      <w:bCs/>
      <w:color w:val="000000"/>
      <w:kern w:val="24"/>
      <w:sz w:val="28"/>
      <w:szCs w:val="20"/>
    </w:rPr>
  </w:style>
  <w:style w:type="paragraph" w:customStyle="1" w:styleId="772">
    <w:name w:val="样式 首行缩进:  2 字符16"/>
    <w:basedOn w:val="1"/>
    <w:qFormat/>
    <w:uiPriority w:val="0"/>
    <w:pPr>
      <w:spacing w:line="520" w:lineRule="exact"/>
      <w:ind w:firstLine="560"/>
    </w:pPr>
    <w:rPr>
      <w:rFonts w:ascii="ˎ̥" w:hAnsi="ˎ̥" w:eastAsia="FLGPEK+TimesNewRoman,Italic" w:cs="ˎ̥"/>
      <w:bCs/>
      <w:color w:val="000000"/>
      <w:kern w:val="24"/>
      <w:szCs w:val="20"/>
    </w:rPr>
  </w:style>
  <w:style w:type="paragraph" w:customStyle="1" w:styleId="773">
    <w:name w:val="Char Char Char Char Char Char Char1"/>
    <w:basedOn w:val="1"/>
    <w:qFormat/>
    <w:uiPriority w:val="0"/>
    <w:rPr>
      <w:rFonts w:ascii="ˎ̥" w:hAnsi="ˎ̥" w:eastAsia="FLGPEK+TimesNewRoman,Italic" w:cs="ˎ̥"/>
      <w:bCs/>
      <w:color w:val="000000"/>
      <w:kern w:val="24"/>
      <w:szCs w:val="20"/>
    </w:rPr>
  </w:style>
  <w:style w:type="paragraph" w:customStyle="1" w:styleId="774">
    <w:name w:val="表格内正文"/>
    <w:qFormat/>
    <w:uiPriority w:val="0"/>
    <w:pPr>
      <w:widowControl w:val="0"/>
      <w:spacing w:line="360" w:lineRule="exact"/>
      <w:ind w:firstLine="420" w:firstLineChars="200"/>
      <w:jc w:val="both"/>
    </w:pPr>
    <w:rPr>
      <w:rFonts w:ascii="Times New Roman" w:hAnsi="Times New Roman" w:eastAsia="宋体" w:cs="Times New Roman"/>
      <w:bCs/>
      <w:color w:val="000000"/>
      <w:kern w:val="2"/>
      <w:sz w:val="21"/>
      <w:szCs w:val="24"/>
      <w:lang w:val="en-US" w:eastAsia="zh-CN" w:bidi="ar-SA"/>
    </w:rPr>
  </w:style>
  <w:style w:type="paragraph" w:customStyle="1" w:styleId="775">
    <w:name w:val="BIG BOLD"/>
    <w:basedOn w:val="1"/>
    <w:semiHidden/>
    <w:qFormat/>
    <w:uiPriority w:val="0"/>
    <w:pPr>
      <w:tabs>
        <w:tab w:val="left" w:leader="underscore" w:pos="1134"/>
      </w:tabs>
    </w:pPr>
    <w:rPr>
      <w:bCs/>
      <w:color w:val="000000"/>
      <w:kern w:val="24"/>
      <w:szCs w:val="20"/>
    </w:rPr>
  </w:style>
  <w:style w:type="paragraph" w:customStyle="1" w:styleId="776">
    <w:name w:val="样式 标题 1 + 三号"/>
    <w:basedOn w:val="4"/>
    <w:qFormat/>
    <w:uiPriority w:val="0"/>
    <w:pPr>
      <w:keepNext w:val="0"/>
      <w:pageBreakBefore/>
      <w:overflowPunct/>
      <w:snapToGrid/>
      <w:spacing w:before="180" w:after="180" w:line="440" w:lineRule="exact"/>
      <w:ind w:left="0" w:firstLine="0"/>
    </w:pPr>
    <w:rPr>
      <w:rFonts w:eastAsia="宋体-方正超大字符集"/>
      <w:kern w:val="2"/>
      <w:sz w:val="24"/>
      <w:szCs w:val="24"/>
    </w:rPr>
  </w:style>
  <w:style w:type="paragraph" w:customStyle="1" w:styleId="777">
    <w:name w:val="4"/>
    <w:basedOn w:val="1"/>
    <w:next w:val="26"/>
    <w:qFormat/>
    <w:uiPriority w:val="0"/>
    <w:pPr>
      <w:spacing w:line="240" w:lineRule="atLeast"/>
    </w:pPr>
    <w:rPr>
      <w:bCs/>
      <w:color w:val="000000"/>
      <w:kern w:val="24"/>
      <w:sz w:val="28"/>
      <w:szCs w:val="20"/>
    </w:rPr>
  </w:style>
  <w:style w:type="paragraph" w:customStyle="1" w:styleId="778">
    <w:name w:val="正文文本缩进1"/>
    <w:basedOn w:val="1"/>
    <w:qFormat/>
    <w:uiPriority w:val="0"/>
    <w:pPr>
      <w:spacing w:line="360" w:lineRule="exact"/>
      <w:ind w:firstLine="480"/>
    </w:pPr>
    <w:rPr>
      <w:bCs/>
      <w:color w:val="000000"/>
      <w:kern w:val="24"/>
      <w:szCs w:val="20"/>
    </w:rPr>
  </w:style>
  <w:style w:type="paragraph" w:customStyle="1" w:styleId="779">
    <w:name w:val="样式 标题 2 + 宋体 行距: 固定值 30 磅"/>
    <w:basedOn w:val="5"/>
    <w:semiHidden/>
    <w:qFormat/>
    <w:uiPriority w:val="0"/>
    <w:pPr>
      <w:snapToGrid w:val="0"/>
      <w:spacing w:before="140" w:after="140" w:line="600" w:lineRule="exact"/>
    </w:pPr>
    <w:rPr>
      <w:rFonts w:ascii="Times New Roman" w:hAnsi="Times New Roman" w:cs="宋体"/>
      <w:smallCaps/>
      <w:color w:val="000000"/>
      <w:kern w:val="24"/>
      <w:sz w:val="24"/>
      <w:szCs w:val="21"/>
    </w:rPr>
  </w:style>
  <w:style w:type="paragraph" w:customStyle="1" w:styleId="780">
    <w:name w:val="正文表标题"/>
    <w:next w:val="749"/>
    <w:qFormat/>
    <w:uiPriority w:val="0"/>
    <w:pPr>
      <w:jc w:val="center"/>
    </w:pPr>
    <w:rPr>
      <w:rFonts w:ascii="黑体" w:hAnsi="Times New Roman" w:eastAsia="黑体" w:cs="Times New Roman"/>
      <w:bCs/>
      <w:color w:val="000000"/>
      <w:sz w:val="21"/>
      <w:szCs w:val="24"/>
      <w:lang w:val="en-US" w:eastAsia="zh-CN" w:bidi="ar-SA"/>
    </w:rPr>
  </w:style>
  <w:style w:type="paragraph" w:customStyle="1" w:styleId="781">
    <w:name w:val="zhang正文"/>
    <w:basedOn w:val="29"/>
    <w:qFormat/>
    <w:uiPriority w:val="0"/>
    <w:pPr>
      <w:autoSpaceDE w:val="0"/>
      <w:autoSpaceDN w:val="0"/>
      <w:adjustRightInd w:val="0"/>
      <w:snapToGrid w:val="0"/>
      <w:spacing w:after="0"/>
      <w:ind w:left="0" w:leftChars="0" w:firstLine="539"/>
      <w:textAlignment w:val="baseline"/>
    </w:pPr>
    <w:rPr>
      <w:rFonts w:eastAsia="楷体_GB2312"/>
      <w:bCs/>
      <w:color w:val="000000"/>
    </w:rPr>
  </w:style>
  <w:style w:type="paragraph" w:customStyle="1" w:styleId="782">
    <w:name w:val="In Table"/>
    <w:basedOn w:val="1"/>
    <w:semiHidden/>
    <w:qFormat/>
    <w:uiPriority w:val="0"/>
    <w:pPr>
      <w:tabs>
        <w:tab w:val="left" w:pos="2200"/>
        <w:tab w:val="left" w:pos="3960"/>
        <w:tab w:val="left" w:pos="5280"/>
      </w:tabs>
      <w:spacing w:before="96" w:after="96" w:line="0" w:lineRule="atLeast"/>
      <w:jc w:val="center"/>
    </w:pPr>
    <w:rPr>
      <w:rFonts w:ascii="Tahoma" w:hAnsi="Tahoma" w:eastAsia="华文中宋"/>
      <w:bCs/>
      <w:color w:val="000000"/>
      <w:kern w:val="24"/>
      <w:szCs w:val="20"/>
    </w:rPr>
  </w:style>
  <w:style w:type="paragraph" w:customStyle="1" w:styleId="783">
    <w:name w:val="封皮字体1"/>
    <w:basedOn w:val="1"/>
    <w:qFormat/>
    <w:uiPriority w:val="0"/>
    <w:pPr>
      <w:jc w:val="center"/>
    </w:pPr>
    <w:rPr>
      <w:rFonts w:ascii="黑体" w:eastAsia="黑体"/>
      <w:color w:val="000000"/>
      <w:kern w:val="24"/>
      <w:sz w:val="44"/>
    </w:rPr>
  </w:style>
  <w:style w:type="paragraph" w:customStyle="1" w:styleId="784">
    <w:name w:val="样式 标题 1标题 1 1 + 黑体 小二 非加粗 蓝色 段前: 0 磅 段后: 7.8 磅 行距: 单倍行距"/>
    <w:basedOn w:val="4"/>
    <w:qFormat/>
    <w:uiPriority w:val="0"/>
    <w:pPr>
      <w:keepLines/>
      <w:tabs>
        <w:tab w:val="left" w:pos="432"/>
      </w:tabs>
      <w:overflowPunct/>
      <w:snapToGrid/>
      <w:spacing w:beforeLines="50" w:afterLines="50" w:line="440" w:lineRule="exact"/>
      <w:ind w:firstLine="200"/>
      <w:textAlignment w:val="baseline"/>
    </w:pPr>
    <w:rPr>
      <w:rFonts w:ascii="仿宋体" w:hAnsi="Arial Unicode MS" w:eastAsia="仿宋体" w:cs="Vladimir Script"/>
      <w:b w:val="0"/>
      <w:color w:val="0000FF"/>
      <w:szCs w:val="20"/>
    </w:rPr>
  </w:style>
  <w:style w:type="paragraph" w:customStyle="1" w:styleId="785">
    <w:name w:val="样式6"/>
    <w:basedOn w:val="3"/>
    <w:qFormat/>
    <w:uiPriority w:val="0"/>
    <w:pPr>
      <w:tabs>
        <w:tab w:val="left" w:pos="720"/>
      </w:tabs>
      <w:spacing w:line="480" w:lineRule="exact"/>
      <w:ind w:firstLine="567"/>
    </w:pPr>
    <w:rPr>
      <w:rFonts w:ascii="Times New Roman" w:hAnsi="Times New Roman" w:eastAsia="宋体"/>
      <w:bCs w:val="0"/>
      <w:color w:val="000000"/>
      <w:kern w:val="24"/>
    </w:rPr>
  </w:style>
  <w:style w:type="paragraph" w:customStyle="1" w:styleId="786">
    <w:name w:val="附录二级条标题"/>
    <w:basedOn w:val="731"/>
    <w:next w:val="1"/>
    <w:qFormat/>
    <w:uiPriority w:val="0"/>
    <w:pPr>
      <w:outlineLvl w:val="3"/>
    </w:pPr>
  </w:style>
  <w:style w:type="paragraph" w:customStyle="1" w:styleId="787">
    <w:name w:val="无间隔2"/>
    <w:qFormat/>
    <w:uiPriority w:val="0"/>
    <w:rPr>
      <w:rFonts w:ascii="Vladimir Script" w:hAnsi="Vladimir Script" w:eastAsia="Vladimir Script" w:cs="Vladimir Script"/>
      <w:bCs/>
      <w:color w:val="000000"/>
      <w:kern w:val="2"/>
      <w:sz w:val="22"/>
      <w:szCs w:val="22"/>
      <w:lang w:val="en-US" w:eastAsia="zh-CN" w:bidi="ar-SA"/>
    </w:rPr>
  </w:style>
  <w:style w:type="paragraph" w:customStyle="1" w:styleId="788">
    <w:name w:val="样式 首行缩进:  2 字符19"/>
    <w:basedOn w:val="1"/>
    <w:qFormat/>
    <w:uiPriority w:val="0"/>
    <w:pPr>
      <w:spacing w:line="520" w:lineRule="exact"/>
      <w:ind w:firstLine="560"/>
    </w:pPr>
    <w:rPr>
      <w:bCs/>
      <w:color w:val="000000"/>
      <w:kern w:val="24"/>
    </w:rPr>
  </w:style>
  <w:style w:type="paragraph" w:customStyle="1" w:styleId="789">
    <w:name w:val="正文样式100"/>
    <w:basedOn w:val="1"/>
    <w:qFormat/>
    <w:uiPriority w:val="0"/>
    <w:pPr>
      <w:spacing w:before="50" w:after="50"/>
      <w:ind w:firstLine="480"/>
    </w:pPr>
    <w:rPr>
      <w:rFonts w:ascii="宋体" w:hAnsi="宋体"/>
      <w:bCs/>
      <w:color w:val="000000"/>
      <w:kern w:val="24"/>
      <w:lang w:val="zh-CN"/>
    </w:rPr>
  </w:style>
  <w:style w:type="paragraph" w:customStyle="1" w:styleId="790">
    <w:name w:val="正文宋体四号字"/>
    <w:basedOn w:val="1"/>
    <w:qFormat/>
    <w:uiPriority w:val="0"/>
    <w:pPr>
      <w:adjustRightInd w:val="0"/>
      <w:spacing w:line="560" w:lineRule="exact"/>
      <w:ind w:firstLine="567"/>
      <w:textAlignment w:val="baseline"/>
    </w:pPr>
    <w:rPr>
      <w:rFonts w:ascii="Arial" w:hAnsi="Arial"/>
      <w:bCs/>
      <w:color w:val="000000"/>
      <w:spacing w:val="2"/>
      <w:kern w:val="0"/>
      <w:sz w:val="28"/>
      <w:szCs w:val="20"/>
    </w:rPr>
  </w:style>
  <w:style w:type="paragraph" w:customStyle="1" w:styleId="791">
    <w:name w:val="附录标识"/>
    <w:basedOn w:val="1"/>
    <w:qFormat/>
    <w:uiPriority w:val="0"/>
    <w:pPr>
      <w:widowControl/>
      <w:shd w:val="clear" w:color="FFFFFF" w:fill="FFFFFF"/>
      <w:tabs>
        <w:tab w:val="left" w:pos="6405"/>
      </w:tabs>
      <w:spacing w:before="640" w:after="200"/>
      <w:jc w:val="center"/>
      <w:outlineLvl w:val="0"/>
    </w:pPr>
    <w:rPr>
      <w:rFonts w:ascii="黑体" w:eastAsia="黑体"/>
      <w:bCs/>
      <w:color w:val="000000"/>
      <w:kern w:val="0"/>
      <w:szCs w:val="20"/>
    </w:rPr>
  </w:style>
  <w:style w:type="paragraph" w:customStyle="1" w:styleId="792">
    <w:name w:val="农业部一"/>
    <w:next w:val="28"/>
    <w:qFormat/>
    <w:uiPriority w:val="0"/>
    <w:pPr>
      <w:widowControl w:val="0"/>
      <w:topLinePunct/>
      <w:spacing w:line="360" w:lineRule="atLeast"/>
      <w:jc w:val="center"/>
    </w:pPr>
    <w:rPr>
      <w:rFonts w:ascii="Times New Roman" w:hAnsi="Times New Roman" w:eastAsia="宋体" w:cs="Times New Roman"/>
      <w:bCs/>
      <w:color w:val="000000"/>
      <w:kern w:val="2"/>
      <w:sz w:val="24"/>
      <w:szCs w:val="24"/>
      <w:lang w:val="en-US" w:eastAsia="zh-CN" w:bidi="ar-SA"/>
    </w:rPr>
  </w:style>
  <w:style w:type="paragraph" w:customStyle="1" w:styleId="793">
    <w:name w:val="样式 小四 黑色 首行缩进:  0.74 厘米 行距: 固定值 20 磅"/>
    <w:basedOn w:val="1"/>
    <w:qFormat/>
    <w:uiPriority w:val="0"/>
    <w:pPr>
      <w:spacing w:line="440" w:lineRule="exact"/>
      <w:ind w:firstLine="454"/>
    </w:pPr>
    <w:rPr>
      <w:rFonts w:cs="宋体"/>
      <w:bCs/>
      <w:color w:val="000000"/>
      <w:kern w:val="24"/>
      <w:szCs w:val="20"/>
    </w:rPr>
  </w:style>
  <w:style w:type="paragraph" w:customStyle="1" w:styleId="794">
    <w:name w:val="样式 标题 3标题 3 Char + 段前: 0 磅 段后: 0 磅 行距: 最小值 24 磅"/>
    <w:basedOn w:val="6"/>
    <w:qFormat/>
    <w:uiPriority w:val="0"/>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cs="宋体"/>
      <w:b w:val="0"/>
      <w:bCs w:val="0"/>
      <w:color w:val="000000"/>
      <w:kern w:val="24"/>
      <w:sz w:val="30"/>
      <w:szCs w:val="20"/>
    </w:rPr>
  </w:style>
  <w:style w:type="paragraph" w:customStyle="1" w:styleId="795">
    <w:name w:val="Job Title"/>
    <w:next w:val="796"/>
    <w:qFormat/>
    <w:uiPriority w:val="0"/>
    <w:pPr>
      <w:spacing w:after="40" w:line="220" w:lineRule="atLeast"/>
    </w:pPr>
    <w:rPr>
      <w:rFonts w:ascii="ˎ̥" w:hAnsi="ˎ̥" w:eastAsia="宋体" w:cs="Vladimir Script"/>
      <w:b/>
      <w:bCs/>
      <w:color w:val="000000"/>
      <w:spacing w:val="-10"/>
      <w:sz w:val="24"/>
      <w:szCs w:val="24"/>
      <w:lang w:val="en-US" w:eastAsia="zh-CN" w:bidi="ar-SA"/>
    </w:rPr>
  </w:style>
  <w:style w:type="paragraph" w:customStyle="1" w:styleId="796">
    <w:name w:val="Achievement"/>
    <w:basedOn w:val="28"/>
    <w:qFormat/>
    <w:uiPriority w:val="0"/>
    <w:pPr>
      <w:tabs>
        <w:tab w:val="left" w:pos="960"/>
      </w:tabs>
      <w:snapToGrid/>
      <w:spacing w:before="0" w:after="60" w:line="220" w:lineRule="atLeast"/>
      <w:ind w:left="960" w:right="-360" w:hanging="960"/>
    </w:pPr>
    <w:rPr>
      <w:rFonts w:ascii="Arial Unicode MS" w:hAnsi="Arial Unicode MS" w:eastAsia="Vladimir Script" w:cs="Vladimir Script"/>
      <w:bCs/>
      <w:color w:val="000000"/>
      <w:sz w:val="20"/>
      <w:szCs w:val="24"/>
    </w:rPr>
  </w:style>
  <w:style w:type="paragraph" w:customStyle="1" w:styleId="797">
    <w:name w:val="reader-word-layer reader-word-s1-35"/>
    <w:basedOn w:val="1"/>
    <w:qFormat/>
    <w:uiPriority w:val="0"/>
    <w:pPr>
      <w:widowControl/>
      <w:spacing w:before="100" w:beforeAutospacing="1" w:after="100" w:afterAutospacing="1"/>
    </w:pPr>
    <w:rPr>
      <w:rFonts w:ascii="宋体" w:hAnsi="宋体" w:cs="宋体"/>
      <w:bCs/>
      <w:color w:val="000000"/>
      <w:kern w:val="0"/>
    </w:rPr>
  </w:style>
  <w:style w:type="paragraph" w:customStyle="1" w:styleId="798">
    <w:name w:val="Char1 Char Char Char4"/>
    <w:basedOn w:val="1"/>
    <w:qFormat/>
    <w:uiPriority w:val="0"/>
    <w:pPr>
      <w:snapToGrid w:val="0"/>
      <w:ind w:firstLine="529"/>
    </w:pPr>
    <w:rPr>
      <w:rFonts w:ascii="FLGPEK+TimesNewRoman,Italic" w:hAnsi="FLGPEK+TimesNewRoman,Italic" w:eastAsia="FLGPEK+TimesNewRoman,Italic" w:cs="ˎ̥"/>
      <w:b/>
      <w:bCs/>
      <w:color w:val="000000"/>
      <w:kern w:val="24"/>
      <w:szCs w:val="20"/>
    </w:rPr>
  </w:style>
  <w:style w:type="paragraph" w:customStyle="1" w:styleId="799">
    <w:name w:val="font10"/>
    <w:basedOn w:val="1"/>
    <w:qFormat/>
    <w:uiPriority w:val="0"/>
    <w:pPr>
      <w:widowControl/>
      <w:spacing w:before="100" w:beforeAutospacing="1" w:after="100" w:afterAutospacing="1"/>
    </w:pPr>
    <w:rPr>
      <w:rFonts w:eastAsia="Arial Unicode MS"/>
      <w:b/>
      <w:color w:val="000000"/>
      <w:kern w:val="0"/>
      <w:sz w:val="18"/>
      <w:szCs w:val="18"/>
    </w:rPr>
  </w:style>
  <w:style w:type="paragraph" w:customStyle="1" w:styleId="800">
    <w:name w:val="文本块1"/>
    <w:basedOn w:val="1"/>
    <w:qFormat/>
    <w:uiPriority w:val="0"/>
    <w:pPr>
      <w:ind w:left="471" w:leftChars="200" w:firstLine="706" w:firstLineChars="300"/>
    </w:pPr>
    <w:rPr>
      <w:rFonts w:ascii="Arial Unicode MS" w:hAnsi="Arial Unicode MS" w:cs="Vladimir Script"/>
      <w:bCs/>
      <w:color w:val="000000"/>
      <w:kern w:val="24"/>
    </w:rPr>
  </w:style>
  <w:style w:type="paragraph" w:customStyle="1" w:styleId="801">
    <w:name w:val="表格2"/>
    <w:basedOn w:val="1"/>
    <w:qFormat/>
    <w:uiPriority w:val="0"/>
    <w:pPr>
      <w:adjustRightInd w:val="0"/>
      <w:spacing w:line="320" w:lineRule="exact"/>
      <w:jc w:val="center"/>
      <w:textAlignment w:val="baseline"/>
    </w:pPr>
    <w:rPr>
      <w:bCs/>
      <w:color w:val="000000"/>
      <w:kern w:val="24"/>
    </w:rPr>
  </w:style>
  <w:style w:type="paragraph" w:customStyle="1" w:styleId="802">
    <w:name w:val="表格下注"/>
    <w:qFormat/>
    <w:uiPriority w:val="0"/>
    <w:pPr>
      <w:autoSpaceDE w:val="0"/>
      <w:autoSpaceDN w:val="0"/>
      <w:ind w:firstLine="200" w:firstLineChars="200"/>
      <w:jc w:val="both"/>
    </w:pPr>
    <w:rPr>
      <w:rFonts w:ascii="Times New Roman" w:hAnsi="Times New Roman" w:eastAsia="黑体" w:cs="Times New Roman"/>
      <w:bCs/>
      <w:color w:val="000000"/>
      <w:sz w:val="21"/>
      <w:szCs w:val="24"/>
      <w:lang w:val="en-US" w:eastAsia="zh-CN" w:bidi="ar-SA"/>
    </w:rPr>
  </w:style>
  <w:style w:type="paragraph" w:customStyle="1" w:styleId="803">
    <w:name w:val="xl7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rPr>
  </w:style>
  <w:style w:type="paragraph" w:customStyle="1" w:styleId="804">
    <w:name w:val="块项目"/>
    <w:next w:val="1"/>
    <w:qFormat/>
    <w:uiPriority w:val="0"/>
    <w:pPr>
      <w:tabs>
        <w:tab w:val="left" w:pos="840"/>
      </w:tabs>
      <w:spacing w:before="120" w:after="120"/>
      <w:ind w:firstLine="420"/>
    </w:pPr>
    <w:rPr>
      <w:rFonts w:ascii="Times New Roman" w:hAnsi="Times New Roman" w:eastAsia="宋体" w:cs="Times New Roman"/>
      <w:b/>
      <w:bCs/>
      <w:color w:val="000000"/>
      <w:spacing w:val="20"/>
      <w:sz w:val="24"/>
      <w:szCs w:val="24"/>
      <w:lang w:val="en-US" w:eastAsia="zh-CN" w:bidi="ar-SA"/>
    </w:rPr>
  </w:style>
  <w:style w:type="paragraph" w:customStyle="1" w:styleId="805">
    <w:name w:val="Char1"/>
    <w:basedOn w:val="1"/>
    <w:qFormat/>
    <w:uiPriority w:val="0"/>
    <w:pPr>
      <w:spacing w:beforeLines="50"/>
      <w:ind w:firstLine="560"/>
    </w:pPr>
    <w:rPr>
      <w:rFonts w:eastAsia="仿宋_GB2312"/>
      <w:bCs/>
      <w:color w:val="000000"/>
      <w:kern w:val="24"/>
      <w:sz w:val="28"/>
      <w:szCs w:val="20"/>
    </w:rPr>
  </w:style>
  <w:style w:type="paragraph" w:customStyle="1" w:styleId="806">
    <w:name w:val="默认段落字体 Para Char Char Char Char"/>
    <w:basedOn w:val="1"/>
    <w:qFormat/>
    <w:uiPriority w:val="0"/>
    <w:pPr>
      <w:ind w:firstLine="200"/>
    </w:pPr>
    <w:rPr>
      <w:rFonts w:ascii="宋体" w:hAnsi="宋体" w:cs="宋体"/>
      <w:bCs/>
      <w:color w:val="000000"/>
      <w:kern w:val="24"/>
    </w:rPr>
  </w:style>
  <w:style w:type="paragraph" w:customStyle="1" w:styleId="807">
    <w:name w:val="Char Char19 Char Char1"/>
    <w:basedOn w:val="1"/>
    <w:next w:val="1"/>
    <w:semiHidden/>
    <w:qFormat/>
    <w:uiPriority w:val="0"/>
    <w:pPr>
      <w:ind w:firstLine="200"/>
    </w:pPr>
    <w:rPr>
      <w:rFonts w:ascii="宋体" w:hAnsi="宋体" w:cs="宋体"/>
    </w:rPr>
  </w:style>
  <w:style w:type="paragraph" w:customStyle="1" w:styleId="808">
    <w:name w:val="Char6 Char Char Char Char Char Char Char Char Char"/>
    <w:basedOn w:val="1"/>
    <w:qFormat/>
    <w:uiPriority w:val="0"/>
    <w:pPr>
      <w:spacing w:line="440" w:lineRule="exact"/>
      <w:ind w:firstLine="200"/>
    </w:pPr>
    <w:rPr>
      <w:rFonts w:ascii="Sim Sun" w:hAnsi="Sim Sun" w:cs="Vladimir Script"/>
      <w:bCs/>
      <w:color w:val="000000"/>
      <w:kern w:val="24"/>
      <w:sz w:val="28"/>
      <w:szCs w:val="20"/>
    </w:rPr>
  </w:style>
  <w:style w:type="paragraph" w:customStyle="1" w:styleId="809">
    <w:name w:val="WW-普通文字"/>
    <w:basedOn w:val="1"/>
    <w:qFormat/>
    <w:uiPriority w:val="0"/>
    <w:pPr>
      <w:suppressAutoHyphens/>
    </w:pPr>
    <w:rPr>
      <w:rFonts w:ascii="宋体" w:hAnsi="宋体"/>
      <w:bCs/>
      <w:color w:val="000000"/>
      <w:kern w:val="1"/>
      <w:szCs w:val="20"/>
      <w:lang w:eastAsia="ar-SA"/>
    </w:rPr>
  </w:style>
  <w:style w:type="paragraph" w:customStyle="1" w:styleId="810">
    <w:name w:val="Char Char1 Char Char Char Char Char Char Char1"/>
    <w:basedOn w:val="1"/>
    <w:qFormat/>
    <w:uiPriority w:val="0"/>
    <w:rPr>
      <w:rFonts w:ascii="Batang" w:hAnsi="Batang" w:cs="Batang"/>
      <w:bCs/>
      <w:color w:val="000000"/>
      <w:kern w:val="24"/>
    </w:rPr>
  </w:style>
  <w:style w:type="paragraph" w:customStyle="1" w:styleId="811">
    <w:name w:val="gb1"/>
    <w:basedOn w:val="1"/>
    <w:semiHidden/>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bCs/>
      <w:color w:val="000000"/>
      <w:kern w:val="0"/>
      <w:szCs w:val="20"/>
    </w:rPr>
  </w:style>
  <w:style w:type="paragraph" w:customStyle="1" w:styleId="812">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813">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rFonts w:eastAsia="Arial Unicode MS"/>
      <w:bCs/>
      <w:color w:val="000000"/>
      <w:kern w:val="0"/>
      <w:sz w:val="20"/>
      <w:szCs w:val="20"/>
    </w:rPr>
  </w:style>
  <w:style w:type="paragraph" w:customStyle="1" w:styleId="814">
    <w:name w:val="样式 样式 表格文字统一样式 + Arial 小五 非加粗 自动设置 行距: 单倍行距1 + 段后: 0.5 行1"/>
    <w:basedOn w:val="815"/>
    <w:qFormat/>
    <w:uiPriority w:val="0"/>
  </w:style>
  <w:style w:type="paragraph" w:customStyle="1" w:styleId="815">
    <w:name w:val="样式 表格文字统一样式 + Arial 小五 非加粗 自动设置 行距: 单倍行距1"/>
    <w:basedOn w:val="264"/>
    <w:qFormat/>
    <w:uiPriority w:val="0"/>
    <w:rPr>
      <w:rFonts w:ascii="ˎ̥" w:hAnsi="ˎ̥"/>
    </w:rPr>
  </w:style>
  <w:style w:type="paragraph" w:customStyle="1" w:styleId="816">
    <w:name w:val="样式 四号 行距: 1.0 倍行距"/>
    <w:basedOn w:val="1"/>
    <w:qFormat/>
    <w:uiPriority w:val="0"/>
    <w:rPr>
      <w:bCs/>
      <w:color w:val="000000"/>
      <w:kern w:val="24"/>
      <w:sz w:val="28"/>
      <w:szCs w:val="20"/>
    </w:rPr>
  </w:style>
  <w:style w:type="paragraph" w:customStyle="1" w:styleId="817">
    <w:name w:val="项目符号1"/>
    <w:basedOn w:val="1"/>
    <w:qFormat/>
    <w:uiPriority w:val="0"/>
    <w:pPr>
      <w:tabs>
        <w:tab w:val="left" w:pos="1280"/>
      </w:tabs>
      <w:overflowPunct w:val="0"/>
      <w:snapToGrid w:val="0"/>
      <w:spacing w:line="480" w:lineRule="exact"/>
      <w:ind w:left="1280" w:firstLine="567"/>
    </w:pPr>
    <w:rPr>
      <w:rFonts w:ascii="Arial" w:hAnsi="Arial" w:eastAsia="仿宋_GB2312"/>
      <w:bCs/>
      <w:color w:val="000000"/>
      <w:kern w:val="24"/>
      <w:sz w:val="28"/>
      <w:szCs w:val="20"/>
    </w:rPr>
  </w:style>
  <w:style w:type="paragraph" w:customStyle="1" w:styleId="818">
    <w:name w:val="样式 标题 2标题2二级 标题 2H2h2第一层条标题 2 Char节标题节11 Char标题 2 Cha...1"/>
    <w:basedOn w:val="5"/>
    <w:qFormat/>
    <w:uiPriority w:val="0"/>
    <w:pPr>
      <w:keepNext w:val="0"/>
      <w:keepLines w:val="0"/>
      <w:adjustRightInd w:val="0"/>
      <w:spacing w:before="240" w:after="240" w:line="360" w:lineRule="exact"/>
      <w:ind w:left="578" w:hanging="578"/>
      <w:textAlignment w:val="baseline"/>
    </w:pPr>
    <w:rPr>
      <w:rFonts w:ascii="Arial Unicode MS" w:hAnsi="Arial Unicode MS" w:eastAsia="Garamond" w:cs="Vladimir Script"/>
      <w:color w:val="000000"/>
      <w:kern w:val="24"/>
      <w:sz w:val="24"/>
      <w:szCs w:val="20"/>
    </w:rPr>
  </w:style>
  <w:style w:type="paragraph" w:customStyle="1" w:styleId="819">
    <w:name w:val="表格后样式"/>
    <w:basedOn w:val="789"/>
    <w:qFormat/>
    <w:uiPriority w:val="0"/>
    <w:pPr>
      <w:spacing w:before="0" w:after="0"/>
    </w:pPr>
    <w:rPr>
      <w:lang w:val="en-US"/>
    </w:rPr>
  </w:style>
  <w:style w:type="paragraph" w:customStyle="1" w:styleId="820">
    <w:name w:val="navitext"/>
    <w:basedOn w:val="1"/>
    <w:qFormat/>
    <w:uiPriority w:val="0"/>
    <w:pPr>
      <w:widowControl/>
      <w:spacing w:before="100" w:beforeAutospacing="1" w:after="100" w:afterAutospacing="1"/>
    </w:pPr>
    <w:rPr>
      <w:rFonts w:ascii="宋体" w:hAnsi="宋体" w:cs="宋体"/>
      <w:bCs/>
      <w:color w:val="000000"/>
      <w:kern w:val="0"/>
      <w:sz w:val="18"/>
      <w:szCs w:val="18"/>
    </w:rPr>
  </w:style>
  <w:style w:type="paragraph" w:customStyle="1" w:styleId="821">
    <w:name w:val="样式 四号 首行缩进:  2 字符"/>
    <w:basedOn w:val="1"/>
    <w:qFormat/>
    <w:uiPriority w:val="0"/>
    <w:pPr>
      <w:spacing w:line="480" w:lineRule="atLeast"/>
      <w:ind w:firstLine="480"/>
    </w:pPr>
    <w:rPr>
      <w:bCs/>
      <w:color w:val="000000"/>
      <w:kern w:val="24"/>
    </w:rPr>
  </w:style>
  <w:style w:type="paragraph" w:customStyle="1" w:styleId="822">
    <w:name w:val="样式 正文文本缩进 2正文文字缩进 2 + 四号 蓝色"/>
    <w:basedOn w:val="44"/>
    <w:qFormat/>
    <w:uiPriority w:val="0"/>
    <w:pPr>
      <w:ind w:firstLine="709"/>
    </w:pPr>
    <w:rPr>
      <w:rFonts w:ascii="Times New Roman" w:hAnsi="Times New Roman"/>
      <w:color w:val="0000FF"/>
      <w:sz w:val="24"/>
      <w:szCs w:val="24"/>
    </w:rPr>
  </w:style>
  <w:style w:type="paragraph" w:customStyle="1" w:styleId="823">
    <w:name w:val="Char Char Char Char Char Char Char Char Char Char Char1"/>
    <w:basedOn w:val="1"/>
    <w:qFormat/>
    <w:uiPriority w:val="0"/>
    <w:rPr>
      <w:rFonts w:ascii="Batang" w:hAnsi="Batang" w:cs="Batang"/>
      <w:bCs/>
      <w:color w:val="000000"/>
      <w:kern w:val="24"/>
    </w:rPr>
  </w:style>
  <w:style w:type="paragraph" w:customStyle="1" w:styleId="824">
    <w:name w:val="font5"/>
    <w:basedOn w:val="1"/>
    <w:qFormat/>
    <w:uiPriority w:val="0"/>
    <w:pPr>
      <w:widowControl/>
      <w:spacing w:before="100" w:beforeAutospacing="1" w:after="100" w:afterAutospacing="1"/>
    </w:pPr>
    <w:rPr>
      <w:rFonts w:hint="eastAsia" w:ascii="宋体" w:hAnsi="宋体" w:cs="Arial Unicode MS"/>
      <w:bCs/>
      <w:color w:val="000000"/>
      <w:kern w:val="0"/>
      <w:sz w:val="18"/>
      <w:szCs w:val="18"/>
    </w:rPr>
  </w:style>
  <w:style w:type="paragraph" w:customStyle="1" w:styleId="825">
    <w:name w:val="样式 标题 1 + 加粗"/>
    <w:basedOn w:val="4"/>
    <w:qFormat/>
    <w:uiPriority w:val="0"/>
    <w:pPr>
      <w:keepLines/>
      <w:widowControl/>
      <w:overflowPunct/>
      <w:adjustRightInd w:val="0"/>
      <w:spacing w:before="360" w:after="360" w:line="480" w:lineRule="atLeast"/>
      <w:ind w:left="0" w:firstLine="0"/>
    </w:pPr>
    <w:rPr>
      <w:sz w:val="36"/>
      <w:szCs w:val="36"/>
    </w:rPr>
  </w:style>
  <w:style w:type="paragraph" w:customStyle="1" w:styleId="826">
    <w:name w:val="样式 标题 1 + 加粗 首行缩进:  0 厘米"/>
    <w:basedOn w:val="4"/>
    <w:qFormat/>
    <w:uiPriority w:val="0"/>
    <w:pPr>
      <w:keepLines/>
      <w:widowControl/>
      <w:overflowPunct/>
      <w:adjustRightInd w:val="0"/>
      <w:spacing w:before="360" w:after="360" w:line="480" w:lineRule="atLeast"/>
      <w:ind w:left="0" w:firstLine="0"/>
    </w:pPr>
    <w:rPr>
      <w:rFonts w:eastAsia="宋体" w:cs="宋体"/>
      <w:sz w:val="36"/>
      <w:szCs w:val="36"/>
    </w:rPr>
  </w:style>
  <w:style w:type="paragraph" w:customStyle="1" w:styleId="827">
    <w:name w:val="三级标题"/>
    <w:basedOn w:val="6"/>
    <w:next w:val="781"/>
    <w:qFormat/>
    <w:uiPriority w:val="0"/>
    <w:pPr>
      <w:tabs>
        <w:tab w:val="left" w:pos="1260"/>
        <w:tab w:val="left" w:pos="1800"/>
      </w:tabs>
      <w:adjustRightInd w:val="0"/>
      <w:spacing w:before="0" w:after="0" w:line="240" w:lineRule="auto"/>
      <w:textAlignment w:val="baseline"/>
    </w:pPr>
    <w:rPr>
      <w:rFonts w:eastAsia="黑体"/>
      <w:b w:val="0"/>
      <w:color w:val="000000"/>
      <w:kern w:val="0"/>
      <w:sz w:val="28"/>
      <w:szCs w:val="20"/>
    </w:rPr>
  </w:style>
  <w:style w:type="paragraph" w:customStyle="1" w:styleId="828">
    <w:name w:val="5#表格"/>
    <w:basedOn w:val="1"/>
    <w:qFormat/>
    <w:uiPriority w:val="0"/>
    <w:pPr>
      <w:tabs>
        <w:tab w:val="left" w:pos="600"/>
      </w:tabs>
      <w:adjustRightInd w:val="0"/>
      <w:spacing w:line="360" w:lineRule="exact"/>
      <w:ind w:firstLine="200"/>
      <w:jc w:val="center"/>
    </w:pPr>
    <w:rPr>
      <w:rFonts w:ascii="Arial Unicode MS" w:hAnsi="Arial Unicode MS" w:cs="Vladimir Script"/>
      <w:bCs/>
      <w:color w:val="000000"/>
      <w:kern w:val="0"/>
      <w:szCs w:val="21"/>
    </w:rPr>
  </w:style>
  <w:style w:type="paragraph" w:customStyle="1" w:styleId="829">
    <w:name w:val="Char Char Char Char Char Char Char Char Char Char Char Char Char Char Char Char Char Char Char Char Char Char"/>
    <w:basedOn w:val="1"/>
    <w:qFormat/>
    <w:uiPriority w:val="0"/>
    <w:pPr>
      <w:widowControl/>
      <w:spacing w:after="160" w:line="240" w:lineRule="exact"/>
      <w:ind w:firstLine="560"/>
    </w:pPr>
    <w:rPr>
      <w:rFonts w:ascii="Verdana" w:hAnsi="Verdana" w:eastAsia="MS Mincho" w:cs="Verdana"/>
      <w:bCs/>
      <w:color w:val="000000"/>
      <w:kern w:val="0"/>
      <w:sz w:val="20"/>
      <w:szCs w:val="20"/>
      <w:lang w:eastAsia="en-US"/>
    </w:rPr>
  </w:style>
  <w:style w:type="paragraph" w:customStyle="1" w:styleId="830">
    <w:name w:val="样式 正文宋体小四 + 首行缩进:  2 字符"/>
    <w:basedOn w:val="1"/>
    <w:qFormat/>
    <w:uiPriority w:val="0"/>
    <w:pPr>
      <w:spacing w:line="440" w:lineRule="exact"/>
      <w:ind w:firstLine="480"/>
    </w:pPr>
    <w:rPr>
      <w:rFonts w:ascii="Arial Unicode MS" w:hAnsi="Arial Unicode MS" w:cs="Sim Sun"/>
      <w:bCs/>
      <w:color w:val="000000"/>
      <w:kern w:val="24"/>
    </w:rPr>
  </w:style>
  <w:style w:type="paragraph" w:customStyle="1" w:styleId="831">
    <w:name w:val="Char Char1 Char"/>
    <w:basedOn w:val="1"/>
    <w:qFormat/>
    <w:uiPriority w:val="0"/>
    <w:rPr>
      <w:rFonts w:ascii="Batang" w:hAnsi="Batang" w:cs="Batang"/>
      <w:bCs/>
      <w:color w:val="000000"/>
      <w:kern w:val="24"/>
    </w:rPr>
  </w:style>
  <w:style w:type="paragraph" w:customStyle="1" w:styleId="832">
    <w:name w:val="Char Char7 Char Char Char Char Char Char"/>
    <w:basedOn w:val="6"/>
    <w:qFormat/>
    <w:uiPriority w:val="0"/>
    <w:pPr>
      <w:tabs>
        <w:tab w:val="left" w:pos="360"/>
        <w:tab w:val="left" w:pos="900"/>
      </w:tabs>
      <w:snapToGrid w:val="0"/>
      <w:spacing w:before="120" w:after="120" w:line="360" w:lineRule="auto"/>
      <w:ind w:left="542" w:leftChars="-12" w:firstLine="200"/>
    </w:pPr>
    <w:rPr>
      <w:rFonts w:ascii="ˎ̥" w:hAnsi="ˎ̥" w:eastAsia="@幼圆" w:cs="ˎ̥"/>
      <w:b w:val="0"/>
      <w:snapToGrid w:val="0"/>
      <w:color w:val="000000"/>
      <w:kern w:val="24"/>
      <w:sz w:val="24"/>
      <w:szCs w:val="24"/>
    </w:rPr>
  </w:style>
  <w:style w:type="paragraph" w:customStyle="1" w:styleId="833">
    <w:name w:val="样式 正文（首行缩进两字） Char1标题4 + (符号) 宋体 小四 首行缩进:  0.85 厘米"/>
    <w:basedOn w:val="1"/>
    <w:qFormat/>
    <w:uiPriority w:val="0"/>
    <w:pPr>
      <w:adjustRightInd w:val="0"/>
      <w:spacing w:line="440" w:lineRule="atLeast"/>
      <w:ind w:firstLine="482"/>
    </w:pPr>
    <w:rPr>
      <w:rFonts w:ascii="Arial Unicode MS" w:hAnsi="Sim Sun" w:cs="Sim Sun"/>
      <w:bCs/>
      <w:color w:val="000000"/>
      <w:kern w:val="0"/>
      <w:szCs w:val="20"/>
    </w:rPr>
  </w:style>
  <w:style w:type="paragraph" w:customStyle="1" w:styleId="834">
    <w:name w:val="Char Char Char Char Char Char Char Char Char Char Char1 Char Char Char Char"/>
    <w:basedOn w:val="1"/>
    <w:qFormat/>
    <w:uiPriority w:val="0"/>
    <w:rPr>
      <w:rFonts w:ascii="Batang" w:hAnsi="Batang" w:cs="Batang"/>
      <w:bCs/>
      <w:color w:val="000000"/>
      <w:kern w:val="24"/>
    </w:rPr>
  </w:style>
  <w:style w:type="paragraph" w:customStyle="1" w:styleId="835">
    <w:name w:val="Identation 2"/>
    <w:qFormat/>
    <w:uiPriority w:val="0"/>
    <w:pPr>
      <w:overflowPunct w:val="0"/>
      <w:autoSpaceDE w:val="0"/>
      <w:autoSpaceDN w:val="0"/>
      <w:adjustRightInd w:val="0"/>
      <w:spacing w:before="120" w:after="60" w:line="288" w:lineRule="auto"/>
      <w:ind w:left="432"/>
      <w:jc w:val="both"/>
      <w:textAlignment w:val="baseline"/>
    </w:pPr>
    <w:rPr>
      <w:rFonts w:ascii="Batang" w:hAnsi="Batang" w:eastAsia="ӗԲ" w:cs="Batang"/>
      <w:bCs/>
      <w:color w:val="000000"/>
      <w:sz w:val="24"/>
      <w:szCs w:val="24"/>
      <w:lang w:val="en-US" w:eastAsia="zh-CN" w:bidi="ar-SA"/>
    </w:rPr>
  </w:style>
  <w:style w:type="paragraph" w:customStyle="1" w:styleId="836">
    <w:name w:val="新标题2"/>
    <w:basedOn w:val="1"/>
    <w:qFormat/>
    <w:uiPriority w:val="0"/>
    <w:pPr>
      <w:keepNext/>
      <w:autoSpaceDE w:val="0"/>
      <w:autoSpaceDN w:val="0"/>
      <w:adjustRightInd w:val="0"/>
      <w:spacing w:before="120" w:after="120" w:line="460" w:lineRule="exact"/>
      <w:outlineLvl w:val="1"/>
    </w:pPr>
    <w:rPr>
      <w:rFonts w:ascii="FLGPEK+TimesNewRoman,Italic" w:hAnsi="Batang" w:eastAsia="FLGPEK+TimesNewRoman,Italic" w:cs="Sim Sun"/>
      <w:b/>
      <w:color w:val="000000"/>
      <w:kern w:val="24"/>
      <w:lang w:val="zh-CN"/>
    </w:rPr>
  </w:style>
  <w:style w:type="paragraph" w:customStyle="1" w:styleId="837">
    <w:name w:val="Char2 Char Char Char"/>
    <w:basedOn w:val="1"/>
    <w:semiHidden/>
    <w:qFormat/>
    <w:uiPriority w:val="0"/>
    <w:pPr>
      <w:adjustRightInd w:val="0"/>
      <w:snapToGrid w:val="0"/>
    </w:pPr>
    <w:rPr>
      <w:rFonts w:eastAsia="黑体"/>
      <w:bCs/>
      <w:snapToGrid w:val="0"/>
      <w:color w:val="000000"/>
      <w:kern w:val="24"/>
    </w:rPr>
  </w:style>
  <w:style w:type="paragraph" w:customStyle="1" w:styleId="838">
    <w:name w:val="标题 2级"/>
    <w:basedOn w:val="1"/>
    <w:next w:val="1"/>
    <w:qFormat/>
    <w:uiPriority w:val="0"/>
    <w:pPr>
      <w:snapToGrid w:val="0"/>
      <w:spacing w:beforeLines="50" w:afterLines="50"/>
      <w:outlineLvl w:val="1"/>
    </w:pPr>
    <w:rPr>
      <w:rFonts w:ascii="ˎ̥" w:hAnsi="ˎ̥" w:eastAsia="FLGPEK+TimesNewRoman,Italic" w:cs="ˎ̥"/>
      <w:b/>
      <w:bCs/>
      <w:color w:val="000000"/>
      <w:kern w:val="24"/>
      <w:sz w:val="28"/>
    </w:rPr>
  </w:style>
  <w:style w:type="paragraph" w:customStyle="1" w:styleId="839">
    <w:name w:val="WW-表格1"/>
    <w:basedOn w:val="1"/>
    <w:qFormat/>
    <w:uiPriority w:val="0"/>
    <w:pPr>
      <w:suppressAutoHyphens/>
      <w:snapToGrid w:val="0"/>
      <w:spacing w:before="20" w:after="20"/>
      <w:jc w:val="center"/>
    </w:pPr>
    <w:rPr>
      <w:bCs/>
      <w:color w:val="000000"/>
      <w:kern w:val="1"/>
      <w:szCs w:val="20"/>
      <w:lang w:eastAsia="ar-SA"/>
    </w:rPr>
  </w:style>
  <w:style w:type="paragraph" w:customStyle="1" w:styleId="840">
    <w:name w:val="编号圆圈数字"/>
    <w:basedOn w:val="1"/>
    <w:qFormat/>
    <w:uiPriority w:val="0"/>
    <w:pPr>
      <w:tabs>
        <w:tab w:val="left" w:pos="597"/>
      </w:tabs>
      <w:ind w:left="140" w:firstLine="480"/>
    </w:pPr>
    <w:rPr>
      <w:bCs/>
      <w:color w:val="000000"/>
      <w:kern w:val="24"/>
    </w:rPr>
  </w:style>
  <w:style w:type="paragraph" w:customStyle="1" w:styleId="841">
    <w:name w:val="4标题(治)"/>
    <w:basedOn w:val="1"/>
    <w:next w:val="1"/>
    <w:qFormat/>
    <w:uiPriority w:val="0"/>
    <w:pPr>
      <w:adjustRightInd w:val="0"/>
      <w:snapToGrid w:val="0"/>
      <w:textAlignment w:val="baseline"/>
      <w:outlineLvl w:val="3"/>
    </w:pPr>
    <w:rPr>
      <w:rFonts w:eastAsia="黑体"/>
      <w:b/>
      <w:color w:val="000000"/>
      <w:kern w:val="0"/>
      <w:sz w:val="28"/>
      <w:szCs w:val="20"/>
    </w:rPr>
  </w:style>
  <w:style w:type="paragraph" w:customStyle="1" w:styleId="842">
    <w:name w:val="条(二级)"/>
    <w:basedOn w:val="5"/>
    <w:next w:val="843"/>
    <w:qFormat/>
    <w:uiPriority w:val="0"/>
    <w:pPr>
      <w:adjustRightInd w:val="0"/>
      <w:spacing w:before="0" w:after="0" w:line="460" w:lineRule="exact"/>
      <w:ind w:firstLine="200"/>
      <w:textAlignment w:val="baseline"/>
      <w:outlineLvl w:val="9"/>
    </w:pPr>
    <w:rPr>
      <w:rFonts w:ascii="Sim Sun" w:hAnsi="ˎ̥" w:eastAsia="宋体-方正超大字符集" w:cs="Vladimir Script"/>
      <w:color w:val="000000"/>
      <w:spacing w:val="3"/>
      <w:kern w:val="24"/>
      <w:sz w:val="24"/>
      <w:szCs w:val="20"/>
    </w:rPr>
  </w:style>
  <w:style w:type="paragraph" w:customStyle="1" w:styleId="843">
    <w:name w:val="条(三级)"/>
    <w:basedOn w:val="842"/>
    <w:next w:val="1"/>
    <w:qFormat/>
    <w:uiPriority w:val="0"/>
    <w:rPr>
      <w:b w:val="0"/>
    </w:rPr>
  </w:style>
  <w:style w:type="paragraph" w:customStyle="1" w:styleId="844">
    <w:name w:val="样式 正文首行缩进 + 首行缩进:  2 字符1"/>
    <w:basedOn w:val="253"/>
    <w:qFormat/>
    <w:uiPriority w:val="0"/>
    <w:pPr>
      <w:spacing w:after="0" w:line="360" w:lineRule="auto"/>
      <w:ind w:firstLine="480" w:firstLineChars="200"/>
    </w:pPr>
    <w:rPr>
      <w:lang w:val="zh-CN"/>
    </w:rPr>
  </w:style>
  <w:style w:type="paragraph" w:customStyle="1" w:styleId="845">
    <w:name w:val="样式 生物附录 + 小四 段前: 6 磅 段后: 6 磅 非加宽量 / 紧缩量  行距: 1.5 倍行距1"/>
    <w:basedOn w:val="1"/>
    <w:qFormat/>
    <w:uiPriority w:val="0"/>
    <w:pPr>
      <w:widowControl/>
      <w:spacing w:before="120" w:after="120"/>
    </w:pPr>
    <w:rPr>
      <w:b/>
      <w:color w:val="000000"/>
      <w:kern w:val="24"/>
      <w:szCs w:val="20"/>
    </w:rPr>
  </w:style>
  <w:style w:type="paragraph" w:customStyle="1" w:styleId="846">
    <w:name w:val="样式 标题 2标题2二级 标题 2H2h2第一层条标题 2 Char节标题节11 Char标题 2 Cha...2"/>
    <w:basedOn w:val="5"/>
    <w:qFormat/>
    <w:uiPriority w:val="0"/>
    <w:pPr>
      <w:keepNext w:val="0"/>
      <w:keepLines w:val="0"/>
      <w:adjustRightInd w:val="0"/>
      <w:spacing w:before="240" w:after="240" w:line="360" w:lineRule="exact"/>
      <w:ind w:left="578" w:hanging="578"/>
      <w:textAlignment w:val="baseline"/>
    </w:pPr>
    <w:rPr>
      <w:rFonts w:ascii="Arial Unicode MS" w:hAnsi="Arial Unicode MS" w:eastAsia="Garamond" w:cs="Vladimir Script"/>
      <w:color w:val="000000"/>
      <w:kern w:val="0"/>
      <w:sz w:val="24"/>
      <w:szCs w:val="20"/>
    </w:rPr>
  </w:style>
  <w:style w:type="paragraph" w:customStyle="1" w:styleId="847">
    <w:name w:val="样式 标题 1 + 首行缩进:  2 字符 段前: 12 磅 段后: 12 磅 行距: 最小值 24 磅"/>
    <w:basedOn w:val="4"/>
    <w:qFormat/>
    <w:uiPriority w:val="0"/>
    <w:pPr>
      <w:keepLines/>
      <w:overflowPunct/>
      <w:adjustRightInd w:val="0"/>
      <w:spacing w:before="240" w:after="240" w:line="480" w:lineRule="atLeast"/>
      <w:ind w:left="0" w:firstLine="0"/>
    </w:pPr>
    <w:rPr>
      <w:rFonts w:eastAsia="宋体"/>
      <w:sz w:val="36"/>
      <w:szCs w:val="20"/>
    </w:rPr>
  </w:style>
  <w:style w:type="paragraph" w:customStyle="1" w:styleId="848">
    <w:name w:val="纯文本11"/>
    <w:basedOn w:val="1"/>
    <w:qFormat/>
    <w:uiPriority w:val="0"/>
    <w:pPr>
      <w:adjustRightInd w:val="0"/>
      <w:spacing w:line="440" w:lineRule="exact"/>
      <w:ind w:firstLine="200"/>
      <w:textAlignment w:val="baseline"/>
    </w:pPr>
    <w:rPr>
      <w:rFonts w:ascii="Sim Sun" w:hAnsi="DFKai-SB" w:cs="Vladimir Script"/>
      <w:bCs/>
      <w:color w:val="000000"/>
      <w:kern w:val="24"/>
      <w:szCs w:val="20"/>
    </w:rPr>
  </w:style>
  <w:style w:type="paragraph" w:customStyle="1" w:styleId="849">
    <w:name w:val="Char6 Char Char Char Char Char Char Char Char Char1"/>
    <w:basedOn w:val="1"/>
    <w:qFormat/>
    <w:uiPriority w:val="0"/>
    <w:pPr>
      <w:spacing w:line="440" w:lineRule="exact"/>
      <w:ind w:firstLine="200"/>
    </w:pPr>
    <w:rPr>
      <w:rFonts w:ascii="Sim Sun" w:hAnsi="Sim Sun" w:cs="Vladimir Script"/>
      <w:bCs/>
      <w:color w:val="000000"/>
      <w:kern w:val="24"/>
      <w:sz w:val="28"/>
      <w:szCs w:val="20"/>
    </w:rPr>
  </w:style>
  <w:style w:type="paragraph" w:customStyle="1" w:styleId="850">
    <w:name w:val="我的样式（正文）"/>
    <w:basedOn w:val="1"/>
    <w:qFormat/>
    <w:uiPriority w:val="0"/>
    <w:pPr>
      <w:spacing w:line="440" w:lineRule="exact"/>
    </w:pPr>
    <w:rPr>
      <w:rFonts w:ascii="宋体"/>
      <w:bCs/>
      <w:color w:val="000000"/>
      <w:kern w:val="24"/>
      <w:sz w:val="28"/>
      <w:szCs w:val="20"/>
    </w:rPr>
  </w:style>
  <w:style w:type="paragraph" w:customStyle="1" w:styleId="851">
    <w:name w:val="基准页眉样式"/>
    <w:basedOn w:val="28"/>
    <w:qFormat/>
    <w:uiPriority w:val="0"/>
    <w:pPr>
      <w:keepLines/>
      <w:tabs>
        <w:tab w:val="center" w:pos="-18551"/>
        <w:tab w:val="right" w:pos="4320"/>
      </w:tabs>
      <w:snapToGrid/>
      <w:spacing w:before="0" w:after="0" w:line="240" w:lineRule="atLeast"/>
      <w:ind w:right="0"/>
      <w:jc w:val="center"/>
    </w:pPr>
    <w:rPr>
      <w:rFonts w:ascii="Garamond" w:hAnsi="Garamond"/>
      <w:bCs/>
      <w:smallCaps/>
      <w:color w:val="000000"/>
      <w:spacing w:val="15"/>
      <w:sz w:val="21"/>
    </w:rPr>
  </w:style>
  <w:style w:type="paragraph" w:customStyle="1" w:styleId="852">
    <w:name w:val="表格式样新"/>
    <w:basedOn w:val="1"/>
    <w:qFormat/>
    <w:uiPriority w:val="0"/>
    <w:pPr>
      <w:autoSpaceDE w:val="0"/>
      <w:autoSpaceDN w:val="0"/>
      <w:spacing w:line="360" w:lineRule="exact"/>
      <w:ind w:left="-15" w:leftChars="-51" w:hanging="107" w:hangingChars="51"/>
      <w:jc w:val="center"/>
    </w:pPr>
    <w:rPr>
      <w:rFonts w:ascii="Garamond" w:hAnsi="Arial Unicode MS" w:eastAsia="Garamond" w:cs="Vladimir Script"/>
      <w:bCs/>
      <w:color w:val="000000"/>
      <w:kern w:val="24"/>
      <w:szCs w:val="20"/>
    </w:rPr>
  </w:style>
  <w:style w:type="paragraph" w:customStyle="1" w:styleId="853">
    <w:name w:val="方框"/>
    <w:basedOn w:val="1"/>
    <w:qFormat/>
    <w:uiPriority w:val="0"/>
    <w:pPr>
      <w:widowControl/>
      <w:spacing w:line="240" w:lineRule="atLeast"/>
    </w:pPr>
    <w:rPr>
      <w:rFonts w:ascii="Sim Sun" w:hAnsi="Batang" w:cs="Batang"/>
      <w:bCs/>
      <w:color w:val="000000"/>
      <w:kern w:val="0"/>
      <w:szCs w:val="20"/>
    </w:rPr>
  </w:style>
  <w:style w:type="paragraph" w:customStyle="1" w:styleId="854">
    <w:name w:val="lou"/>
    <w:basedOn w:val="1"/>
    <w:qFormat/>
    <w:uiPriority w:val="0"/>
    <w:pPr>
      <w:widowControl/>
      <w:spacing w:before="100" w:beforeAutospacing="1" w:after="100" w:afterAutospacing="1" w:line="440" w:lineRule="exact"/>
      <w:ind w:firstLine="200"/>
    </w:pPr>
    <w:rPr>
      <w:rFonts w:ascii="Sim Sun" w:hAnsi="Sim Sun" w:cs="Sim Sun"/>
      <w:bCs/>
      <w:color w:val="000000"/>
      <w:kern w:val="0"/>
    </w:rPr>
  </w:style>
  <w:style w:type="paragraph" w:customStyle="1" w:styleId="855">
    <w:name w:val="main"/>
    <w:basedOn w:val="1"/>
    <w:qFormat/>
    <w:uiPriority w:val="0"/>
    <w:pPr>
      <w:widowControl/>
      <w:spacing w:before="100" w:beforeAutospacing="1" w:after="100" w:afterAutospacing="1"/>
      <w:ind w:firstLine="400"/>
    </w:pPr>
    <w:rPr>
      <w:rFonts w:eastAsia="Arial Unicode MS" w:cs="Arial Unicode MS"/>
      <w:bCs/>
      <w:color w:val="0033CC"/>
      <w:kern w:val="0"/>
      <w:sz w:val="18"/>
      <w:szCs w:val="18"/>
    </w:rPr>
  </w:style>
  <w:style w:type="paragraph" w:customStyle="1" w:styleId="856">
    <w:name w:val="xl55"/>
    <w:basedOn w:val="1"/>
    <w:qFormat/>
    <w:uiPriority w:val="0"/>
    <w:pPr>
      <w:widowControl/>
      <w:pBdr>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857">
    <w:name w:val="列表接续 41"/>
    <w:basedOn w:val="1"/>
    <w:qFormat/>
    <w:uiPriority w:val="0"/>
    <w:pPr>
      <w:spacing w:after="120"/>
      <w:ind w:left="1680" w:leftChars="800"/>
    </w:pPr>
    <w:rPr>
      <w:rFonts w:ascii="Arial Unicode MS" w:hAnsi="Arial Unicode MS" w:cs="Vladimir Script"/>
      <w:bCs/>
      <w:color w:val="000000"/>
      <w:kern w:val="24"/>
    </w:rPr>
  </w:style>
  <w:style w:type="paragraph" w:customStyle="1" w:styleId="858">
    <w:name w:val="样式 首行缩进:  2 字符18"/>
    <w:basedOn w:val="1"/>
    <w:qFormat/>
    <w:uiPriority w:val="0"/>
    <w:pPr>
      <w:spacing w:line="520" w:lineRule="exact"/>
      <w:ind w:firstLine="560"/>
    </w:pPr>
    <w:rPr>
      <w:bCs/>
      <w:color w:val="000000"/>
      <w:kern w:val="24"/>
    </w:rPr>
  </w:style>
  <w:style w:type="paragraph" w:customStyle="1" w:styleId="859">
    <w:name w:val="Char Char Char Char Char Char Char Char Char"/>
    <w:basedOn w:val="1"/>
    <w:qFormat/>
    <w:uiPriority w:val="0"/>
    <w:rPr>
      <w:bCs/>
      <w:color w:val="000000"/>
      <w:kern w:val="24"/>
      <w:szCs w:val="20"/>
    </w:rPr>
  </w:style>
  <w:style w:type="paragraph" w:customStyle="1" w:styleId="860">
    <w:name w:val="样式 Arial 行距: 多倍行距 1.45 字行"/>
    <w:basedOn w:val="1"/>
    <w:qFormat/>
    <w:uiPriority w:val="0"/>
    <w:pPr>
      <w:spacing w:line="440" w:lineRule="exact"/>
      <w:ind w:firstLine="480"/>
    </w:pPr>
    <w:rPr>
      <w:rFonts w:ascii="宋体" w:hAnsi="宋体" w:cs="宋体"/>
      <w:bCs/>
      <w:color w:val="000000"/>
      <w:kern w:val="0"/>
    </w:rPr>
  </w:style>
  <w:style w:type="paragraph" w:customStyle="1" w:styleId="861">
    <w:name w:val="默认段落字体 Para Char Char Char Char Char Char Char Char Char Char"/>
    <w:basedOn w:val="6"/>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862">
    <w:name w:val="xl78"/>
    <w:basedOn w:val="1"/>
    <w:qFormat/>
    <w:uiPriority w:val="0"/>
    <w:pPr>
      <w:widowControl/>
      <w:pBdr>
        <w:left w:val="single" w:color="auto" w:sz="4" w:space="0"/>
        <w:bottom w:val="single" w:color="auto" w:sz="8" w:space="0"/>
      </w:pBdr>
      <w:spacing w:before="100" w:after="100"/>
      <w:jc w:val="center"/>
      <w:textAlignment w:val="center"/>
    </w:pPr>
    <w:rPr>
      <w:rFonts w:ascii="Batang" w:hAnsi="Batang" w:cs="Batang"/>
      <w:bCs/>
      <w:color w:val="000000"/>
      <w:kern w:val="0"/>
    </w:rPr>
  </w:style>
  <w:style w:type="paragraph" w:customStyle="1" w:styleId="863">
    <w:name w:val="样式001"/>
    <w:basedOn w:val="4"/>
    <w:qFormat/>
    <w:uiPriority w:val="0"/>
    <w:pPr>
      <w:keepLines/>
      <w:overflowPunct/>
      <w:snapToGrid/>
      <w:spacing w:after="0" w:line="360" w:lineRule="auto"/>
      <w:ind w:left="0" w:firstLine="0"/>
    </w:pPr>
    <w:rPr>
      <w:rFonts w:ascii="Batang" w:hAnsi="Batang" w:eastAsia="FLGPEK+TimesNewRoman,Italic" w:cs="Batang"/>
      <w:spacing w:val="16"/>
      <w:sz w:val="28"/>
      <w:szCs w:val="28"/>
    </w:rPr>
  </w:style>
  <w:style w:type="paragraph" w:customStyle="1" w:styleId="864">
    <w:name w:val="3标题(治)"/>
    <w:basedOn w:val="6"/>
    <w:qFormat/>
    <w:uiPriority w:val="0"/>
    <w:pPr>
      <w:tabs>
        <w:tab w:val="left" w:pos="1260"/>
        <w:tab w:val="left" w:pos="1800"/>
      </w:tabs>
      <w:adjustRightInd w:val="0"/>
      <w:spacing w:before="0" w:after="0" w:line="360" w:lineRule="auto"/>
      <w:textAlignment w:val="baseline"/>
    </w:pPr>
    <w:rPr>
      <w:rFonts w:eastAsia="黑体"/>
      <w:color w:val="000000"/>
      <w:kern w:val="0"/>
      <w:sz w:val="28"/>
      <w:szCs w:val="20"/>
    </w:rPr>
  </w:style>
  <w:style w:type="paragraph" w:customStyle="1" w:styleId="865">
    <w:name w:val="图"/>
    <w:basedOn w:val="453"/>
    <w:qFormat/>
    <w:uiPriority w:val="0"/>
    <w:pPr>
      <w:spacing w:line="240" w:lineRule="auto"/>
    </w:pPr>
  </w:style>
  <w:style w:type="paragraph" w:customStyle="1" w:styleId="866">
    <w:name w:val="样式"/>
    <w:basedOn w:val="1"/>
    <w:next w:val="29"/>
    <w:qFormat/>
    <w:uiPriority w:val="0"/>
    <w:pPr>
      <w:adjustRightInd w:val="0"/>
      <w:ind w:firstLine="480"/>
      <w:textAlignment w:val="baseline"/>
    </w:pPr>
    <w:rPr>
      <w:rFonts w:ascii="宋体"/>
      <w:bCs/>
      <w:color w:val="000000"/>
      <w:kern w:val="0"/>
    </w:rPr>
  </w:style>
  <w:style w:type="paragraph" w:customStyle="1" w:styleId="867">
    <w:name w:val="4级样式"/>
    <w:basedOn w:val="3"/>
    <w:qFormat/>
    <w:uiPriority w:val="0"/>
    <w:pPr>
      <w:tabs>
        <w:tab w:val="left" w:pos="425"/>
      </w:tabs>
      <w:spacing w:before="120" w:after="120" w:line="360" w:lineRule="auto"/>
      <w:ind w:left="425" w:hanging="425"/>
    </w:pPr>
    <w:rPr>
      <w:rFonts w:ascii="Arial Unicode MS" w:hAnsi="Arial Unicode MS" w:eastAsia="仿宋体" w:cs="Sim Sun"/>
      <w:b w:val="0"/>
      <w:bCs w:val="0"/>
      <w:color w:val="000000"/>
      <w:kern w:val="24"/>
      <w:sz w:val="24"/>
      <w:szCs w:val="24"/>
    </w:rPr>
  </w:style>
  <w:style w:type="paragraph" w:customStyle="1" w:styleId="868">
    <w:name w:val="条题"/>
    <w:basedOn w:val="1"/>
    <w:qFormat/>
    <w:uiPriority w:val="0"/>
    <w:pPr>
      <w:tabs>
        <w:tab w:val="left" w:pos="1640"/>
      </w:tabs>
      <w:spacing w:beforeLines="50" w:line="480" w:lineRule="exact"/>
    </w:pPr>
    <w:rPr>
      <w:bCs/>
      <w:color w:val="000000"/>
      <w:kern w:val="24"/>
    </w:rPr>
  </w:style>
  <w:style w:type="paragraph" w:customStyle="1" w:styleId="869">
    <w:name w:val="xl4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870">
    <w:name w:val="xl389"/>
    <w:basedOn w:val="1"/>
    <w:qFormat/>
    <w:uiPriority w:val="0"/>
    <w:pPr>
      <w:widowControl/>
      <w:pBdr>
        <w:left w:val="single" w:color="auto" w:sz="4" w:space="0"/>
        <w:bottom w:val="single" w:color="auto" w:sz="4" w:space="0"/>
      </w:pBdr>
      <w:spacing w:before="100" w:after="100" w:line="440" w:lineRule="exact"/>
      <w:ind w:firstLine="200"/>
      <w:jc w:val="center"/>
      <w:textAlignment w:val="center"/>
    </w:pPr>
    <w:rPr>
      <w:rFonts w:hint="eastAsia" w:ascii="Sim Sun" w:hAnsi="Sim Sun" w:cs="Vladimir Script"/>
      <w:bCs/>
      <w:color w:val="000000"/>
      <w:kern w:val="0"/>
      <w:szCs w:val="20"/>
    </w:rPr>
  </w:style>
  <w:style w:type="paragraph" w:customStyle="1" w:styleId="871">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b/>
      <w:bCs/>
      <w:color w:val="000000"/>
      <w:spacing w:val="20"/>
      <w:kern w:val="24"/>
      <w:szCs w:val="20"/>
    </w:rPr>
  </w:style>
  <w:style w:type="paragraph" w:customStyle="1" w:styleId="872">
    <w:name w:val="样式 红色 首行缩进:  2 字符"/>
    <w:basedOn w:val="1"/>
    <w:qFormat/>
    <w:uiPriority w:val="0"/>
    <w:pPr>
      <w:spacing w:line="480" w:lineRule="exact"/>
      <w:ind w:firstLine="480"/>
    </w:pPr>
    <w:rPr>
      <w:rFonts w:cs="宋体"/>
      <w:bCs/>
      <w:color w:val="FF0000"/>
      <w:kern w:val="24"/>
      <w:szCs w:val="20"/>
    </w:rPr>
  </w:style>
  <w:style w:type="paragraph" w:customStyle="1" w:styleId="873">
    <w:name w:val="样2"/>
    <w:basedOn w:val="1"/>
    <w:next w:val="1"/>
    <w:qFormat/>
    <w:uiPriority w:val="0"/>
    <w:pPr>
      <w:adjustRightInd w:val="0"/>
      <w:jc w:val="center"/>
      <w:textAlignment w:val="baseline"/>
    </w:pPr>
    <w:rPr>
      <w:rFonts w:ascii="Batang" w:hAnsi="Batang" w:cs="Batang"/>
      <w:bCs/>
      <w:color w:val="000000"/>
      <w:kern w:val="0"/>
      <w:szCs w:val="20"/>
    </w:rPr>
  </w:style>
  <w:style w:type="paragraph" w:customStyle="1" w:styleId="874">
    <w:name w:val="王正文"/>
    <w:basedOn w:val="1"/>
    <w:qFormat/>
    <w:uiPriority w:val="0"/>
    <w:pPr>
      <w:spacing w:line="560" w:lineRule="exact"/>
      <w:ind w:firstLine="200"/>
    </w:pPr>
    <w:rPr>
      <w:rFonts w:ascii="Batang" w:hAnsi="Batang" w:cs="Batang"/>
      <w:bCs/>
      <w:color w:val="000000"/>
      <w:kern w:val="24"/>
    </w:rPr>
  </w:style>
  <w:style w:type="paragraph" w:customStyle="1" w:styleId="875">
    <w:name w:val="xl23"/>
    <w:basedOn w:val="1"/>
    <w:qFormat/>
    <w:uiPriority w:val="0"/>
    <w:pPr>
      <w:widowControl/>
      <w:pBdr>
        <w:left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876">
    <w:name w:val="reader-word-layer reader-word-s5-33"/>
    <w:basedOn w:val="1"/>
    <w:qFormat/>
    <w:uiPriority w:val="0"/>
    <w:pPr>
      <w:widowControl/>
      <w:spacing w:before="100" w:beforeAutospacing="1" w:after="100" w:afterAutospacing="1"/>
    </w:pPr>
    <w:rPr>
      <w:rFonts w:ascii="宋体" w:hAnsi="宋体" w:cs="宋体"/>
      <w:bCs/>
      <w:color w:val="000000"/>
      <w:kern w:val="0"/>
    </w:rPr>
  </w:style>
  <w:style w:type="paragraph" w:customStyle="1" w:styleId="877">
    <w:name w:val="样式 样式 标题 3 + 首行缩进:  2 字符 段前: 6 磅 段后: 6 磅 行距: 最小值 24 磅 + 首行缩进:  1..."/>
    <w:basedOn w:val="878"/>
    <w:qFormat/>
    <w:uiPriority w:val="0"/>
    <w:pPr>
      <w:tabs>
        <w:tab w:val="left" w:pos="1260"/>
        <w:tab w:val="left" w:pos="1800"/>
      </w:tabs>
      <w:ind w:firstLine="280"/>
    </w:pPr>
    <w:rPr>
      <w:rFonts w:cs="宋体"/>
      <w:b/>
    </w:rPr>
  </w:style>
  <w:style w:type="paragraph" w:customStyle="1" w:styleId="878">
    <w:name w:val="样式 标题 3 + 首行缩进:  2 字符 段前: 6 磅 段后: 6 磅 行距: 最小值 24 磅"/>
    <w:basedOn w:val="6"/>
    <w:qFormat/>
    <w:uiPriority w:val="0"/>
    <w:pPr>
      <w:tabs>
        <w:tab w:val="left" w:pos="1260"/>
        <w:tab w:val="left" w:pos="1800"/>
      </w:tabs>
      <w:adjustRightInd w:val="0"/>
      <w:snapToGrid w:val="0"/>
      <w:spacing w:beforeLines="50" w:afterLines="50" w:line="240" w:lineRule="auto"/>
      <w:ind w:firstLine="100" w:firstLineChars="100"/>
      <w:textAlignment w:val="baseline"/>
    </w:pPr>
    <w:rPr>
      <w:rFonts w:ascii="宋体" w:hAnsi="宋体"/>
      <w:b w:val="0"/>
      <w:bCs w:val="0"/>
      <w:color w:val="000000"/>
      <w:kern w:val="24"/>
      <w:sz w:val="28"/>
      <w:szCs w:val="28"/>
    </w:rPr>
  </w:style>
  <w:style w:type="paragraph" w:customStyle="1" w:styleId="879">
    <w:name w:val="WW-正文缩进"/>
    <w:basedOn w:val="1"/>
    <w:qFormat/>
    <w:uiPriority w:val="0"/>
    <w:pPr>
      <w:suppressAutoHyphens/>
      <w:spacing w:line="480" w:lineRule="exact"/>
      <w:ind w:firstLine="595"/>
      <w:textAlignment w:val="baseline"/>
    </w:pPr>
    <w:rPr>
      <w:bCs/>
      <w:color w:val="000000"/>
      <w:kern w:val="1"/>
      <w:szCs w:val="20"/>
      <w:lang w:eastAsia="ar-SA"/>
    </w:rPr>
  </w:style>
  <w:style w:type="paragraph" w:customStyle="1" w:styleId="880">
    <w:name w:val="节"/>
    <w:basedOn w:val="1"/>
    <w:qFormat/>
    <w:uiPriority w:val="0"/>
    <w:pPr>
      <w:tabs>
        <w:tab w:val="left" w:pos="2736"/>
      </w:tabs>
      <w:spacing w:before="50" w:after="50"/>
      <w:ind w:left="2736" w:hanging="732"/>
      <w:jc w:val="center"/>
    </w:pPr>
    <w:rPr>
      <w:rFonts w:ascii="Batang" w:hAnsi="Batang" w:cs="Batang"/>
      <w:b/>
      <w:bCs/>
      <w:color w:val="000000"/>
      <w:kern w:val="24"/>
      <w:sz w:val="30"/>
      <w:szCs w:val="20"/>
    </w:rPr>
  </w:style>
  <w:style w:type="paragraph" w:customStyle="1" w:styleId="881">
    <w:name w:val="表名称"/>
    <w:basedOn w:val="1"/>
    <w:qFormat/>
    <w:uiPriority w:val="0"/>
    <w:pPr>
      <w:tabs>
        <w:tab w:val="left" w:pos="-120"/>
      </w:tabs>
      <w:overflowPunct w:val="0"/>
      <w:topLinePunct/>
      <w:autoSpaceDE w:val="0"/>
      <w:adjustRightInd w:val="0"/>
      <w:snapToGrid w:val="0"/>
      <w:spacing w:after="240"/>
      <w:jc w:val="center"/>
      <w:textAlignment w:val="baseline"/>
    </w:pPr>
    <w:rPr>
      <w:color w:val="000000"/>
      <w:spacing w:val="16"/>
      <w:kern w:val="0"/>
      <w:szCs w:val="20"/>
    </w:rPr>
  </w:style>
  <w:style w:type="paragraph" w:customStyle="1" w:styleId="882">
    <w:name w:val="Char Char Char1 Char2"/>
    <w:basedOn w:val="1"/>
    <w:qFormat/>
    <w:uiPriority w:val="0"/>
    <w:rPr>
      <w:bCs/>
      <w:color w:val="000000"/>
      <w:kern w:val="24"/>
      <w:szCs w:val="20"/>
    </w:rPr>
  </w:style>
  <w:style w:type="paragraph" w:customStyle="1" w:styleId="883">
    <w:name w:val="样式 标题 2 +"/>
    <w:basedOn w:val="5"/>
    <w:qFormat/>
    <w:uiPriority w:val="0"/>
    <w:pPr>
      <w:tabs>
        <w:tab w:val="left" w:pos="360"/>
      </w:tabs>
      <w:spacing w:before="60" w:after="60" w:line="480" w:lineRule="exact"/>
      <w:ind w:left="-567" w:firstLine="567"/>
    </w:pPr>
    <w:rPr>
      <w:rFonts w:ascii="Times New Roman" w:hAnsi="Times New Roman"/>
      <w:b w:val="0"/>
      <w:bCs w:val="0"/>
      <w:color w:val="000000"/>
      <w:kern w:val="0"/>
    </w:rPr>
  </w:style>
  <w:style w:type="paragraph" w:customStyle="1" w:styleId="884">
    <w:name w:val="二 Char"/>
    <w:basedOn w:val="1"/>
    <w:qFormat/>
    <w:uiPriority w:val="0"/>
    <w:rPr>
      <w:rFonts w:ascii="FLGPEK+TimesNewRoman,Italic" w:hAnsi="Batang" w:eastAsia="FLGPEK+TimesNewRoman,Italic" w:cs="Batang"/>
      <w:b/>
      <w:bCs/>
      <w:color w:val="000000"/>
      <w:kern w:val="24"/>
      <w:szCs w:val="20"/>
    </w:rPr>
  </w:style>
  <w:style w:type="paragraph" w:customStyle="1" w:styleId="885">
    <w:name w:val="样式 行距: 1.5 倍行距"/>
    <w:basedOn w:val="1"/>
    <w:qFormat/>
    <w:uiPriority w:val="0"/>
    <w:pPr>
      <w:spacing w:line="480" w:lineRule="exact"/>
      <w:ind w:firstLine="200"/>
    </w:pPr>
    <w:rPr>
      <w:bCs/>
      <w:color w:val="000000"/>
      <w:kern w:val="24"/>
      <w:szCs w:val="20"/>
    </w:rPr>
  </w:style>
  <w:style w:type="paragraph" w:customStyle="1" w:styleId="886">
    <w:name w:val="Personal Info"/>
    <w:basedOn w:val="796"/>
    <w:qFormat/>
    <w:uiPriority w:val="0"/>
    <w:pPr>
      <w:tabs>
        <w:tab w:val="left" w:pos="425"/>
        <w:tab w:val="clear" w:pos="960"/>
      </w:tabs>
      <w:spacing w:before="220"/>
      <w:ind w:left="425" w:hanging="425"/>
    </w:pPr>
    <w:rPr>
      <w:szCs w:val="20"/>
    </w:rPr>
  </w:style>
  <w:style w:type="paragraph" w:customStyle="1" w:styleId="887">
    <w:name w:val="1标题2级"/>
    <w:basedOn w:val="1"/>
    <w:qFormat/>
    <w:uiPriority w:val="0"/>
    <w:pPr>
      <w:keepNext/>
      <w:snapToGrid w:val="0"/>
      <w:spacing w:beforeLines="50" w:afterLines="50"/>
      <w:outlineLvl w:val="1"/>
    </w:pPr>
    <w:rPr>
      <w:rFonts w:eastAsia="黑体"/>
      <w:b/>
      <w:bCs/>
      <w:color w:val="000000"/>
      <w:kern w:val="24"/>
      <w:sz w:val="28"/>
      <w:szCs w:val="20"/>
    </w:rPr>
  </w:style>
  <w:style w:type="paragraph" w:customStyle="1" w:styleId="888">
    <w:name w:val="标题3"/>
    <w:basedOn w:val="6"/>
    <w:qFormat/>
    <w:uiPriority w:val="0"/>
    <w:pPr>
      <w:tabs>
        <w:tab w:val="left" w:pos="1260"/>
        <w:tab w:val="left" w:pos="1800"/>
      </w:tabs>
      <w:adjustRightInd w:val="0"/>
      <w:spacing w:before="0" w:after="0" w:line="360" w:lineRule="auto"/>
      <w:textAlignment w:val="baseline"/>
    </w:pPr>
    <w:rPr>
      <w:rFonts w:ascii="黑体" w:eastAsia="黑体"/>
      <w:b w:val="0"/>
      <w:bCs w:val="0"/>
      <w:color w:val="000000"/>
      <w:kern w:val="0"/>
      <w:sz w:val="24"/>
      <w:szCs w:val="20"/>
    </w:rPr>
  </w:style>
  <w:style w:type="paragraph" w:customStyle="1" w:styleId="889">
    <w:name w:val="样式 标题 3标题 3 Char + 黑色 行距: 固定值 26 磅"/>
    <w:basedOn w:val="6"/>
    <w:qFormat/>
    <w:uiPriority w:val="0"/>
    <w:pPr>
      <w:tabs>
        <w:tab w:val="left" w:pos="720"/>
        <w:tab w:val="left" w:pos="900"/>
        <w:tab w:val="left" w:pos="1260"/>
        <w:tab w:val="left" w:pos="1800"/>
      </w:tabs>
      <w:adjustRightInd w:val="0"/>
      <w:spacing w:beforeLines="100" w:afterLines="100" w:line="520" w:lineRule="exact"/>
      <w:ind w:left="1042" w:hanging="1042"/>
      <w:textAlignment w:val="baseline"/>
    </w:pPr>
    <w:rPr>
      <w:rFonts w:ascii="宋体" w:hAnsi="宋体" w:cs="宋体"/>
      <w:b w:val="0"/>
      <w:bCs w:val="0"/>
      <w:color w:val="000000"/>
      <w:kern w:val="24"/>
      <w:sz w:val="30"/>
      <w:szCs w:val="20"/>
    </w:rPr>
  </w:style>
  <w:style w:type="paragraph" w:customStyle="1" w:styleId="890">
    <w:name w:val="样式 标题 1标题 1 Char Char + Times New Roman 段后: 0.5 行"/>
    <w:basedOn w:val="4"/>
    <w:qFormat/>
    <w:uiPriority w:val="0"/>
    <w:pPr>
      <w:keepLines/>
      <w:tabs>
        <w:tab w:val="left" w:pos="4500"/>
      </w:tabs>
      <w:overflowPunct/>
      <w:adjustRightInd w:val="0"/>
      <w:spacing w:before="240" w:afterLines="50" w:line="460" w:lineRule="exact"/>
      <w:ind w:left="0" w:firstLine="200"/>
      <w:textAlignment w:val="baseline"/>
    </w:pPr>
    <w:rPr>
      <w:rFonts w:ascii="Arial Unicode MS" w:hAnsi="Arial Unicode MS" w:eastAsia="Sim Sun" w:cs="Vladimir Script"/>
      <w:szCs w:val="20"/>
    </w:rPr>
  </w:style>
  <w:style w:type="paragraph" w:customStyle="1" w:styleId="891">
    <w:name w:val="索引 41"/>
    <w:basedOn w:val="1"/>
    <w:next w:val="1"/>
    <w:qFormat/>
    <w:uiPriority w:val="0"/>
    <w:pPr>
      <w:spacing w:line="440" w:lineRule="exact"/>
      <w:ind w:left="1000" w:hanging="250"/>
    </w:pPr>
    <w:rPr>
      <w:rFonts w:ascii="ˎ̥" w:hAnsi="ˎ̥" w:eastAsia="仿宋体" w:cs="ˎ̥"/>
      <w:bCs/>
      <w:color w:val="000000"/>
      <w:spacing w:val="5"/>
      <w:kern w:val="24"/>
      <w:sz w:val="20"/>
      <w:szCs w:val="20"/>
    </w:rPr>
  </w:style>
  <w:style w:type="paragraph" w:customStyle="1" w:styleId="892">
    <w:name w:val="Char Char5 Char Char Char Char Char Char Char Char Char Char Char Char Char Char Char1 Char"/>
    <w:basedOn w:val="6"/>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893">
    <w:name w:val="图例"/>
    <w:qFormat/>
    <w:uiPriority w:val="0"/>
    <w:pPr>
      <w:autoSpaceDE w:val="0"/>
      <w:autoSpaceDN w:val="0"/>
      <w:adjustRightInd w:val="0"/>
      <w:jc w:val="center"/>
    </w:pPr>
    <w:rPr>
      <w:rFonts w:ascii="黑体" w:hAnsi="Arial" w:eastAsia="黑体" w:cs="Arial"/>
      <w:b/>
      <w:bCs/>
      <w:color w:val="000000"/>
      <w:spacing w:val="12"/>
      <w:sz w:val="24"/>
      <w:szCs w:val="24"/>
      <w:lang w:val="en-US" w:eastAsia="zh-CN" w:bidi="ar-SA"/>
    </w:rPr>
  </w:style>
  <w:style w:type="paragraph" w:customStyle="1" w:styleId="894">
    <w:name w:val="样式 样式 标题 3标题 3 Char + 黑色 行距: 固定值 26 磅 + 段前: 1 行 段后: 1 行"/>
    <w:basedOn w:val="889"/>
    <w:qFormat/>
    <w:uiPriority w:val="0"/>
    <w:pPr>
      <w:spacing w:beforeLines="50" w:afterLines="50"/>
    </w:pPr>
  </w:style>
  <w:style w:type="paragraph" w:customStyle="1" w:styleId="895">
    <w:name w:val="正文表格"/>
    <w:basedOn w:val="1"/>
    <w:semiHidden/>
    <w:qFormat/>
    <w:uiPriority w:val="0"/>
    <w:pPr>
      <w:keepNext/>
      <w:keepLines/>
      <w:tabs>
        <w:tab w:val="center" w:pos="6804"/>
      </w:tabs>
      <w:overflowPunct w:val="0"/>
      <w:adjustRightInd w:val="0"/>
      <w:spacing w:before="80"/>
      <w:jc w:val="center"/>
      <w:textAlignment w:val="bottom"/>
    </w:pPr>
    <w:rPr>
      <w:bCs/>
      <w:color w:val="000000"/>
      <w:kern w:val="0"/>
      <w:sz w:val="28"/>
      <w:szCs w:val="20"/>
    </w:rPr>
  </w:style>
  <w:style w:type="paragraph" w:customStyle="1" w:styleId="896">
    <w:name w:val="Char3"/>
    <w:basedOn w:val="1"/>
    <w:qFormat/>
    <w:uiPriority w:val="0"/>
    <w:pPr>
      <w:widowControl/>
      <w:spacing w:line="560" w:lineRule="exact"/>
      <w:ind w:firstLine="200"/>
    </w:pPr>
    <w:rPr>
      <w:rFonts w:ascii="Verdana" w:hAnsi="Verdana"/>
      <w:bCs/>
      <w:color w:val="000000"/>
      <w:kern w:val="0"/>
      <w:sz w:val="20"/>
      <w:szCs w:val="20"/>
      <w:lang w:eastAsia="en-US"/>
    </w:rPr>
  </w:style>
  <w:style w:type="paragraph" w:customStyle="1" w:styleId="897">
    <w:name w:val="WW-列表 2"/>
    <w:basedOn w:val="1"/>
    <w:qFormat/>
    <w:uiPriority w:val="0"/>
    <w:pPr>
      <w:suppressAutoHyphens/>
      <w:ind w:left="840" w:hanging="420"/>
    </w:pPr>
    <w:rPr>
      <w:rFonts w:ascii="宋体" w:hAnsi="宋体"/>
      <w:bCs/>
      <w:color w:val="000000"/>
      <w:kern w:val="1"/>
      <w:szCs w:val="20"/>
      <w:lang w:eastAsia="ar-SA"/>
    </w:rPr>
  </w:style>
  <w:style w:type="paragraph" w:customStyle="1" w:styleId="898">
    <w:name w:val="样式 行距: 固定值 24 磅"/>
    <w:basedOn w:val="1"/>
    <w:qFormat/>
    <w:uiPriority w:val="0"/>
    <w:pPr>
      <w:spacing w:line="480" w:lineRule="exact"/>
      <w:ind w:firstLine="200"/>
    </w:pPr>
    <w:rPr>
      <w:bCs/>
      <w:color w:val="000000"/>
      <w:kern w:val="24"/>
      <w:szCs w:val="20"/>
    </w:rPr>
  </w:style>
  <w:style w:type="paragraph" w:customStyle="1" w:styleId="899">
    <w:name w:val="图名"/>
    <w:basedOn w:val="1"/>
    <w:next w:val="1"/>
    <w:qFormat/>
    <w:uiPriority w:val="0"/>
    <w:pPr>
      <w:tabs>
        <w:tab w:val="left" w:pos="360"/>
        <w:tab w:val="left" w:pos="3780"/>
        <w:tab w:val="left" w:pos="4680"/>
      </w:tabs>
      <w:jc w:val="center"/>
    </w:pPr>
    <w:rPr>
      <w:b/>
      <w:bCs/>
      <w:color w:val="000000"/>
      <w:kern w:val="24"/>
    </w:rPr>
  </w:style>
  <w:style w:type="paragraph" w:customStyle="1" w:styleId="900">
    <w:name w:val="样式 标题 3标题 3 Char Char标题 3 Char Char Char Char Char标题 3 Char C...3"/>
    <w:basedOn w:val="6"/>
    <w:qFormat/>
    <w:uiPriority w:val="0"/>
    <w:pPr>
      <w:keepNext w:val="0"/>
      <w:keepLines w:val="0"/>
      <w:tabs>
        <w:tab w:val="left" w:pos="4500"/>
      </w:tabs>
      <w:adjustRightInd w:val="0"/>
      <w:snapToGrid w:val="0"/>
      <w:spacing w:before="62" w:after="62" w:line="400" w:lineRule="exact"/>
      <w:ind w:firstLine="200"/>
      <w:textAlignment w:val="baseline"/>
    </w:pPr>
    <w:rPr>
      <w:rFonts w:ascii="Sim Sun" w:hAnsi="Sim Sun" w:eastAsia="宋体-方正超大字符集" w:cs="Vladimir Script"/>
      <w:bCs w:val="0"/>
      <w:color w:val="000000"/>
      <w:kern w:val="0"/>
      <w:sz w:val="30"/>
    </w:rPr>
  </w:style>
  <w:style w:type="paragraph" w:customStyle="1" w:styleId="901">
    <w:name w:val="热电厂正文"/>
    <w:basedOn w:val="1"/>
    <w:qFormat/>
    <w:uiPriority w:val="0"/>
    <w:pPr>
      <w:spacing w:line="440" w:lineRule="exact"/>
      <w:ind w:firstLine="480"/>
    </w:pPr>
    <w:rPr>
      <w:bCs/>
      <w:color w:val="000000"/>
      <w:kern w:val="24"/>
    </w:rPr>
  </w:style>
  <w:style w:type="paragraph" w:customStyle="1" w:styleId="902">
    <w:name w:val="表格右"/>
    <w:basedOn w:val="128"/>
    <w:qFormat/>
    <w:uiPriority w:val="0"/>
    <w:pPr>
      <w:suppressAutoHyphens/>
      <w:adjustRightInd/>
      <w:spacing w:beforeLines="0" w:afterLines="0" w:line="240" w:lineRule="auto"/>
      <w:ind w:firstLine="351" w:firstLineChars="167"/>
      <w:jc w:val="both"/>
    </w:pPr>
    <w:rPr>
      <w:rFonts w:hAnsi="宋体"/>
      <w:bCs/>
      <w:color w:val="000000"/>
      <w:kern w:val="1"/>
      <w:lang w:val="zh-CN"/>
    </w:rPr>
  </w:style>
  <w:style w:type="paragraph" w:customStyle="1" w:styleId="903">
    <w:name w:val="题目"/>
    <w:basedOn w:val="4"/>
    <w:next w:val="1"/>
    <w:qFormat/>
    <w:uiPriority w:val="0"/>
    <w:pPr>
      <w:keepLines/>
      <w:overflowPunct/>
      <w:snapToGrid/>
      <w:spacing w:before="100" w:beforeAutospacing="1" w:after="100" w:afterAutospacing="1" w:line="240" w:lineRule="auto"/>
      <w:ind w:left="100" w:leftChars="100" w:right="100" w:rightChars="100" w:firstLine="0"/>
      <w:jc w:val="center"/>
    </w:pPr>
  </w:style>
  <w:style w:type="paragraph" w:customStyle="1" w:styleId="904">
    <w:name w:val="样式 (中文) 黑体"/>
    <w:basedOn w:val="1"/>
    <w:qFormat/>
    <w:uiPriority w:val="0"/>
    <w:pPr>
      <w:spacing w:line="480" w:lineRule="exact"/>
      <w:ind w:firstLine="567"/>
    </w:pPr>
    <w:rPr>
      <w:rFonts w:eastAsia="黑体" w:cs="宋体"/>
      <w:bCs/>
      <w:color w:val="000000"/>
      <w:kern w:val="0"/>
      <w:szCs w:val="20"/>
    </w:rPr>
  </w:style>
  <w:style w:type="paragraph" w:customStyle="1" w:styleId="905">
    <w:name w:val="CM111"/>
    <w:basedOn w:val="111"/>
    <w:next w:val="111"/>
    <w:qFormat/>
    <w:uiPriority w:val="0"/>
    <w:pPr>
      <w:spacing w:after="430"/>
    </w:pPr>
    <w:rPr>
      <w:rFonts w:hAnsi="Batang" w:cs="Batang"/>
      <w:color w:val="auto"/>
    </w:rPr>
  </w:style>
  <w:style w:type="paragraph" w:customStyle="1" w:styleId="906">
    <w:name w:val="正文正"/>
    <w:basedOn w:val="1"/>
    <w:qFormat/>
    <w:uiPriority w:val="0"/>
    <w:pPr>
      <w:ind w:firstLine="567"/>
    </w:pPr>
    <w:rPr>
      <w:rFonts w:ascii="Sim Sun" w:hAnsi="Batang" w:cs="Batang"/>
      <w:color w:val="000000"/>
      <w:kern w:val="24"/>
      <w:szCs w:val="20"/>
    </w:rPr>
  </w:style>
  <w:style w:type="paragraph" w:customStyle="1" w:styleId="907">
    <w:name w:val="环评报告书"/>
    <w:basedOn w:val="3"/>
    <w:qFormat/>
    <w:uiPriority w:val="0"/>
    <w:pPr>
      <w:tabs>
        <w:tab w:val="left" w:pos="840"/>
      </w:tabs>
      <w:autoSpaceDE w:val="0"/>
      <w:autoSpaceDN w:val="0"/>
      <w:adjustRightInd w:val="0"/>
      <w:spacing w:line="360" w:lineRule="auto"/>
      <w:textAlignment w:val="baseline"/>
      <w:outlineLvl w:val="9"/>
    </w:pPr>
    <w:rPr>
      <w:rFonts w:ascii="Times New Roman" w:hAnsi="Times New Roman" w:eastAsia="长城楷体"/>
      <w:b w:val="0"/>
      <w:color w:val="000000"/>
      <w:kern w:val="0"/>
      <w:szCs w:val="20"/>
    </w:rPr>
  </w:style>
  <w:style w:type="paragraph" w:customStyle="1" w:styleId="908">
    <w:name w:val="图名称"/>
    <w:basedOn w:val="1"/>
    <w:qFormat/>
    <w:uiPriority w:val="0"/>
    <w:pPr>
      <w:tabs>
        <w:tab w:val="left" w:pos="2600"/>
        <w:tab w:val="center" w:pos="6622"/>
      </w:tabs>
      <w:adjustRightInd w:val="0"/>
      <w:snapToGrid w:val="0"/>
      <w:spacing w:before="50" w:line="312" w:lineRule="auto"/>
      <w:ind w:firstLine="178" w:firstLineChars="74"/>
      <w:jc w:val="center"/>
    </w:pPr>
    <w:rPr>
      <w:b/>
      <w:color w:val="000000"/>
      <w:kern w:val="24"/>
    </w:rPr>
  </w:style>
  <w:style w:type="paragraph" w:customStyle="1" w:styleId="909">
    <w:name w:val="Char Char5 Char Char Char Char Char Char Char Char Char21"/>
    <w:basedOn w:val="6"/>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910">
    <w:name w:val="Char"/>
    <w:basedOn w:val="1"/>
    <w:semiHidden/>
    <w:qFormat/>
    <w:uiPriority w:val="0"/>
    <w:pPr>
      <w:widowControl/>
      <w:spacing w:after="160" w:line="240" w:lineRule="exact"/>
    </w:pPr>
    <w:rPr>
      <w:rFonts w:ascii="Verdana" w:hAnsi="Verdana"/>
      <w:bCs/>
      <w:color w:val="000000"/>
      <w:kern w:val="0"/>
      <w:sz w:val="20"/>
      <w:szCs w:val="20"/>
      <w:lang w:eastAsia="en-US"/>
    </w:rPr>
  </w:style>
  <w:style w:type="paragraph" w:customStyle="1" w:styleId="91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912">
    <w:name w:val="样式 标题 2 + 段前: 6 磅 段后: 6 磅 行距: 最小值 24 磅"/>
    <w:basedOn w:val="5"/>
    <w:qFormat/>
    <w:uiPriority w:val="0"/>
    <w:pPr>
      <w:adjustRightInd w:val="0"/>
      <w:snapToGrid w:val="0"/>
      <w:spacing w:before="120" w:after="120" w:line="480" w:lineRule="atLeast"/>
    </w:pPr>
    <w:rPr>
      <w:rFonts w:ascii="Times New Roman" w:hAnsi="Times New Roman"/>
      <w:bCs w:val="0"/>
      <w:color w:val="000000"/>
      <w:kern w:val="24"/>
      <w:sz w:val="28"/>
      <w:szCs w:val="30"/>
    </w:rPr>
  </w:style>
  <w:style w:type="paragraph" w:customStyle="1" w:styleId="913">
    <w:name w:val="Char Char Char Char Char Char Char Char Char Char Char Char Char Char Char Char Char Char1"/>
    <w:basedOn w:val="1"/>
    <w:semiHidden/>
    <w:qFormat/>
    <w:uiPriority w:val="0"/>
    <w:rPr>
      <w:bCs/>
      <w:color w:val="000000"/>
      <w:kern w:val="24"/>
      <w:szCs w:val="21"/>
    </w:rPr>
  </w:style>
  <w:style w:type="paragraph" w:customStyle="1" w:styleId="914">
    <w:name w:val="小标题2"/>
    <w:basedOn w:val="1"/>
    <w:qFormat/>
    <w:uiPriority w:val="0"/>
    <w:pPr>
      <w:tabs>
        <w:tab w:val="left" w:pos="5400"/>
      </w:tabs>
      <w:overflowPunct w:val="0"/>
      <w:spacing w:line="336" w:lineRule="auto"/>
      <w:ind w:firstLine="480"/>
    </w:pPr>
    <w:rPr>
      <w:rFonts w:ascii="Batang" w:hAnsi="Batang" w:cs="Batang"/>
      <w:bCs/>
      <w:color w:val="000000"/>
      <w:kern w:val="24"/>
    </w:rPr>
  </w:style>
  <w:style w:type="paragraph" w:customStyle="1" w:styleId="915">
    <w:name w:val="样式 样式 标题 2标题2二级 标题 2H2h2第一层条标题 2 Char节标题节11 Char标题 2 Cha...1 +"/>
    <w:basedOn w:val="818"/>
    <w:qFormat/>
    <w:uiPriority w:val="0"/>
  </w:style>
  <w:style w:type="paragraph" w:customStyle="1" w:styleId="916">
    <w:name w:val="前言、引言标题"/>
    <w:next w:val="1"/>
    <w:qFormat/>
    <w:uiPriority w:val="0"/>
    <w:pPr>
      <w:shd w:val="clear" w:color="FFFFFF" w:fill="FFFFFF"/>
      <w:tabs>
        <w:tab w:val="left" w:pos="903"/>
      </w:tabs>
      <w:spacing w:before="640" w:after="560"/>
      <w:ind w:left="903" w:hanging="315"/>
      <w:jc w:val="center"/>
      <w:outlineLvl w:val="0"/>
    </w:pPr>
    <w:rPr>
      <w:rFonts w:ascii="FLGPEK+TimesNewRoman,Italic" w:hAnsi="Batang" w:eastAsia="FLGPEK+TimesNewRoman,Italic" w:cs="Batang"/>
      <w:bCs/>
      <w:color w:val="000000"/>
      <w:sz w:val="32"/>
      <w:szCs w:val="24"/>
      <w:lang w:val="en-US" w:eastAsia="zh-CN" w:bidi="ar-SA"/>
    </w:rPr>
  </w:style>
  <w:style w:type="paragraph" w:customStyle="1" w:styleId="917">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rFonts w:ascii="Arial Unicode MS" w:hAnsi="Arial Unicode MS" w:eastAsia="Arial Unicode MS" w:cs="Arial Unicode MS"/>
      <w:bCs/>
      <w:color w:val="008000"/>
      <w:kern w:val="0"/>
      <w:sz w:val="20"/>
      <w:szCs w:val="20"/>
    </w:rPr>
  </w:style>
  <w:style w:type="paragraph" w:customStyle="1" w:styleId="918">
    <w:name w:val="表中文字"/>
    <w:basedOn w:val="1"/>
    <w:qFormat/>
    <w:uiPriority w:val="0"/>
    <w:pPr>
      <w:spacing w:line="240" w:lineRule="exact"/>
      <w:jc w:val="center"/>
    </w:pPr>
    <w:rPr>
      <w:rFonts w:ascii="宋体" w:hAnsi="宋体"/>
      <w:bCs/>
      <w:color w:val="000000"/>
      <w:kern w:val="24"/>
      <w:szCs w:val="20"/>
    </w:rPr>
  </w:style>
  <w:style w:type="paragraph" w:customStyle="1" w:styleId="919">
    <w:name w:val="项目符号2"/>
    <w:basedOn w:val="1"/>
    <w:qFormat/>
    <w:uiPriority w:val="0"/>
    <w:pPr>
      <w:tabs>
        <w:tab w:val="left" w:pos="1502"/>
      </w:tabs>
      <w:overflowPunct w:val="0"/>
      <w:snapToGrid w:val="0"/>
      <w:spacing w:line="480" w:lineRule="exact"/>
      <w:ind w:left="1502"/>
    </w:pPr>
    <w:rPr>
      <w:rFonts w:ascii="Arial" w:hAnsi="Arial" w:eastAsia="仿宋_GB2312"/>
      <w:bCs/>
      <w:color w:val="000000"/>
      <w:kern w:val="24"/>
      <w:sz w:val="28"/>
      <w:szCs w:val="20"/>
    </w:rPr>
  </w:style>
  <w:style w:type="paragraph" w:customStyle="1" w:styleId="920">
    <w:name w:val="样式 标题 4 + 宋体 Char"/>
    <w:basedOn w:val="3"/>
    <w:qFormat/>
    <w:uiPriority w:val="0"/>
    <w:pPr>
      <w:tabs>
        <w:tab w:val="left" w:pos="720"/>
      </w:tabs>
      <w:spacing w:line="240" w:lineRule="auto"/>
    </w:pPr>
    <w:rPr>
      <w:rFonts w:ascii="宋体" w:hAnsi="宋体" w:eastAsia="宋体"/>
      <w:b w:val="0"/>
      <w:bCs w:val="0"/>
      <w:color w:val="000000"/>
      <w:kern w:val="24"/>
    </w:rPr>
  </w:style>
  <w:style w:type="paragraph" w:customStyle="1" w:styleId="921">
    <w:name w:val="正文-中宋 小4"/>
    <w:qFormat/>
    <w:uiPriority w:val="0"/>
    <w:pPr>
      <w:overflowPunct w:val="0"/>
      <w:autoSpaceDE w:val="0"/>
      <w:autoSpaceDN w:val="0"/>
      <w:adjustRightInd w:val="0"/>
      <w:snapToGrid w:val="0"/>
      <w:spacing w:line="500" w:lineRule="exact"/>
      <w:ind w:firstLine="480" w:firstLineChars="200"/>
      <w:textAlignment w:val="center"/>
    </w:pPr>
    <w:rPr>
      <w:rFonts w:ascii="Times New Roman" w:hAnsi="Times New Roman" w:eastAsia="华文中宋" w:cs="Times New Roman"/>
      <w:bCs/>
      <w:color w:val="000000"/>
      <w:sz w:val="24"/>
      <w:szCs w:val="24"/>
      <w:lang w:val="en-US" w:eastAsia="zh-CN" w:bidi="ar-SA"/>
    </w:rPr>
  </w:style>
  <w:style w:type="paragraph" w:customStyle="1" w:styleId="922">
    <w:name w:val="附录五级条标题"/>
    <w:basedOn w:val="923"/>
    <w:next w:val="1"/>
    <w:qFormat/>
    <w:uiPriority w:val="0"/>
    <w:pPr>
      <w:outlineLvl w:val="6"/>
    </w:pPr>
  </w:style>
  <w:style w:type="paragraph" w:customStyle="1" w:styleId="923">
    <w:name w:val="附录四级条标题"/>
    <w:basedOn w:val="924"/>
    <w:next w:val="1"/>
    <w:qFormat/>
    <w:uiPriority w:val="0"/>
    <w:pPr>
      <w:outlineLvl w:val="5"/>
    </w:pPr>
  </w:style>
  <w:style w:type="paragraph" w:customStyle="1" w:styleId="924">
    <w:name w:val="附录三级条标题"/>
    <w:basedOn w:val="786"/>
    <w:next w:val="1"/>
    <w:qFormat/>
    <w:uiPriority w:val="0"/>
    <w:pPr>
      <w:outlineLvl w:val="4"/>
    </w:pPr>
  </w:style>
  <w:style w:type="paragraph" w:customStyle="1" w:styleId="925">
    <w:name w:val="样式 标题 2标题2二级 标题 2H2h2第一层条标题 2 Char节标题节11 Char标题 2 Cha..."/>
    <w:basedOn w:val="5"/>
    <w:qFormat/>
    <w:uiPriority w:val="0"/>
    <w:pPr>
      <w:keepNext w:val="0"/>
      <w:keepLines w:val="0"/>
      <w:tabs>
        <w:tab w:val="left" w:pos="900"/>
      </w:tabs>
      <w:adjustRightInd w:val="0"/>
      <w:snapToGrid w:val="0"/>
      <w:spacing w:before="0" w:after="0" w:line="440" w:lineRule="exact"/>
      <w:ind w:firstLine="200"/>
      <w:textAlignment w:val="baseline"/>
      <w:outlineLvl w:val="9"/>
    </w:pPr>
    <w:rPr>
      <w:rFonts w:ascii="Sim Sun" w:hAnsi="Sim Sun" w:eastAsia="宋体-方正超大字符集" w:cs="Vladimir Script"/>
      <w:b w:val="0"/>
      <w:color w:val="000000"/>
      <w:kern w:val="24"/>
      <w:sz w:val="24"/>
      <w:szCs w:val="20"/>
    </w:rPr>
  </w:style>
  <w:style w:type="paragraph" w:customStyle="1" w:styleId="926">
    <w:name w:val="标题11"/>
    <w:basedOn w:val="1"/>
    <w:qFormat/>
    <w:uiPriority w:val="0"/>
    <w:pPr>
      <w:adjustRightInd w:val="0"/>
      <w:spacing w:before="180" w:after="180" w:line="480" w:lineRule="exact"/>
      <w:outlineLvl w:val="0"/>
    </w:pPr>
    <w:rPr>
      <w:b/>
      <w:bCs/>
      <w:color w:val="000000"/>
      <w:kern w:val="24"/>
      <w:sz w:val="30"/>
      <w:szCs w:val="20"/>
    </w:rPr>
  </w:style>
  <w:style w:type="paragraph" w:customStyle="1" w:styleId="927">
    <w:name w:val="正文文本缩进2"/>
    <w:basedOn w:val="1"/>
    <w:qFormat/>
    <w:uiPriority w:val="0"/>
    <w:pPr>
      <w:spacing w:line="360" w:lineRule="exact"/>
      <w:ind w:firstLine="480"/>
    </w:pPr>
    <w:rPr>
      <w:rFonts w:ascii="Arial Unicode MS" w:hAnsi="Arial Unicode MS" w:cs="Vladimir Script"/>
      <w:bCs/>
      <w:color w:val="000000"/>
      <w:kern w:val="24"/>
      <w:szCs w:val="20"/>
    </w:rPr>
  </w:style>
  <w:style w:type="paragraph" w:customStyle="1" w:styleId="928">
    <w:name w:val="样式 样式 标题 4 + 四号 + 首行缩进:  2 字符"/>
    <w:basedOn w:val="929"/>
    <w:qFormat/>
    <w:uiPriority w:val="0"/>
    <w:pPr>
      <w:tabs>
        <w:tab w:val="left" w:pos="720"/>
      </w:tabs>
    </w:pPr>
    <w:rPr>
      <w:rFonts w:cs="宋体"/>
      <w:szCs w:val="20"/>
    </w:rPr>
  </w:style>
  <w:style w:type="paragraph" w:customStyle="1" w:styleId="929">
    <w:name w:val="样式 标题 4 + 四号"/>
    <w:basedOn w:val="3"/>
    <w:qFormat/>
    <w:uiPriority w:val="0"/>
    <w:pPr>
      <w:widowControl/>
      <w:tabs>
        <w:tab w:val="left" w:pos="720"/>
      </w:tabs>
      <w:snapToGrid w:val="0"/>
      <w:spacing w:before="60" w:after="60" w:line="480" w:lineRule="atLeast"/>
      <w:ind w:firstLine="200"/>
    </w:pPr>
    <w:rPr>
      <w:rFonts w:ascii="Times New Roman" w:hAnsi="Times New Roman" w:eastAsia="宋体"/>
      <w:b w:val="0"/>
      <w:color w:val="000000"/>
      <w:kern w:val="0"/>
      <w:sz w:val="24"/>
      <w:szCs w:val="24"/>
    </w:rPr>
  </w:style>
  <w:style w:type="paragraph" w:customStyle="1" w:styleId="930">
    <w:name w:val="大妹正文 Char"/>
    <w:basedOn w:val="4"/>
    <w:qFormat/>
    <w:uiPriority w:val="0"/>
    <w:pPr>
      <w:keepNext w:val="0"/>
      <w:overflowPunct/>
      <w:snapToGrid/>
      <w:spacing w:before="0" w:afterLines="100" w:line="240" w:lineRule="exact"/>
      <w:ind w:left="-126" w:leftChars="-60" w:right="-113" w:rightChars="-54" w:firstLine="0"/>
      <w:outlineLvl w:val="9"/>
    </w:pPr>
    <w:rPr>
      <w:rFonts w:ascii="宋体" w:eastAsia="宋体"/>
      <w:b w:val="0"/>
      <w:sz w:val="24"/>
      <w:szCs w:val="24"/>
    </w:rPr>
  </w:style>
  <w:style w:type="paragraph" w:customStyle="1" w:styleId="931">
    <w:name w:val="xl27"/>
    <w:basedOn w:val="1"/>
    <w:qFormat/>
    <w:uiPriority w:val="0"/>
    <w:pPr>
      <w:widowControl/>
      <w:pBdr>
        <w:bottom w:val="single" w:color="auto" w:sz="4" w:space="0"/>
        <w:right w:val="single" w:color="auto" w:sz="4" w:space="0"/>
      </w:pBdr>
      <w:spacing w:before="100" w:beforeAutospacing="1" w:after="100" w:afterAutospacing="1"/>
      <w:jc w:val="center"/>
    </w:pPr>
    <w:rPr>
      <w:bCs/>
      <w:color w:val="000000"/>
      <w:kern w:val="0"/>
      <w:szCs w:val="21"/>
    </w:rPr>
  </w:style>
  <w:style w:type="paragraph" w:customStyle="1" w:styleId="932">
    <w:name w:val="Char Char22"/>
    <w:basedOn w:val="1"/>
    <w:qFormat/>
    <w:uiPriority w:val="0"/>
    <w:pPr>
      <w:widowControl/>
      <w:spacing w:after="160" w:line="240" w:lineRule="exact"/>
      <w:ind w:firstLine="200"/>
    </w:pPr>
    <w:rPr>
      <w:rFonts w:ascii="ˎ̥" w:hAnsi="ˎ̥" w:cs="Vladimir Script"/>
      <w:bCs/>
      <w:color w:val="000000"/>
      <w:kern w:val="0"/>
      <w:sz w:val="20"/>
      <w:szCs w:val="20"/>
      <w:lang w:eastAsia="en-US"/>
    </w:rPr>
  </w:style>
  <w:style w:type="paragraph" w:customStyle="1" w:styleId="933">
    <w:name w:val="样式 标题 3标题 3 Char + 小四 黑色"/>
    <w:basedOn w:val="6"/>
    <w:qFormat/>
    <w:uiPriority w:val="0"/>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b w:val="0"/>
      <w:bCs w:val="0"/>
      <w:color w:val="000000"/>
      <w:kern w:val="24"/>
      <w:sz w:val="28"/>
      <w:szCs w:val="24"/>
    </w:rPr>
  </w:style>
  <w:style w:type="paragraph" w:customStyle="1" w:styleId="93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bCs/>
      <w:color w:val="000000"/>
      <w:sz w:val="28"/>
      <w:szCs w:val="24"/>
      <w:lang w:val="en-US" w:eastAsia="zh-CN" w:bidi="ar-SA"/>
    </w:rPr>
  </w:style>
  <w:style w:type="paragraph" w:customStyle="1" w:styleId="935">
    <w:name w:val="报告书表格"/>
    <w:basedOn w:val="1"/>
    <w:qFormat/>
    <w:uiPriority w:val="0"/>
    <w:pPr>
      <w:adjustRightInd w:val="0"/>
      <w:spacing w:before="60" w:after="60" w:line="240" w:lineRule="atLeast"/>
      <w:jc w:val="center"/>
      <w:textAlignment w:val="baseline"/>
    </w:pPr>
    <w:rPr>
      <w:bCs/>
      <w:color w:val="000000"/>
      <w:kern w:val="0"/>
      <w:szCs w:val="20"/>
    </w:rPr>
  </w:style>
  <w:style w:type="paragraph" w:customStyle="1" w:styleId="936">
    <w:name w:val="默认段落字体 Para Char Char Char Char Char Char Char Char Char Char Char"/>
    <w:qFormat/>
    <w:uiPriority w:val="0"/>
    <w:pPr>
      <w:tabs>
        <w:tab w:val="left" w:pos="360"/>
        <w:tab w:val="left" w:pos="900"/>
      </w:tabs>
      <w:snapToGrid w:val="0"/>
      <w:spacing w:before="120" w:after="120" w:line="360" w:lineRule="auto"/>
      <w:ind w:left="542" w:leftChars="-12" w:firstLine="200" w:firstLineChars="200"/>
    </w:pPr>
    <w:rPr>
      <w:rFonts w:ascii="Times New Roman" w:hAnsi="Times New Roman" w:eastAsia="黑体" w:cs="Times New Roman"/>
      <w:kern w:val="2"/>
      <w:sz w:val="24"/>
      <w:szCs w:val="24"/>
      <w:lang w:val="en-US" w:eastAsia="zh-CN" w:bidi="ar-SA"/>
    </w:rPr>
  </w:style>
  <w:style w:type="paragraph" w:customStyle="1" w:styleId="937">
    <w:name w:val="a表格"/>
    <w:basedOn w:val="1"/>
    <w:qFormat/>
    <w:uiPriority w:val="0"/>
    <w:pPr>
      <w:snapToGrid w:val="0"/>
      <w:jc w:val="center"/>
    </w:pPr>
    <w:rPr>
      <w:bCs/>
      <w:color w:val="000000"/>
      <w:kern w:val="24"/>
    </w:rPr>
  </w:style>
  <w:style w:type="paragraph" w:customStyle="1" w:styleId="938">
    <w:name w:val="默认段落字体 Para Char Char Char Char Char Char Char"/>
    <w:basedOn w:val="1"/>
    <w:qFormat/>
    <w:uiPriority w:val="0"/>
    <w:pPr>
      <w:adjustRightInd w:val="0"/>
      <w:textAlignment w:val="baseline"/>
    </w:pPr>
    <w:rPr>
      <w:bCs/>
      <w:color w:val="000000"/>
      <w:kern w:val="0"/>
      <w:szCs w:val="20"/>
    </w:rPr>
  </w:style>
  <w:style w:type="paragraph" w:customStyle="1" w:styleId="939">
    <w:name w:val="样式 标题 1新标题1 + 段前: 0.5 行 段后: 0.5 行"/>
    <w:basedOn w:val="4"/>
    <w:qFormat/>
    <w:uiPriority w:val="0"/>
    <w:pPr>
      <w:keepLines/>
      <w:overflowPunct/>
      <w:snapToGrid/>
      <w:spacing w:beforeLines="50" w:afterLines="50" w:line="460" w:lineRule="exact"/>
      <w:ind w:left="0" w:firstLine="0"/>
    </w:pPr>
    <w:rPr>
      <w:rFonts w:ascii="黑体" w:cs="宋体"/>
      <w:sz w:val="28"/>
      <w:szCs w:val="20"/>
    </w:rPr>
  </w:style>
  <w:style w:type="paragraph" w:customStyle="1" w:styleId="940">
    <w:name w:val="Char Char1 Char Char Char Char Char Char Char"/>
    <w:basedOn w:val="1"/>
    <w:qFormat/>
    <w:uiPriority w:val="0"/>
    <w:rPr>
      <w:rFonts w:ascii="Batang" w:hAnsi="Batang" w:cs="Batang"/>
      <w:bCs/>
      <w:color w:val="000000"/>
      <w:kern w:val="24"/>
    </w:rPr>
  </w:style>
  <w:style w:type="paragraph" w:customStyle="1" w:styleId="941">
    <w:name w:val="大题注"/>
    <w:basedOn w:val="1"/>
    <w:qFormat/>
    <w:uiPriority w:val="0"/>
    <w:pPr>
      <w:spacing w:before="100" w:beforeAutospacing="1" w:after="100" w:afterAutospacing="1"/>
      <w:ind w:firstLine="480"/>
    </w:pPr>
    <w:rPr>
      <w:rFonts w:ascii="Arial" w:hAnsi="Arial" w:eastAsia="黑体"/>
      <w:bCs/>
      <w:color w:val="000000"/>
      <w:kern w:val="24"/>
      <w:szCs w:val="20"/>
    </w:rPr>
  </w:style>
  <w:style w:type="paragraph" w:customStyle="1" w:styleId="942">
    <w:name w:val="标题一"/>
    <w:basedOn w:val="1"/>
    <w:next w:val="4"/>
    <w:qFormat/>
    <w:uiPriority w:val="0"/>
    <w:pPr>
      <w:tabs>
        <w:tab w:val="left" w:pos="720"/>
      </w:tabs>
      <w:ind w:left="720"/>
    </w:pPr>
    <w:rPr>
      <w:bCs/>
      <w:color w:val="000000"/>
      <w:kern w:val="24"/>
      <w:sz w:val="28"/>
      <w:szCs w:val="20"/>
    </w:rPr>
  </w:style>
  <w:style w:type="paragraph" w:customStyle="1" w:styleId="943">
    <w:name w:val="Char Char Char1 Char Char Char Char Char Char Char Char Char"/>
    <w:basedOn w:val="1"/>
    <w:qFormat/>
    <w:uiPriority w:val="0"/>
    <w:rPr>
      <w:rFonts w:ascii="Batang" w:hAnsi="Batang" w:eastAsia="ӗԲ" w:cs="Batang"/>
      <w:b/>
      <w:bCs/>
      <w:color w:val="000000"/>
      <w:kern w:val="24"/>
      <w:sz w:val="28"/>
      <w:szCs w:val="28"/>
    </w:rPr>
  </w:style>
  <w:style w:type="paragraph" w:customStyle="1" w:styleId="944">
    <w:name w:val="样式 样式 样式 样式 标题 3 + 宋体 小四 段前: 7.8 磅 段后: 7.8 磅 行距: 多倍行距 0.5 字行 + 行...1"/>
    <w:basedOn w:val="6"/>
    <w:next w:val="1"/>
    <w:qFormat/>
    <w:uiPriority w:val="0"/>
    <w:pPr>
      <w:spacing w:beforeLines="50" w:afterLines="50" w:line="360" w:lineRule="exact"/>
    </w:pPr>
    <w:rPr>
      <w:bCs w:val="0"/>
      <w:color w:val="000000"/>
      <w:kern w:val="24"/>
      <w:sz w:val="24"/>
    </w:rPr>
  </w:style>
  <w:style w:type="paragraph" w:customStyle="1" w:styleId="945">
    <w:name w:val="Char Char Char Char Char Char Char Char Char Char Char Char Char1"/>
    <w:basedOn w:val="1"/>
    <w:qFormat/>
    <w:uiPriority w:val="0"/>
    <w:pPr>
      <w:spacing w:line="440" w:lineRule="exact"/>
      <w:ind w:firstLine="200"/>
    </w:pPr>
    <w:rPr>
      <w:rFonts w:ascii="Arial Unicode MS" w:hAnsi="Arial Unicode MS" w:cs="Vladimir Script"/>
      <w:bCs/>
      <w:color w:val="000000"/>
      <w:kern w:val="24"/>
    </w:rPr>
  </w:style>
  <w:style w:type="paragraph" w:customStyle="1" w:styleId="946">
    <w:name w:val="样式 正文文本正文文字 + 仿宋_GB2312 四号 红色 首行缩进:  2 字符"/>
    <w:basedOn w:val="28"/>
    <w:qFormat/>
    <w:uiPriority w:val="0"/>
    <w:pPr>
      <w:widowControl w:val="0"/>
      <w:adjustRightInd w:val="0"/>
      <w:spacing w:after="60" w:line="264" w:lineRule="auto"/>
      <w:ind w:right="0" w:firstLine="560"/>
      <w:textAlignment w:val="baseline"/>
    </w:pPr>
    <w:rPr>
      <w:rFonts w:ascii="Garamond" w:hAnsi="Arial Unicode MS" w:eastAsia="Garamond" w:cs="Vladimir Script"/>
      <w:bCs/>
      <w:snapToGrid w:val="0"/>
      <w:color w:val="FF0000"/>
      <w:sz w:val="24"/>
    </w:rPr>
  </w:style>
  <w:style w:type="paragraph" w:customStyle="1" w:styleId="94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Cs/>
      <w:color w:val="000000"/>
      <w:kern w:val="0"/>
      <w:sz w:val="20"/>
      <w:szCs w:val="20"/>
    </w:rPr>
  </w:style>
  <w:style w:type="paragraph" w:customStyle="1" w:styleId="948">
    <w:name w:val="表头右"/>
    <w:basedOn w:val="1"/>
    <w:qFormat/>
    <w:uiPriority w:val="0"/>
    <w:pPr>
      <w:ind w:firstLine="448"/>
      <w:jc w:val="right"/>
    </w:pPr>
    <w:rPr>
      <w:bCs/>
      <w:color w:val="000000"/>
      <w:kern w:val="24"/>
    </w:rPr>
  </w:style>
  <w:style w:type="paragraph" w:customStyle="1" w:styleId="949">
    <w:name w:val="CM113"/>
    <w:basedOn w:val="111"/>
    <w:next w:val="111"/>
    <w:qFormat/>
    <w:uiPriority w:val="0"/>
    <w:pPr>
      <w:spacing w:after="62"/>
    </w:pPr>
    <w:rPr>
      <w:rFonts w:hAnsi="Batang" w:cs="Batang"/>
      <w:color w:val="auto"/>
    </w:rPr>
  </w:style>
  <w:style w:type="paragraph" w:customStyle="1" w:styleId="950">
    <w:name w:val="样式 目录 2 + 左侧:  2 字符"/>
    <w:basedOn w:val="66"/>
    <w:qFormat/>
    <w:uiPriority w:val="0"/>
    <w:pPr>
      <w:tabs>
        <w:tab w:val="left" w:pos="1050"/>
        <w:tab w:val="right" w:leader="middleDot" w:pos="8296"/>
      </w:tabs>
      <w:spacing w:line="276" w:lineRule="auto"/>
      <w:ind w:left="0" w:leftChars="0"/>
    </w:pPr>
    <w:rPr>
      <w:rFonts w:ascii="Vladimir Script" w:hAnsi="Vladimir Script" w:eastAsia="楷体_GB2312" w:cs="宋体"/>
      <w:bCs/>
      <w:color w:val="000000"/>
      <w:kern w:val="24"/>
    </w:rPr>
  </w:style>
  <w:style w:type="paragraph" w:customStyle="1" w:styleId="951">
    <w:name w:val="热电厂正文 Char"/>
    <w:basedOn w:val="1"/>
    <w:qFormat/>
    <w:uiPriority w:val="0"/>
    <w:pPr>
      <w:spacing w:line="440" w:lineRule="exact"/>
      <w:ind w:firstLine="480"/>
    </w:pPr>
    <w:rPr>
      <w:bCs/>
      <w:color w:val="000000"/>
      <w:kern w:val="24"/>
    </w:rPr>
  </w:style>
  <w:style w:type="paragraph" w:customStyle="1" w:styleId="952">
    <w:name w:val="正文样式1"/>
    <w:basedOn w:val="1"/>
    <w:qFormat/>
    <w:uiPriority w:val="0"/>
    <w:pPr>
      <w:adjustRightInd w:val="0"/>
      <w:snapToGrid w:val="0"/>
      <w:ind w:firstLine="510"/>
      <w:textAlignment w:val="baseline"/>
    </w:pPr>
    <w:rPr>
      <w:bCs/>
      <w:color w:val="000000"/>
      <w:kern w:val="24"/>
      <w:szCs w:val="20"/>
    </w:rPr>
  </w:style>
  <w:style w:type="paragraph" w:customStyle="1" w:styleId="953">
    <w:name w:val="xl22"/>
    <w:basedOn w:val="1"/>
    <w:qFormat/>
    <w:uiPriority w:val="0"/>
    <w:pPr>
      <w:widowControl/>
      <w:spacing w:before="100" w:after="100"/>
      <w:jc w:val="center"/>
    </w:pPr>
    <w:rPr>
      <w:rFonts w:ascii="Batang" w:hAnsi="Batang" w:cs="Batang"/>
      <w:bCs/>
      <w:color w:val="000000"/>
      <w:kern w:val="0"/>
    </w:rPr>
  </w:style>
  <w:style w:type="paragraph" w:customStyle="1" w:styleId="954">
    <w:name w:val="正文11"/>
    <w:basedOn w:val="1"/>
    <w:next w:val="1"/>
    <w:qFormat/>
    <w:uiPriority w:val="0"/>
    <w:rPr>
      <w:bCs/>
      <w:color w:val="000000"/>
      <w:kern w:val="24"/>
    </w:rPr>
  </w:style>
  <w:style w:type="paragraph" w:customStyle="1" w:styleId="955">
    <w:name w:val="样式 正文文字缩进 2 + 首行缩进:  2 字符"/>
    <w:basedOn w:val="44"/>
    <w:qFormat/>
    <w:uiPriority w:val="0"/>
    <w:pPr>
      <w:adjustRightInd/>
      <w:spacing w:line="480" w:lineRule="atLeast"/>
      <w:ind w:firstLine="200"/>
      <w:textAlignment w:val="auto"/>
    </w:pPr>
    <w:rPr>
      <w:rFonts w:ascii="Batang" w:hAnsi="Batang" w:cs="Batang"/>
      <w:kern w:val="2"/>
      <w:sz w:val="24"/>
      <w:szCs w:val="24"/>
    </w:rPr>
  </w:style>
  <w:style w:type="paragraph" w:customStyle="1" w:styleId="956">
    <w:name w:val="nv nslog-area"/>
    <w:basedOn w:val="1"/>
    <w:qFormat/>
    <w:uiPriority w:val="0"/>
    <w:pPr>
      <w:widowControl/>
      <w:spacing w:before="100" w:beforeAutospacing="1" w:after="100" w:afterAutospacing="1"/>
    </w:pPr>
    <w:rPr>
      <w:rFonts w:ascii="宋体" w:hAnsi="宋体" w:cs="宋体"/>
      <w:bCs/>
      <w:color w:val="000000"/>
      <w:kern w:val="0"/>
    </w:rPr>
  </w:style>
  <w:style w:type="paragraph" w:customStyle="1" w:styleId="957">
    <w:name w:val="表名"/>
    <w:basedOn w:val="1"/>
    <w:next w:val="1"/>
    <w:qFormat/>
    <w:uiPriority w:val="0"/>
    <w:pPr>
      <w:spacing w:line="360" w:lineRule="exact"/>
      <w:jc w:val="center"/>
    </w:pPr>
    <w:rPr>
      <w:rFonts w:ascii="宋体" w:hAnsi="宋体"/>
      <w:b/>
      <w:bCs/>
      <w:color w:val="000000"/>
      <w:kern w:val="24"/>
      <w:szCs w:val="20"/>
    </w:rPr>
  </w:style>
  <w:style w:type="paragraph" w:customStyle="1" w:styleId="958">
    <w:name w:val="样式 五号 居中 行距: 最小值 18 磅"/>
    <w:basedOn w:val="1"/>
    <w:qFormat/>
    <w:uiPriority w:val="0"/>
    <w:pPr>
      <w:spacing w:line="360" w:lineRule="atLeast"/>
      <w:jc w:val="center"/>
    </w:pPr>
    <w:rPr>
      <w:rFonts w:cs="宋体"/>
      <w:bCs/>
      <w:color w:val="000000"/>
      <w:kern w:val="24"/>
      <w:szCs w:val="20"/>
    </w:rPr>
  </w:style>
  <w:style w:type="paragraph" w:customStyle="1" w:styleId="959">
    <w:name w:val="样式 题注 + 首行缩进:  2 字符"/>
    <w:basedOn w:val="1"/>
    <w:qFormat/>
    <w:uiPriority w:val="0"/>
    <w:pPr>
      <w:spacing w:before="100" w:beforeAutospacing="1" w:after="100" w:afterAutospacing="1"/>
      <w:ind w:firstLine="200"/>
    </w:pPr>
    <w:rPr>
      <w:rFonts w:ascii="Arial" w:hAnsi="Arial" w:eastAsia="黑体" w:cs="宋体"/>
      <w:bCs/>
      <w:color w:val="000000"/>
      <w:kern w:val="24"/>
      <w:szCs w:val="20"/>
    </w:rPr>
  </w:style>
  <w:style w:type="paragraph" w:customStyle="1" w:styleId="960">
    <w:name w:val="样式 样式 首行缩进:  2 字符 + 首行缩进:  2 字符 段前: 0.5 行 段后: 0.5 行"/>
    <w:basedOn w:val="1"/>
    <w:qFormat/>
    <w:uiPriority w:val="0"/>
    <w:pPr>
      <w:spacing w:beforeLines="50" w:afterLines="50" w:line="400" w:lineRule="atLeast"/>
      <w:ind w:firstLine="200"/>
    </w:pPr>
    <w:rPr>
      <w:rFonts w:cs="宋体"/>
      <w:bCs/>
      <w:color w:val="000000"/>
      <w:kern w:val="24"/>
      <w:szCs w:val="20"/>
    </w:rPr>
  </w:style>
  <w:style w:type="paragraph" w:customStyle="1" w:styleId="961">
    <w:name w:val="样式 题注 + (西文) Times New Roman (中文) 宋体 小四 加粗 黑色 Char"/>
    <w:basedOn w:val="19"/>
    <w:qFormat/>
    <w:uiPriority w:val="0"/>
    <w:pPr>
      <w:keepNext w:val="0"/>
      <w:tabs>
        <w:tab w:val="clear" w:pos="2445"/>
        <w:tab w:val="clear" w:pos="4156"/>
      </w:tabs>
      <w:adjustRightInd w:val="0"/>
      <w:spacing w:beforeLines="100"/>
      <w:ind w:firstLine="200"/>
    </w:pPr>
    <w:rPr>
      <w:rFonts w:ascii="Vladimir Script" w:hAnsi="Vladimir Script" w:eastAsia="Vladimir Script" w:cs="ˎ̥"/>
      <w:snapToGrid/>
      <w:color w:val="000000"/>
    </w:rPr>
  </w:style>
  <w:style w:type="paragraph" w:customStyle="1" w:styleId="962">
    <w:name w:val="正文正1"/>
    <w:basedOn w:val="1"/>
    <w:qFormat/>
    <w:uiPriority w:val="0"/>
    <w:pPr>
      <w:spacing w:line="360" w:lineRule="exact"/>
      <w:jc w:val="center"/>
    </w:pPr>
    <w:rPr>
      <w:rFonts w:ascii="Batang" w:hAnsi="Batang" w:cs="Batang"/>
      <w:bCs/>
      <w:color w:val="000000"/>
      <w:spacing w:val="-6"/>
      <w:kern w:val="0"/>
      <w:szCs w:val="21"/>
    </w:rPr>
  </w:style>
  <w:style w:type="paragraph" w:customStyle="1" w:styleId="963">
    <w:name w:val="样式 宋体 黑色 居中"/>
    <w:basedOn w:val="1"/>
    <w:qFormat/>
    <w:uiPriority w:val="0"/>
    <w:pPr>
      <w:spacing w:line="440" w:lineRule="exact"/>
      <w:ind w:firstLine="405" w:firstLineChars="193"/>
      <w:jc w:val="center"/>
    </w:pPr>
    <w:rPr>
      <w:rFonts w:ascii="Sim Sun" w:hAnsi="Arial Unicode MS" w:eastAsia="Garamond" w:cs="Vladimir Script"/>
      <w:bCs/>
      <w:color w:val="000000"/>
      <w:kern w:val="0"/>
      <w:szCs w:val="20"/>
    </w:rPr>
  </w:style>
  <w:style w:type="paragraph" w:customStyle="1" w:styleId="964">
    <w:name w:val="reader-word-layer reader-word-s2-8"/>
    <w:basedOn w:val="1"/>
    <w:qFormat/>
    <w:uiPriority w:val="0"/>
    <w:pPr>
      <w:widowControl/>
      <w:spacing w:before="100" w:beforeAutospacing="1" w:after="100" w:afterAutospacing="1"/>
    </w:pPr>
    <w:rPr>
      <w:rFonts w:ascii="宋体" w:hAnsi="宋体" w:cs="宋体"/>
      <w:bCs/>
      <w:color w:val="000000"/>
      <w:kern w:val="0"/>
    </w:rPr>
  </w:style>
  <w:style w:type="paragraph" w:customStyle="1" w:styleId="965">
    <w:name w:val="三"/>
    <w:basedOn w:val="1"/>
    <w:qFormat/>
    <w:uiPriority w:val="0"/>
    <w:rPr>
      <w:rFonts w:ascii="Sim Sun" w:hAnsi="Batang" w:cs="Batang"/>
      <w:bCs/>
      <w:color w:val="000000"/>
      <w:kern w:val="24"/>
      <w:szCs w:val="20"/>
    </w:rPr>
  </w:style>
  <w:style w:type="paragraph" w:customStyle="1" w:styleId="966">
    <w:name w:val="Char Char Char Char Char Char1"/>
    <w:basedOn w:val="1"/>
    <w:semiHidden/>
    <w:qFormat/>
    <w:uiPriority w:val="0"/>
    <w:pPr>
      <w:widowControl/>
      <w:spacing w:after="160" w:line="240" w:lineRule="exact"/>
    </w:pPr>
    <w:rPr>
      <w:rFonts w:ascii="Verdana" w:hAnsi="Verdana"/>
      <w:bCs/>
      <w:color w:val="000000"/>
      <w:kern w:val="0"/>
      <w:sz w:val="20"/>
      <w:szCs w:val="20"/>
      <w:lang w:eastAsia="en-US"/>
    </w:rPr>
  </w:style>
  <w:style w:type="paragraph" w:customStyle="1" w:styleId="967">
    <w:name w:val="TOC 标题1"/>
    <w:basedOn w:val="4"/>
    <w:next w:val="1"/>
    <w:qFormat/>
    <w:uiPriority w:val="0"/>
    <w:pPr>
      <w:keepLines/>
      <w:widowControl/>
      <w:overflowPunct/>
      <w:snapToGrid/>
      <w:spacing w:before="480" w:after="0" w:line="276" w:lineRule="auto"/>
      <w:ind w:left="0" w:firstLine="200"/>
      <w:textAlignment w:val="baseline"/>
      <w:outlineLvl w:val="9"/>
    </w:pPr>
    <w:rPr>
      <w:rFonts w:ascii="Calibri" w:hAnsi="Calibri" w:eastAsia="仿宋体" w:cs="ˎ̥"/>
      <w:color w:val="365F91"/>
      <w:kern w:val="2"/>
      <w:sz w:val="28"/>
      <w:szCs w:val="20"/>
    </w:rPr>
  </w:style>
  <w:style w:type="paragraph" w:customStyle="1" w:styleId="968">
    <w:name w:val="样式 样式 首行缩进:  2 字符19 + 首行缩进:  2 字符"/>
    <w:basedOn w:val="1"/>
    <w:qFormat/>
    <w:uiPriority w:val="0"/>
    <w:pPr>
      <w:spacing w:line="520" w:lineRule="exact"/>
      <w:ind w:firstLine="480"/>
    </w:pPr>
    <w:rPr>
      <w:rFonts w:cs="宋体"/>
      <w:bCs/>
      <w:color w:val="000000"/>
      <w:kern w:val="24"/>
      <w:szCs w:val="20"/>
    </w:rPr>
  </w:style>
  <w:style w:type="paragraph" w:customStyle="1" w:styleId="969">
    <w:name w:val="表头样式1"/>
    <w:basedOn w:val="1"/>
    <w:qFormat/>
    <w:uiPriority w:val="0"/>
    <w:pPr>
      <w:autoSpaceDE w:val="0"/>
      <w:autoSpaceDN w:val="0"/>
      <w:adjustRightInd w:val="0"/>
      <w:spacing w:beforeLines="30"/>
      <w:jc w:val="center"/>
    </w:pPr>
    <w:rPr>
      <w:rFonts w:ascii="黑体" w:hAnsi="宋体" w:eastAsia="黑体"/>
      <w:bCs/>
      <w:color w:val="000000"/>
      <w:kern w:val="0"/>
    </w:rPr>
  </w:style>
  <w:style w:type="paragraph" w:customStyle="1" w:styleId="970">
    <w:name w:val="Char Char Char Char Char2 Char Char Char Char"/>
    <w:basedOn w:val="1"/>
    <w:semiHidden/>
    <w:qFormat/>
    <w:uiPriority w:val="0"/>
    <w:pPr>
      <w:adjustRightInd w:val="0"/>
      <w:snapToGrid w:val="0"/>
      <w:ind w:firstLine="200"/>
    </w:pPr>
    <w:rPr>
      <w:rFonts w:ascii="宋体" w:hAnsi="宋体" w:cs="宋体"/>
      <w:bCs/>
      <w:color w:val="000000"/>
      <w:kern w:val="24"/>
      <w:szCs w:val="26"/>
    </w:rPr>
  </w:style>
  <w:style w:type="paragraph" w:customStyle="1" w:styleId="971">
    <w:name w:val="Char Char Char12"/>
    <w:basedOn w:val="1"/>
    <w:semiHidden/>
    <w:qFormat/>
    <w:uiPriority w:val="0"/>
    <w:pPr>
      <w:spacing w:beforeLines="100"/>
    </w:pPr>
    <w:rPr>
      <w:rFonts w:ascii="Sim Sun" w:hAnsi="Sim Sun" w:cs="Sim Sun"/>
      <w:b/>
      <w:bCs/>
      <w:color w:val="000000"/>
      <w:kern w:val="24"/>
    </w:rPr>
  </w:style>
  <w:style w:type="paragraph" w:customStyle="1" w:styleId="972">
    <w:name w:val="样式8"/>
    <w:basedOn w:val="6"/>
    <w:qFormat/>
    <w:uiPriority w:val="0"/>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paragraph" w:customStyle="1" w:styleId="973">
    <w:name w:val="样式 样式 样式 样式 样式 样式 样式 正文缩进 + 首行缩进:  2 字符1 + 首行缩进:  2 字符1 + 四号 + 首..."/>
    <w:basedOn w:val="1"/>
    <w:qFormat/>
    <w:uiPriority w:val="0"/>
    <w:pPr>
      <w:spacing w:line="520" w:lineRule="exact"/>
      <w:ind w:firstLine="592"/>
    </w:pPr>
    <w:rPr>
      <w:rFonts w:ascii="@幼圆" w:hAnsi="Batang" w:eastAsia="@幼圆" w:cs="Batang"/>
      <w:bCs/>
      <w:color w:val="000000"/>
      <w:kern w:val="0"/>
      <w:sz w:val="28"/>
      <w:szCs w:val="20"/>
    </w:rPr>
  </w:style>
  <w:style w:type="paragraph" w:customStyle="1" w:styleId="974">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0000"/>
      <w:kern w:val="0"/>
      <w:sz w:val="20"/>
      <w:szCs w:val="20"/>
    </w:rPr>
  </w:style>
  <w:style w:type="paragraph" w:customStyle="1" w:styleId="975">
    <w:name w:val="样式 正文文字 + 首行缩进:  2 字符 行距: 最小值 24 磅"/>
    <w:basedOn w:val="1"/>
    <w:qFormat/>
    <w:uiPriority w:val="0"/>
    <w:pPr>
      <w:adjustRightInd w:val="0"/>
      <w:snapToGrid w:val="0"/>
      <w:spacing w:line="480" w:lineRule="atLeast"/>
      <w:ind w:firstLine="480"/>
    </w:pPr>
    <w:rPr>
      <w:rFonts w:cs="宋体"/>
      <w:bCs/>
      <w:color w:val="000000"/>
      <w:kern w:val="24"/>
      <w:szCs w:val="20"/>
    </w:rPr>
  </w:style>
  <w:style w:type="paragraph" w:customStyle="1" w:styleId="976">
    <w:name w:val="样式 标题 1 + 首行缩进:  2 字符"/>
    <w:basedOn w:val="4"/>
    <w:qFormat/>
    <w:uiPriority w:val="0"/>
    <w:pPr>
      <w:keepLines/>
      <w:overflowPunct/>
      <w:snapToGrid/>
      <w:spacing w:before="240" w:after="240" w:line="440" w:lineRule="atLeast"/>
      <w:ind w:left="0" w:firstLine="0"/>
    </w:pPr>
    <w:rPr>
      <w:rFonts w:eastAsia="宋体"/>
    </w:rPr>
  </w:style>
  <w:style w:type="paragraph" w:customStyle="1" w:styleId="977">
    <w:name w:val="样式 样式 样式 标题 2标题2二级 标题 2H2h2第一层条标题 2 Char节标题节11 Char标题 2 Cha...1 ..."/>
    <w:basedOn w:val="915"/>
    <w:qFormat/>
    <w:uiPriority w:val="0"/>
  </w:style>
  <w:style w:type="paragraph" w:customStyle="1" w:styleId="978">
    <w:name w:val="font7"/>
    <w:basedOn w:val="1"/>
    <w:qFormat/>
    <w:uiPriority w:val="0"/>
    <w:pPr>
      <w:widowControl/>
      <w:spacing w:before="100" w:beforeAutospacing="1" w:after="100" w:afterAutospacing="1"/>
    </w:pPr>
    <w:rPr>
      <w:rFonts w:eastAsia="Arial Unicode MS"/>
      <w:bCs/>
      <w:color w:val="000000"/>
      <w:kern w:val="0"/>
      <w:sz w:val="20"/>
      <w:szCs w:val="20"/>
    </w:rPr>
  </w:style>
  <w:style w:type="paragraph" w:customStyle="1" w:styleId="979">
    <w:name w:val="Char Char Char Char Char Char1 Char1"/>
    <w:basedOn w:val="1"/>
    <w:semiHidden/>
    <w:qFormat/>
    <w:uiPriority w:val="0"/>
    <w:pPr>
      <w:tabs>
        <w:tab w:val="left" w:pos="360"/>
      </w:tabs>
      <w:ind w:firstLine="200"/>
    </w:pPr>
    <w:rPr>
      <w:bCs/>
      <w:color w:val="000000"/>
      <w:kern w:val="0"/>
    </w:rPr>
  </w:style>
  <w:style w:type="paragraph" w:customStyle="1" w:styleId="980">
    <w:name w:val="样式 标题 2 + 首行缩进:  2 字符"/>
    <w:basedOn w:val="5"/>
    <w:qFormat/>
    <w:uiPriority w:val="0"/>
    <w:pPr>
      <w:spacing w:before="120" w:after="120" w:line="440" w:lineRule="atLeast"/>
    </w:pPr>
    <w:rPr>
      <w:rFonts w:ascii="Arial" w:hAnsi="Arial" w:cs="宋体"/>
      <w:bCs w:val="0"/>
      <w:color w:val="000000"/>
      <w:kern w:val="24"/>
      <w:sz w:val="28"/>
      <w:szCs w:val="20"/>
    </w:rPr>
  </w:style>
  <w:style w:type="paragraph" w:customStyle="1" w:styleId="981">
    <w:name w:val="样式 标题 3 + 首行缩进:  2 字符"/>
    <w:basedOn w:val="6"/>
    <w:qFormat/>
    <w:uiPriority w:val="0"/>
    <w:pPr>
      <w:spacing w:before="60" w:after="60" w:line="440" w:lineRule="atLeast"/>
    </w:pPr>
    <w:rPr>
      <w:rFonts w:cs="宋体"/>
      <w:bCs w:val="0"/>
      <w:color w:val="000000"/>
      <w:kern w:val="24"/>
      <w:sz w:val="24"/>
      <w:szCs w:val="20"/>
    </w:rPr>
  </w:style>
  <w:style w:type="paragraph" w:customStyle="1" w:styleId="982">
    <w:name w:val="Char Char Char Char Char Char Char"/>
    <w:basedOn w:val="1"/>
    <w:qFormat/>
    <w:uiPriority w:val="0"/>
    <w:rPr>
      <w:bCs/>
      <w:color w:val="000000"/>
      <w:kern w:val="24"/>
    </w:rPr>
  </w:style>
  <w:style w:type="paragraph" w:customStyle="1" w:styleId="983">
    <w:name w:val="编号标题"/>
    <w:basedOn w:val="6"/>
    <w:qFormat/>
    <w:uiPriority w:val="0"/>
    <w:pPr>
      <w:spacing w:before="160" w:after="0" w:line="460" w:lineRule="exact"/>
      <w:ind w:firstLine="420"/>
      <w:outlineLvl w:val="9"/>
    </w:pPr>
    <w:rPr>
      <w:rFonts w:ascii="宋体" w:hAnsi="宋体"/>
      <w:b w:val="0"/>
      <w:color w:val="000000"/>
      <w:kern w:val="24"/>
      <w:sz w:val="21"/>
      <w:szCs w:val="24"/>
    </w:rPr>
  </w:style>
  <w:style w:type="paragraph" w:customStyle="1" w:styleId="984">
    <w:name w:val="Char Char Char Char Char Char Char Char Char Char"/>
    <w:basedOn w:val="1"/>
    <w:qFormat/>
    <w:uiPriority w:val="0"/>
    <w:pPr>
      <w:spacing w:line="240" w:lineRule="exact"/>
      <w:ind w:firstLine="200"/>
    </w:pPr>
    <w:rPr>
      <w:rFonts w:ascii="宋体" w:hAnsi="宋体" w:cs="宋体"/>
      <w:bCs/>
      <w:color w:val="000000"/>
      <w:kern w:val="24"/>
    </w:rPr>
  </w:style>
  <w:style w:type="paragraph" w:customStyle="1" w:styleId="985">
    <w:name w:val="文1"/>
    <w:basedOn w:val="1"/>
    <w:qFormat/>
    <w:uiPriority w:val="0"/>
    <w:pPr>
      <w:ind w:firstLine="480"/>
    </w:pPr>
    <w:rPr>
      <w:bCs/>
      <w:color w:val="000000"/>
      <w:kern w:val="24"/>
      <w:szCs w:val="20"/>
    </w:rPr>
  </w:style>
  <w:style w:type="paragraph" w:customStyle="1" w:styleId="986">
    <w:name w:val="样式9"/>
    <w:basedOn w:val="6"/>
    <w:qFormat/>
    <w:uiPriority w:val="0"/>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paragraph" w:customStyle="1" w:styleId="987">
    <w:name w:val="标题 3+"/>
    <w:basedOn w:val="6"/>
    <w:semiHidden/>
    <w:qFormat/>
    <w:uiPriority w:val="0"/>
    <w:pPr>
      <w:keepNext w:val="0"/>
      <w:keepLines w:val="0"/>
      <w:spacing w:before="0" w:after="0" w:line="360" w:lineRule="auto"/>
    </w:pPr>
    <w:rPr>
      <w:rFonts w:ascii="Arial" w:hAnsi="Arial"/>
      <w:b w:val="0"/>
      <w:bCs w:val="0"/>
      <w:snapToGrid w:val="0"/>
      <w:color w:val="000000"/>
      <w:kern w:val="0"/>
      <w:sz w:val="24"/>
      <w:szCs w:val="24"/>
    </w:rPr>
  </w:style>
  <w:style w:type="paragraph" w:customStyle="1" w:styleId="988">
    <w:name w:val="表格文字样式"/>
    <w:basedOn w:val="1"/>
    <w:qFormat/>
    <w:uiPriority w:val="0"/>
    <w:pPr>
      <w:tabs>
        <w:tab w:val="left" w:pos="567"/>
      </w:tabs>
      <w:jc w:val="center"/>
    </w:pPr>
    <w:rPr>
      <w:rFonts w:ascii="ˎ̥" w:hAnsi="ˎ̥" w:eastAsia="FLGPEK+TimesNewRoman,Italic" w:cs="ˎ̥"/>
      <w:bCs/>
      <w:color w:val="000000"/>
      <w:spacing w:val="20"/>
      <w:kern w:val="24"/>
      <w:szCs w:val="20"/>
    </w:rPr>
  </w:style>
  <w:style w:type="paragraph" w:customStyle="1" w:styleId="989">
    <w:name w:val="brdrw15brsp20 tqctx4153t"/>
    <w:qFormat/>
    <w:uiPriority w:val="0"/>
    <w:pPr>
      <w:widowControl w:val="0"/>
      <w:pBdr>
        <w:bottom w:val="single" w:color="auto" w:sz="6" w:space="0"/>
      </w:pBdr>
      <w:adjustRightInd w:val="0"/>
      <w:spacing w:line="312" w:lineRule="atLeast"/>
      <w:jc w:val="center"/>
      <w:textAlignment w:val="baseline"/>
    </w:pPr>
    <w:rPr>
      <w:rFonts w:ascii="Batang" w:hAnsi="Batang" w:eastAsia="宋体" w:cs="Batang"/>
      <w:bCs/>
      <w:color w:val="000000"/>
      <w:sz w:val="21"/>
      <w:szCs w:val="24"/>
      <w:lang w:val="en-US" w:eastAsia="zh-CN" w:bidi="ar-SA"/>
    </w:rPr>
  </w:style>
  <w:style w:type="paragraph" w:customStyle="1" w:styleId="990">
    <w:name w:val="图题注"/>
    <w:basedOn w:val="19"/>
    <w:qFormat/>
    <w:uiPriority w:val="0"/>
    <w:pPr>
      <w:keepNext w:val="0"/>
      <w:tabs>
        <w:tab w:val="clear" w:pos="2445"/>
        <w:tab w:val="clear" w:pos="4156"/>
      </w:tabs>
      <w:snapToGrid w:val="0"/>
      <w:spacing w:beforeLines="0" w:after="240"/>
    </w:pPr>
    <w:rPr>
      <w:rFonts w:ascii="黑体" w:hAnsi="Arial" w:eastAsia="黑体" w:cs="Times New Roman"/>
      <w:b w:val="0"/>
      <w:bCs/>
      <w:snapToGrid/>
      <w:color w:val="000000"/>
      <w:sz w:val="21"/>
      <w:szCs w:val="21"/>
    </w:rPr>
  </w:style>
  <w:style w:type="paragraph" w:customStyle="1" w:styleId="991">
    <w:name w:val="正文（首行缩进两字） Char Char Char Char1 Char11"/>
    <w:basedOn w:val="1"/>
    <w:next w:val="2"/>
    <w:semiHidden/>
    <w:qFormat/>
    <w:uiPriority w:val="0"/>
    <w:pPr>
      <w:spacing w:line="440" w:lineRule="exact"/>
      <w:ind w:firstLine="200"/>
    </w:pPr>
    <w:rPr>
      <w:rFonts w:ascii="Arial" w:hAnsi="Arial"/>
      <w:bCs/>
      <w:color w:val="000000"/>
      <w:kern w:val="24"/>
    </w:rPr>
  </w:style>
  <w:style w:type="paragraph" w:customStyle="1" w:styleId="992">
    <w:name w:val="5"/>
    <w:basedOn w:val="1"/>
    <w:next w:val="28"/>
    <w:qFormat/>
    <w:uiPriority w:val="0"/>
    <w:pPr>
      <w:spacing w:line="440" w:lineRule="exact"/>
      <w:ind w:firstLine="548"/>
    </w:pPr>
    <w:rPr>
      <w:rFonts w:ascii="ˎ̥" w:hAnsi="ˎ̥" w:cs="Vladimir Script"/>
      <w:bCs/>
      <w:color w:val="000000"/>
      <w:kern w:val="0"/>
      <w:szCs w:val="20"/>
    </w:rPr>
  </w:style>
  <w:style w:type="paragraph" w:customStyle="1" w:styleId="993">
    <w:name w:val="xl57"/>
    <w:basedOn w:val="1"/>
    <w:qFormat/>
    <w:uiPriority w:val="0"/>
    <w:pPr>
      <w:widowControl/>
      <w:pBdr>
        <w:top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994">
    <w:name w:val="Char Char8 Char1"/>
    <w:basedOn w:val="6"/>
    <w:semiHidden/>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995">
    <w:name w:val="Char Char Char Char Char Char Char Char Char Char Char Char Char Char Char Char Char Char Char1"/>
    <w:basedOn w:val="1"/>
    <w:qFormat/>
    <w:uiPriority w:val="0"/>
    <w:pPr>
      <w:ind w:firstLine="200"/>
    </w:pPr>
    <w:rPr>
      <w:rFonts w:ascii="宋体" w:hAnsi="宋体" w:cs="宋体"/>
      <w:bCs/>
      <w:color w:val="000000"/>
      <w:kern w:val="24"/>
    </w:rPr>
  </w:style>
  <w:style w:type="paragraph" w:customStyle="1" w:styleId="996">
    <w:name w:val="目次"/>
    <w:basedOn w:val="253"/>
    <w:qFormat/>
    <w:uiPriority w:val="0"/>
    <w:pPr>
      <w:keepNext/>
      <w:tabs>
        <w:tab w:val="left" w:pos="628"/>
        <w:tab w:val="left" w:pos="1727"/>
        <w:tab w:val="left" w:pos="1884"/>
        <w:tab w:val="left" w:pos="2660"/>
        <w:tab w:val="left" w:pos="4325"/>
      </w:tabs>
      <w:adjustRightInd w:val="0"/>
      <w:snapToGrid w:val="0"/>
      <w:spacing w:after="0" w:line="360" w:lineRule="auto"/>
      <w:ind w:firstLine="560" w:firstLineChars="200"/>
    </w:pPr>
    <w:rPr>
      <w:rFonts w:ascii="Sim Sun" w:hAnsi="Sim Sun"/>
      <w:b/>
      <w:bCs w:val="0"/>
      <w:sz w:val="28"/>
      <w:szCs w:val="28"/>
    </w:rPr>
  </w:style>
  <w:style w:type="paragraph" w:customStyle="1" w:styleId="997">
    <w:name w:val="表格字体"/>
    <w:qFormat/>
    <w:uiPriority w:val="0"/>
    <w:pPr>
      <w:spacing w:line="320" w:lineRule="exact"/>
      <w:jc w:val="center"/>
    </w:pPr>
    <w:rPr>
      <w:rFonts w:ascii="Times New Roman" w:hAnsi="Times New Roman" w:eastAsia="华文中宋" w:cs="Times New Roman"/>
      <w:bCs/>
      <w:color w:val="000000"/>
      <w:kern w:val="2"/>
      <w:sz w:val="21"/>
      <w:szCs w:val="21"/>
      <w:lang w:val="en-US" w:eastAsia="zh-CN" w:bidi="ar-SA"/>
    </w:rPr>
  </w:style>
  <w:style w:type="paragraph" w:customStyle="1" w:styleId="998">
    <w:name w:val="A标题"/>
    <w:basedOn w:val="3"/>
    <w:qFormat/>
    <w:uiPriority w:val="0"/>
    <w:pPr>
      <w:tabs>
        <w:tab w:val="left" w:pos="-120"/>
        <w:tab w:val="left" w:pos="625"/>
      </w:tabs>
      <w:spacing w:before="60" w:after="60" w:line="264" w:lineRule="auto"/>
      <w:ind w:left="625" w:hanging="425"/>
    </w:pPr>
    <w:rPr>
      <w:rFonts w:ascii="Times New Roman" w:hAnsi="Times New Roman"/>
      <w:b w:val="0"/>
      <w:bCs w:val="0"/>
      <w:color w:val="000000"/>
      <w:spacing w:val="20"/>
      <w:kern w:val="24"/>
      <w:sz w:val="24"/>
      <w:szCs w:val="20"/>
    </w:rPr>
  </w:style>
  <w:style w:type="paragraph" w:customStyle="1" w:styleId="999">
    <w:name w:val="reader-word-layer reader-word-s1-25"/>
    <w:basedOn w:val="1"/>
    <w:qFormat/>
    <w:uiPriority w:val="0"/>
    <w:pPr>
      <w:widowControl/>
      <w:spacing w:before="100" w:beforeAutospacing="1" w:after="100" w:afterAutospacing="1"/>
    </w:pPr>
    <w:rPr>
      <w:rFonts w:ascii="宋体" w:hAnsi="宋体" w:cs="宋体"/>
      <w:bCs/>
      <w:color w:val="000000"/>
      <w:kern w:val="0"/>
    </w:rPr>
  </w:style>
  <w:style w:type="paragraph" w:customStyle="1" w:styleId="1000">
    <w:name w:val="表格新"/>
    <w:basedOn w:val="1"/>
    <w:qFormat/>
    <w:uiPriority w:val="0"/>
    <w:pPr>
      <w:adjustRightInd w:val="0"/>
      <w:snapToGrid w:val="0"/>
      <w:spacing w:before="60" w:after="60"/>
      <w:jc w:val="center"/>
      <w:textAlignment w:val="baseline"/>
    </w:pPr>
    <w:rPr>
      <w:rFonts w:ascii="宋体" w:hAnsi="宋体"/>
      <w:bCs/>
      <w:color w:val="000000"/>
      <w:kern w:val="0"/>
      <w:szCs w:val="20"/>
    </w:rPr>
  </w:style>
  <w:style w:type="paragraph" w:customStyle="1" w:styleId="1001">
    <w:name w:val="Char Char Char Char Char1 Char1"/>
    <w:basedOn w:val="6"/>
    <w:semiHidden/>
    <w:qFormat/>
    <w:uiPriority w:val="0"/>
    <w:pPr>
      <w:tabs>
        <w:tab w:val="left" w:pos="360"/>
        <w:tab w:val="left" w:pos="900"/>
      </w:tabs>
      <w:snapToGrid w:val="0"/>
      <w:spacing w:before="120" w:after="120" w:line="360" w:lineRule="auto"/>
      <w:ind w:left="542" w:leftChars="-12" w:firstLine="200"/>
    </w:pPr>
    <w:rPr>
      <w:color w:val="000000"/>
      <w:kern w:val="24"/>
      <w:sz w:val="24"/>
      <w:szCs w:val="24"/>
    </w:rPr>
  </w:style>
  <w:style w:type="paragraph" w:customStyle="1" w:styleId="1002">
    <w:name w:val="样式 黑体 首行缩进:  2 字符 行距: 最小值 24 磅"/>
    <w:basedOn w:val="1"/>
    <w:qFormat/>
    <w:uiPriority w:val="0"/>
    <w:pPr>
      <w:spacing w:line="480" w:lineRule="atLeast"/>
      <w:ind w:firstLine="480"/>
    </w:pPr>
    <w:rPr>
      <w:rFonts w:ascii="黑体" w:eastAsia="黑体" w:cs="宋体"/>
      <w:bCs/>
      <w:color w:val="000000"/>
      <w:kern w:val="24"/>
      <w:szCs w:val="20"/>
    </w:rPr>
  </w:style>
  <w:style w:type="paragraph" w:customStyle="1" w:styleId="1003">
    <w:name w:val="1标题1级"/>
    <w:basedOn w:val="1"/>
    <w:qFormat/>
    <w:uiPriority w:val="0"/>
    <w:pPr>
      <w:keepNext/>
      <w:snapToGrid w:val="0"/>
      <w:spacing w:beforeLines="100" w:afterLines="100"/>
      <w:outlineLvl w:val="0"/>
    </w:pPr>
    <w:rPr>
      <w:rFonts w:eastAsia="黑体"/>
      <w:b/>
      <w:bCs/>
      <w:color w:val="000000"/>
      <w:kern w:val="24"/>
      <w:sz w:val="30"/>
    </w:rPr>
  </w:style>
  <w:style w:type="paragraph" w:customStyle="1" w:styleId="1004">
    <w:name w:val="样式 首行缩进:  2 字符5"/>
    <w:basedOn w:val="1"/>
    <w:qFormat/>
    <w:uiPriority w:val="0"/>
    <w:pPr>
      <w:spacing w:line="520" w:lineRule="exact"/>
      <w:ind w:firstLine="560"/>
    </w:pPr>
    <w:rPr>
      <w:rFonts w:cs="宋体"/>
      <w:bCs/>
      <w:color w:val="000000"/>
      <w:kern w:val="24"/>
      <w:szCs w:val="20"/>
    </w:rPr>
  </w:style>
  <w:style w:type="paragraph" w:customStyle="1" w:styleId="1005">
    <w:name w:val="正文首行缩进 2 + Times New Roman"/>
    <w:basedOn w:val="1"/>
    <w:qFormat/>
    <w:uiPriority w:val="0"/>
    <w:pPr>
      <w:tabs>
        <w:tab w:val="left" w:pos="0"/>
        <w:tab w:val="left" w:pos="870"/>
        <w:tab w:val="left" w:pos="3150"/>
      </w:tabs>
      <w:autoSpaceDE w:val="0"/>
      <w:autoSpaceDN w:val="0"/>
      <w:ind w:firstLine="200"/>
    </w:pPr>
    <w:rPr>
      <w:bCs/>
      <w:color w:val="000000"/>
      <w:kern w:val="0"/>
    </w:rPr>
  </w:style>
  <w:style w:type="paragraph" w:customStyle="1" w:styleId="100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07">
    <w:name w:val="样式 标题 3 + 宋体 黑色 首行缩进:  2 字符 段前: 6 磅 段后: 6 磅 行距: 最小值 24 磅"/>
    <w:basedOn w:val="6"/>
    <w:qFormat/>
    <w:uiPriority w:val="0"/>
    <w:pPr>
      <w:tabs>
        <w:tab w:val="left" w:pos="1260"/>
        <w:tab w:val="left" w:pos="1800"/>
      </w:tabs>
      <w:adjustRightInd w:val="0"/>
      <w:snapToGrid w:val="0"/>
      <w:spacing w:beforeLines="50" w:afterLines="50" w:line="240" w:lineRule="auto"/>
      <w:ind w:firstLine="200"/>
      <w:textAlignment w:val="baseline"/>
    </w:pPr>
    <w:rPr>
      <w:rFonts w:ascii="宋体" w:hAnsi="宋体"/>
      <w:b w:val="0"/>
      <w:bCs w:val="0"/>
      <w:color w:val="000000"/>
      <w:kern w:val="24"/>
      <w:sz w:val="28"/>
      <w:szCs w:val="28"/>
    </w:rPr>
  </w:style>
  <w:style w:type="paragraph" w:customStyle="1" w:styleId="1008">
    <w:name w:val="2级"/>
    <w:basedOn w:val="1"/>
    <w:qFormat/>
    <w:uiPriority w:val="0"/>
    <w:rPr>
      <w:rFonts w:ascii="Batang" w:hAnsi="Batang" w:eastAsia="FLGPEK+TimesNewRoman,Italic" w:cs="Batang"/>
      <w:b/>
      <w:bCs/>
      <w:color w:val="000000"/>
      <w:kern w:val="24"/>
      <w:sz w:val="28"/>
      <w:szCs w:val="20"/>
    </w:rPr>
  </w:style>
  <w:style w:type="paragraph" w:customStyle="1" w:styleId="1009">
    <w:name w:val="0"/>
    <w:basedOn w:val="1"/>
    <w:qFormat/>
    <w:uiPriority w:val="0"/>
    <w:pPr>
      <w:widowControl/>
      <w:snapToGrid w:val="0"/>
    </w:pPr>
    <w:rPr>
      <w:bCs/>
      <w:color w:val="000000"/>
      <w:kern w:val="0"/>
      <w:szCs w:val="21"/>
    </w:rPr>
  </w:style>
  <w:style w:type="paragraph" w:customStyle="1" w:styleId="1010">
    <w:name w:val="style26"/>
    <w:basedOn w:val="1"/>
    <w:qFormat/>
    <w:uiPriority w:val="0"/>
    <w:pPr>
      <w:widowControl/>
      <w:spacing w:before="100" w:beforeAutospacing="1" w:after="100" w:afterAutospacing="1" w:line="440" w:lineRule="exact"/>
      <w:ind w:firstLine="200"/>
    </w:pPr>
    <w:rPr>
      <w:rFonts w:ascii="Sim Sun" w:hAnsi="Sim Sun" w:cs="Sim Sun"/>
      <w:bCs/>
      <w:color w:val="000000"/>
      <w:kern w:val="0"/>
      <w:szCs w:val="21"/>
    </w:rPr>
  </w:style>
  <w:style w:type="paragraph" w:customStyle="1" w:styleId="1011">
    <w:name w:val="Char Char Char Char Char Char Char Char Char Char Char"/>
    <w:basedOn w:val="1"/>
    <w:qFormat/>
    <w:uiPriority w:val="0"/>
    <w:rPr>
      <w:rFonts w:ascii="Batang" w:hAnsi="Batang" w:cs="Batang"/>
      <w:bCs/>
      <w:color w:val="000000"/>
      <w:kern w:val="24"/>
    </w:rPr>
  </w:style>
  <w:style w:type="paragraph" w:customStyle="1" w:styleId="1012">
    <w:name w:val="表格文字2"/>
    <w:basedOn w:val="1"/>
    <w:qFormat/>
    <w:uiPriority w:val="0"/>
    <w:pPr>
      <w:tabs>
        <w:tab w:val="left" w:pos="277"/>
        <w:tab w:val="left" w:pos="600"/>
        <w:tab w:val="left" w:pos="780"/>
        <w:tab w:val="left" w:pos="2517"/>
      </w:tabs>
      <w:adjustRightInd w:val="0"/>
      <w:spacing w:before="60"/>
      <w:jc w:val="center"/>
      <w:textAlignment w:val="baseline"/>
    </w:pPr>
    <w:rPr>
      <w:bCs/>
      <w:color w:val="000000"/>
      <w:kern w:val="0"/>
      <w:szCs w:val="21"/>
    </w:rPr>
  </w:style>
  <w:style w:type="paragraph" w:customStyle="1" w:styleId="1013">
    <w:name w:val="表名称 Char"/>
    <w:basedOn w:val="1"/>
    <w:qFormat/>
    <w:uiPriority w:val="0"/>
    <w:pPr>
      <w:tabs>
        <w:tab w:val="left" w:pos="-120"/>
      </w:tabs>
      <w:overflowPunct w:val="0"/>
      <w:topLinePunct/>
      <w:autoSpaceDE w:val="0"/>
      <w:adjustRightInd w:val="0"/>
      <w:snapToGrid w:val="0"/>
      <w:spacing w:before="120" w:after="120"/>
      <w:jc w:val="center"/>
      <w:textAlignment w:val="baseline"/>
    </w:pPr>
    <w:rPr>
      <w:b/>
      <w:bCs/>
      <w:color w:val="000000"/>
      <w:kern w:val="0"/>
    </w:rPr>
  </w:style>
  <w:style w:type="paragraph" w:customStyle="1" w:styleId="1014">
    <w:name w:val="6表(图)头(治)"/>
    <w:next w:val="1"/>
    <w:qFormat/>
    <w:uiPriority w:val="0"/>
    <w:pPr>
      <w:widowControl w:val="0"/>
      <w:jc w:val="center"/>
    </w:pPr>
    <w:rPr>
      <w:rFonts w:ascii="Times New Roman" w:hAnsi="宋体" w:eastAsia="宋体" w:cs="Times New Roman"/>
      <w:bCs/>
      <w:color w:val="000000"/>
      <w:sz w:val="24"/>
      <w:szCs w:val="24"/>
      <w:lang w:val="en-US" w:eastAsia="zh-CN" w:bidi="ar-SA"/>
    </w:rPr>
  </w:style>
  <w:style w:type="paragraph" w:customStyle="1" w:styleId="1015">
    <w:name w:val="样式 居中"/>
    <w:basedOn w:val="1"/>
    <w:qFormat/>
    <w:uiPriority w:val="0"/>
    <w:pPr>
      <w:adjustRightInd w:val="0"/>
      <w:snapToGrid w:val="0"/>
      <w:spacing w:line="440" w:lineRule="atLeast"/>
      <w:ind w:firstLine="200"/>
      <w:jc w:val="center"/>
    </w:pPr>
    <w:rPr>
      <w:bCs/>
      <w:color w:val="000000"/>
      <w:kern w:val="24"/>
      <w:szCs w:val="20"/>
    </w:rPr>
  </w:style>
  <w:style w:type="paragraph" w:customStyle="1" w:styleId="1016">
    <w:name w:val="正文首缩"/>
    <w:basedOn w:val="28"/>
    <w:qFormat/>
    <w:uiPriority w:val="0"/>
    <w:pPr>
      <w:widowControl w:val="0"/>
      <w:spacing w:before="0" w:after="80" w:line="288" w:lineRule="auto"/>
      <w:ind w:right="0" w:firstLine="454"/>
    </w:pPr>
    <w:rPr>
      <w:bCs/>
      <w:color w:val="000000"/>
      <w:kern w:val="24"/>
      <w:sz w:val="24"/>
    </w:rPr>
  </w:style>
  <w:style w:type="paragraph" w:customStyle="1" w:styleId="1017">
    <w:name w:val="zxz5"/>
    <w:next w:val="1"/>
    <w:qFormat/>
    <w:uiPriority w:val="0"/>
    <w:pPr>
      <w:tabs>
        <w:tab w:val="left" w:pos="0"/>
      </w:tabs>
      <w:jc w:val="center"/>
    </w:pPr>
    <w:rPr>
      <w:rFonts w:ascii="宋体" w:hAnsi="宋体" w:eastAsia="Times New Roman" w:cs="宋体"/>
      <w:color w:val="000000"/>
      <w:kern w:val="2"/>
      <w:sz w:val="18"/>
      <w:szCs w:val="18"/>
      <w:lang w:val="en-US" w:eastAsia="zh-CN" w:bidi="ar-SA"/>
    </w:rPr>
  </w:style>
  <w:style w:type="paragraph" w:customStyle="1" w:styleId="1018">
    <w:name w:val="样式3"/>
    <w:basedOn w:val="3"/>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paragraph" w:customStyle="1" w:styleId="1019">
    <w:name w:val="正文文本 22"/>
    <w:basedOn w:val="1"/>
    <w:qFormat/>
    <w:uiPriority w:val="0"/>
    <w:pPr>
      <w:adjustRightInd w:val="0"/>
      <w:spacing w:line="440" w:lineRule="exact"/>
      <w:ind w:firstLine="425"/>
      <w:textAlignment w:val="baseline"/>
    </w:pPr>
    <w:rPr>
      <w:rFonts w:ascii="Arial Unicode MS" w:hAnsi="Arial Unicode MS" w:cs="Vladimir Script"/>
      <w:bCs/>
      <w:color w:val="000000"/>
      <w:kern w:val="24"/>
      <w:szCs w:val="20"/>
    </w:rPr>
  </w:style>
  <w:style w:type="paragraph" w:customStyle="1" w:styleId="1020">
    <w:name w:val="样式 五号 居中 行距: 固定值 20 磅"/>
    <w:basedOn w:val="1"/>
    <w:qFormat/>
    <w:uiPriority w:val="0"/>
    <w:pPr>
      <w:spacing w:line="380" w:lineRule="exact"/>
      <w:jc w:val="center"/>
    </w:pPr>
    <w:rPr>
      <w:rFonts w:cs="宋体"/>
      <w:bCs/>
      <w:color w:val="000000"/>
      <w:kern w:val="24"/>
      <w:szCs w:val="21"/>
    </w:rPr>
  </w:style>
  <w:style w:type="paragraph" w:customStyle="1" w:styleId="1021">
    <w:name w:val="reader-word-layer reader-word-s3-5"/>
    <w:basedOn w:val="1"/>
    <w:qFormat/>
    <w:uiPriority w:val="0"/>
    <w:pPr>
      <w:widowControl/>
      <w:spacing w:before="100" w:beforeAutospacing="1" w:after="100" w:afterAutospacing="1"/>
    </w:pPr>
    <w:rPr>
      <w:rFonts w:ascii="宋体" w:hAnsi="宋体" w:cs="宋体"/>
      <w:bCs/>
      <w:color w:val="000000"/>
      <w:kern w:val="0"/>
    </w:rPr>
  </w:style>
  <w:style w:type="paragraph" w:customStyle="1" w:styleId="1022">
    <w:name w:val="样式 标题 2标题2节（节） + 左 段前: 6 磅 段后: 6 磅 行距: 单倍行距"/>
    <w:basedOn w:val="5"/>
    <w:qFormat/>
    <w:uiPriority w:val="0"/>
    <w:pPr>
      <w:keepNext w:val="0"/>
      <w:keepLines w:val="0"/>
      <w:tabs>
        <w:tab w:val="left" w:pos="567"/>
      </w:tabs>
      <w:adjustRightInd w:val="0"/>
      <w:spacing w:before="120" w:after="120" w:line="360" w:lineRule="exact"/>
      <w:ind w:left="578" w:hanging="578"/>
      <w:textAlignment w:val="baseline"/>
    </w:pPr>
    <w:rPr>
      <w:rFonts w:ascii="Sim Sun" w:hAnsi="Arial Unicode MS" w:eastAsia="宋体-方正超大字符集" w:cs="Vladimir Script"/>
      <w:color w:val="000000"/>
      <w:kern w:val="24"/>
      <w:sz w:val="24"/>
      <w:szCs w:val="20"/>
    </w:rPr>
  </w:style>
  <w:style w:type="paragraph" w:customStyle="1" w:styleId="1023">
    <w:name w:val="2 Char Char Char Char Char Char Char Char Char Char"/>
    <w:basedOn w:val="1"/>
    <w:qFormat/>
    <w:uiPriority w:val="0"/>
    <w:rPr>
      <w:rFonts w:ascii="Batang" w:hAnsi="Batang" w:cs="Batang"/>
      <w:bCs/>
      <w:color w:val="000000"/>
      <w:kern w:val="24"/>
    </w:rPr>
  </w:style>
  <w:style w:type="paragraph" w:customStyle="1" w:styleId="1024">
    <w:name w:val="正文01"/>
    <w:basedOn w:val="1"/>
    <w:qFormat/>
    <w:uiPriority w:val="0"/>
    <w:pPr>
      <w:spacing w:before="60" w:line="460" w:lineRule="exact"/>
      <w:ind w:firstLine="200"/>
    </w:pPr>
    <w:rPr>
      <w:rFonts w:ascii="Batang" w:hAnsi="Batang" w:cs="Batang"/>
      <w:bCs/>
      <w:snapToGrid w:val="0"/>
      <w:color w:val="000000"/>
      <w:kern w:val="0"/>
      <w:szCs w:val="20"/>
    </w:rPr>
  </w:style>
  <w:style w:type="paragraph" w:customStyle="1" w:styleId="1025">
    <w:name w:val="Body Text 21"/>
    <w:basedOn w:val="1"/>
    <w:qFormat/>
    <w:uiPriority w:val="0"/>
    <w:pPr>
      <w:adjustRightInd w:val="0"/>
      <w:textAlignment w:val="baseline"/>
    </w:pPr>
    <w:rPr>
      <w:rFonts w:eastAsia="仿宋体"/>
      <w:bCs/>
      <w:color w:val="000000"/>
      <w:kern w:val="24"/>
      <w:szCs w:val="20"/>
    </w:rPr>
  </w:style>
  <w:style w:type="paragraph" w:customStyle="1" w:styleId="1026">
    <w:name w:val="表格1"/>
    <w:basedOn w:val="1"/>
    <w:qFormat/>
    <w:uiPriority w:val="0"/>
    <w:pPr>
      <w:spacing w:line="400" w:lineRule="atLeast"/>
      <w:jc w:val="center"/>
    </w:pPr>
    <w:rPr>
      <w:rFonts w:hint="eastAsia"/>
      <w:bCs/>
      <w:color w:val="000000"/>
      <w:kern w:val="24"/>
      <w:szCs w:val="20"/>
    </w:rPr>
  </w:style>
  <w:style w:type="paragraph" w:customStyle="1" w:styleId="1027">
    <w:name w:val="表头8"/>
    <w:basedOn w:val="720"/>
    <w:qFormat/>
    <w:uiPriority w:val="0"/>
    <w:pPr>
      <w:tabs>
        <w:tab w:val="left" w:pos="903"/>
        <w:tab w:val="left" w:pos="1728"/>
        <w:tab w:val="clear" w:pos="843"/>
      </w:tabs>
      <w:ind w:left="845"/>
    </w:pPr>
  </w:style>
  <w:style w:type="paragraph" w:customStyle="1" w:styleId="1028">
    <w:name w:val="样式 标题 11.标题 1一、标题 1 Char Char Char Char1 南陵标题 1标题 1 Char标题..."/>
    <w:basedOn w:val="4"/>
    <w:qFormat/>
    <w:uiPriority w:val="0"/>
    <w:pPr>
      <w:tabs>
        <w:tab w:val="left" w:pos="360"/>
      </w:tabs>
      <w:overflowPunct/>
      <w:adjustRightInd w:val="0"/>
      <w:snapToGrid/>
      <w:spacing w:after="62" w:line="440" w:lineRule="exact"/>
      <w:ind w:left="0" w:firstLine="200"/>
      <w:textAlignment w:val="baseline"/>
    </w:pPr>
    <w:rPr>
      <w:rFonts w:ascii="Arial Unicode MS" w:hAnsi="Arial Unicode MS" w:eastAsia="Garamond" w:cs="Vladimir Script"/>
      <w:kern w:val="2"/>
      <w:sz w:val="28"/>
      <w:szCs w:val="20"/>
    </w:rPr>
  </w:style>
  <w:style w:type="paragraph" w:customStyle="1" w:styleId="1029">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bCs/>
      <w:i/>
      <w:color w:val="000000"/>
      <w:spacing w:val="20"/>
      <w:kern w:val="24"/>
      <w:szCs w:val="20"/>
    </w:rPr>
  </w:style>
  <w:style w:type="paragraph" w:customStyle="1" w:styleId="1030">
    <w:name w:val="样式 小四 行距: 固定值 24 磅 首行缩进:  2 字符"/>
    <w:basedOn w:val="1"/>
    <w:qFormat/>
    <w:uiPriority w:val="0"/>
    <w:pPr>
      <w:spacing w:line="440" w:lineRule="exact"/>
      <w:ind w:firstLine="200"/>
    </w:pPr>
    <w:rPr>
      <w:bCs/>
      <w:color w:val="000000"/>
      <w:kern w:val="24"/>
    </w:rPr>
  </w:style>
  <w:style w:type="paragraph" w:customStyle="1" w:styleId="1031">
    <w:name w:val="样式 首行缩进:  2 字符6"/>
    <w:basedOn w:val="1"/>
    <w:qFormat/>
    <w:uiPriority w:val="0"/>
    <w:pPr>
      <w:spacing w:line="520" w:lineRule="exact"/>
      <w:ind w:firstLine="560"/>
    </w:pPr>
    <w:rPr>
      <w:rFonts w:cs="宋体"/>
      <w:bCs/>
      <w:color w:val="000000"/>
      <w:kern w:val="24"/>
      <w:szCs w:val="20"/>
    </w:rPr>
  </w:style>
  <w:style w:type="paragraph" w:customStyle="1" w:styleId="103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bCs/>
      <w:color w:val="000000"/>
      <w:sz w:val="52"/>
      <w:szCs w:val="24"/>
      <w:lang w:val="en-US" w:eastAsia="zh-CN" w:bidi="ar-SA"/>
    </w:rPr>
  </w:style>
  <w:style w:type="paragraph" w:customStyle="1" w:styleId="1033">
    <w:name w:val="y表格"/>
    <w:basedOn w:val="28"/>
    <w:qFormat/>
    <w:uiPriority w:val="0"/>
    <w:pPr>
      <w:spacing w:before="0" w:after="0" w:line="240" w:lineRule="auto"/>
      <w:ind w:right="0"/>
      <w:jc w:val="center"/>
    </w:pPr>
    <w:rPr>
      <w:bCs/>
      <w:color w:val="000000"/>
      <w:sz w:val="21"/>
    </w:rPr>
  </w:style>
  <w:style w:type="paragraph" w:customStyle="1" w:styleId="103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Cs/>
      <w:color w:val="008000"/>
      <w:kern w:val="0"/>
      <w:sz w:val="20"/>
      <w:szCs w:val="20"/>
    </w:rPr>
  </w:style>
  <w:style w:type="paragraph" w:customStyle="1" w:styleId="1035">
    <w:name w:val="样式 样式 四号 首行缩进:  2 字符 + 首行缩进:  2 字符"/>
    <w:basedOn w:val="1"/>
    <w:semiHidden/>
    <w:qFormat/>
    <w:uiPriority w:val="0"/>
    <w:pPr>
      <w:spacing w:line="480" w:lineRule="atLeast"/>
      <w:ind w:firstLine="480"/>
    </w:pPr>
    <w:rPr>
      <w:rFonts w:cs="宋体"/>
      <w:bCs/>
      <w:color w:val="000000"/>
      <w:kern w:val="24"/>
      <w:szCs w:val="20"/>
    </w:rPr>
  </w:style>
  <w:style w:type="paragraph" w:customStyle="1" w:styleId="1036">
    <w:name w:val="正文曹"/>
    <w:basedOn w:val="29"/>
    <w:qFormat/>
    <w:uiPriority w:val="0"/>
    <w:pPr>
      <w:spacing w:after="0" w:line="500" w:lineRule="exact"/>
      <w:ind w:left="0" w:leftChars="0" w:firstLine="200"/>
    </w:pPr>
    <w:rPr>
      <w:rFonts w:ascii="Batang" w:hAnsi="Batang" w:cs="Batang"/>
      <w:bCs/>
      <w:color w:val="000000"/>
      <w:kern w:val="24"/>
      <w:szCs w:val="24"/>
    </w:rPr>
  </w:style>
  <w:style w:type="paragraph" w:customStyle="1" w:styleId="1037">
    <w:name w:val="样式 样式 标题 3 + 宋体 黑色 首行缩进:  2 字符 段前: 6 磅 段后: 6 磅 行距: 最小值 24 磅 + 首行..."/>
    <w:basedOn w:val="1007"/>
    <w:qFormat/>
    <w:uiPriority w:val="0"/>
    <w:pPr>
      <w:ind w:firstLine="562"/>
    </w:pPr>
    <w:rPr>
      <w:rFonts w:ascii="Times New Roman" w:hAnsi="Times New Roman"/>
    </w:rPr>
  </w:style>
  <w:style w:type="paragraph" w:customStyle="1" w:styleId="1038">
    <w:name w:val="样式 四号 黑色 首行缩进:  2 字符"/>
    <w:basedOn w:val="1"/>
    <w:qFormat/>
    <w:uiPriority w:val="0"/>
    <w:pPr>
      <w:spacing w:line="480" w:lineRule="atLeast"/>
      <w:ind w:firstLine="200"/>
    </w:pPr>
    <w:rPr>
      <w:bCs/>
      <w:color w:val="000000"/>
      <w:kern w:val="24"/>
    </w:rPr>
  </w:style>
  <w:style w:type="paragraph" w:customStyle="1" w:styleId="1039">
    <w:name w:val="标准"/>
    <w:basedOn w:val="1"/>
    <w:qFormat/>
    <w:uiPriority w:val="0"/>
    <w:pPr>
      <w:adjustRightInd w:val="0"/>
      <w:spacing w:line="480" w:lineRule="exact"/>
      <w:ind w:firstLine="200"/>
      <w:jc w:val="distribute"/>
      <w:textAlignment w:val="baseline"/>
    </w:pPr>
    <w:rPr>
      <w:rFonts w:ascii="楷体_GB2312" w:eastAsia="楷体_GB2312"/>
      <w:bCs/>
      <w:color w:val="000000"/>
      <w:kern w:val="0"/>
      <w:sz w:val="32"/>
      <w:szCs w:val="20"/>
    </w:rPr>
  </w:style>
  <w:style w:type="paragraph" w:customStyle="1" w:styleId="1040">
    <w:name w:val="列表接续 31"/>
    <w:basedOn w:val="1"/>
    <w:qFormat/>
    <w:uiPriority w:val="0"/>
    <w:pPr>
      <w:spacing w:after="120"/>
      <w:ind w:left="1260" w:leftChars="600"/>
    </w:pPr>
    <w:rPr>
      <w:rFonts w:ascii="Arial Unicode MS" w:hAnsi="Arial Unicode MS" w:cs="Vladimir Script"/>
      <w:bCs/>
      <w:color w:val="000000"/>
      <w:kern w:val="24"/>
    </w:rPr>
  </w:style>
  <w:style w:type="paragraph" w:customStyle="1" w:styleId="1041">
    <w:name w:val="Char14"/>
    <w:basedOn w:val="1"/>
    <w:qFormat/>
    <w:uiPriority w:val="0"/>
    <w:pPr>
      <w:ind w:firstLine="200"/>
    </w:pPr>
    <w:rPr>
      <w:rFonts w:ascii="宋体" w:hAnsi="宋体" w:cs="宋体"/>
      <w:bCs/>
      <w:color w:val="000000"/>
      <w:kern w:val="24"/>
      <w:szCs w:val="21"/>
    </w:rPr>
  </w:style>
  <w:style w:type="paragraph" w:customStyle="1" w:styleId="1042">
    <w:name w:val="font6"/>
    <w:basedOn w:val="1"/>
    <w:qFormat/>
    <w:uiPriority w:val="0"/>
    <w:pPr>
      <w:widowControl/>
      <w:spacing w:before="100" w:beforeAutospacing="1" w:after="100" w:afterAutospacing="1"/>
    </w:pPr>
    <w:rPr>
      <w:rFonts w:hint="eastAsia" w:ascii="宋体" w:hAnsi="宋体" w:cs="Arial Unicode MS"/>
      <w:bCs/>
      <w:color w:val="000000"/>
      <w:kern w:val="0"/>
      <w:sz w:val="20"/>
      <w:szCs w:val="20"/>
    </w:rPr>
  </w:style>
  <w:style w:type="paragraph" w:customStyle="1" w:styleId="1043">
    <w:name w:val="font8"/>
    <w:basedOn w:val="1"/>
    <w:qFormat/>
    <w:uiPriority w:val="0"/>
    <w:pPr>
      <w:widowControl/>
      <w:spacing w:before="100" w:beforeAutospacing="1" w:after="100" w:afterAutospacing="1"/>
    </w:pPr>
    <w:rPr>
      <w:rFonts w:hint="eastAsia" w:ascii="宋体" w:hAnsi="宋体" w:cs="Arial Unicode MS"/>
      <w:bCs/>
      <w:color w:val="000000"/>
      <w:kern w:val="0"/>
      <w:sz w:val="18"/>
      <w:szCs w:val="18"/>
    </w:rPr>
  </w:style>
  <w:style w:type="paragraph" w:customStyle="1" w:styleId="1044">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45">
    <w:name w:val="1标题4级"/>
    <w:basedOn w:val="1046"/>
    <w:qFormat/>
    <w:uiPriority w:val="0"/>
    <w:pPr>
      <w:spacing w:before="120" w:after="120"/>
      <w:jc w:val="both"/>
      <w:textAlignment w:val="center"/>
    </w:pPr>
  </w:style>
  <w:style w:type="paragraph" w:customStyle="1" w:styleId="1046">
    <w:name w:val="1标题3级"/>
    <w:basedOn w:val="1"/>
    <w:qFormat/>
    <w:uiPriority w:val="0"/>
    <w:pPr>
      <w:keepNext/>
      <w:snapToGrid w:val="0"/>
      <w:spacing w:beforeLines="50" w:afterLines="50"/>
      <w:outlineLvl w:val="2"/>
    </w:pPr>
    <w:rPr>
      <w:rFonts w:eastAsia="黑体"/>
      <w:b/>
      <w:bCs/>
      <w:color w:val="000000"/>
      <w:kern w:val="24"/>
      <w:szCs w:val="20"/>
    </w:rPr>
  </w:style>
  <w:style w:type="paragraph" w:customStyle="1" w:styleId="1047">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eastAsia="Arial Unicode MS"/>
      <w:bCs/>
      <w:color w:val="000000"/>
      <w:kern w:val="0"/>
      <w:sz w:val="20"/>
      <w:szCs w:val="20"/>
    </w:rPr>
  </w:style>
  <w:style w:type="paragraph" w:customStyle="1" w:styleId="1048">
    <w:name w:val="条(四级)"/>
    <w:basedOn w:val="1"/>
    <w:next w:val="1"/>
    <w:qFormat/>
    <w:uiPriority w:val="0"/>
    <w:pPr>
      <w:keepNext/>
      <w:keepLines/>
      <w:widowControl/>
      <w:autoSpaceDE w:val="0"/>
      <w:autoSpaceDN w:val="0"/>
      <w:adjustRightInd w:val="0"/>
      <w:spacing w:line="460" w:lineRule="exact"/>
      <w:ind w:firstLine="200"/>
      <w:textAlignment w:val="bottom"/>
    </w:pPr>
    <w:rPr>
      <w:rFonts w:ascii="Sim Sun" w:hAnsi="ˎ̥" w:cs="Vladimir Script"/>
      <w:bCs/>
      <w:color w:val="000000"/>
      <w:spacing w:val="3"/>
      <w:kern w:val="24"/>
      <w:sz w:val="26"/>
      <w:szCs w:val="20"/>
    </w:rPr>
  </w:style>
  <w:style w:type="paragraph" w:customStyle="1" w:styleId="1049">
    <w:name w:val="Char Char Char1 Char1"/>
    <w:basedOn w:val="1"/>
    <w:qFormat/>
    <w:uiPriority w:val="0"/>
    <w:pPr>
      <w:spacing w:line="440" w:lineRule="exact"/>
      <w:ind w:left="432" w:hanging="432"/>
    </w:pPr>
    <w:rPr>
      <w:rFonts w:ascii="Arial Unicode MS" w:hAnsi="Arial Unicode MS" w:cs="Vladimir Script"/>
      <w:bCs/>
      <w:color w:val="000000"/>
      <w:kern w:val="24"/>
      <w:szCs w:val="20"/>
    </w:rPr>
  </w:style>
  <w:style w:type="paragraph" w:customStyle="1" w:styleId="105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Cs/>
      <w:color w:val="000000"/>
      <w:kern w:val="0"/>
      <w:sz w:val="20"/>
      <w:szCs w:val="20"/>
    </w:rPr>
  </w:style>
  <w:style w:type="paragraph" w:customStyle="1" w:styleId="1051">
    <w:name w:val="报告书表格5"/>
    <w:basedOn w:val="935"/>
    <w:qFormat/>
    <w:uiPriority w:val="0"/>
    <w:pPr>
      <w:ind w:left="-96" w:leftChars="-40" w:right="-110" w:rightChars="-46"/>
    </w:pPr>
  </w:style>
  <w:style w:type="paragraph" w:customStyle="1" w:styleId="105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53">
    <w:name w:val="表格居中"/>
    <w:basedOn w:val="1"/>
    <w:qFormat/>
    <w:uiPriority w:val="0"/>
    <w:pPr>
      <w:jc w:val="center"/>
    </w:pPr>
    <w:rPr>
      <w:rFonts w:cs="宋体"/>
      <w:bCs/>
      <w:color w:val="000000"/>
      <w:kern w:val="24"/>
      <w:szCs w:val="20"/>
    </w:rPr>
  </w:style>
  <w:style w:type="paragraph" w:customStyle="1" w:styleId="1054">
    <w:name w:val="wtext"/>
    <w:basedOn w:val="1"/>
    <w:qFormat/>
    <w:uiPriority w:val="0"/>
    <w:pPr>
      <w:widowControl/>
      <w:spacing w:before="100" w:beforeAutospacing="1" w:after="100" w:afterAutospacing="1"/>
      <w:ind w:firstLine="480"/>
    </w:pPr>
    <w:rPr>
      <w:bCs/>
      <w:color w:val="000000"/>
      <w:kern w:val="0"/>
      <w:sz w:val="22"/>
      <w:szCs w:val="22"/>
    </w:rPr>
  </w:style>
  <w:style w:type="paragraph" w:customStyle="1" w:styleId="1055">
    <w:name w:val="样式 首行缩进:  2 字符2"/>
    <w:basedOn w:val="1"/>
    <w:qFormat/>
    <w:uiPriority w:val="0"/>
    <w:pPr>
      <w:spacing w:line="520" w:lineRule="exact"/>
      <w:ind w:firstLine="560"/>
    </w:pPr>
    <w:rPr>
      <w:rFonts w:cs="宋体"/>
      <w:bCs/>
      <w:color w:val="000000"/>
      <w:kern w:val="24"/>
      <w:szCs w:val="20"/>
    </w:rPr>
  </w:style>
  <w:style w:type="paragraph" w:customStyle="1" w:styleId="1056">
    <w:name w:val="表格内文字"/>
    <w:basedOn w:val="128"/>
    <w:qFormat/>
    <w:uiPriority w:val="0"/>
    <w:pPr>
      <w:adjustRightInd/>
      <w:spacing w:beforeLines="0" w:afterLines="0" w:line="240" w:lineRule="auto"/>
      <w:ind w:left="-60" w:leftChars="-44" w:right="-108" w:rightChars="-45" w:hanging="46" w:hangingChars="22"/>
    </w:pPr>
    <w:rPr>
      <w:rFonts w:hAnsi="宋体"/>
      <w:bCs/>
      <w:color w:val="000000"/>
      <w:kern w:val="2"/>
      <w:lang w:val="zh-CN"/>
    </w:rPr>
  </w:style>
  <w:style w:type="paragraph" w:customStyle="1" w:styleId="1057">
    <w:name w:val="表头居右"/>
    <w:basedOn w:val="538"/>
    <w:qFormat/>
    <w:uiPriority w:val="0"/>
    <w:pPr>
      <w:widowControl/>
      <w:adjustRightInd/>
      <w:snapToGrid/>
      <w:spacing w:beforeLines="100" w:line="240" w:lineRule="auto"/>
      <w:ind w:firstLine="240" w:firstLineChars="100"/>
    </w:pPr>
    <w:rPr>
      <w:b w:val="0"/>
      <w:kern w:val="0"/>
      <w:szCs w:val="20"/>
    </w:rPr>
  </w:style>
  <w:style w:type="paragraph" w:customStyle="1" w:styleId="1058">
    <w:name w:val="样式 首行缩进:  0.80 厘米 段前: 7.8 磅"/>
    <w:basedOn w:val="1"/>
    <w:qFormat/>
    <w:uiPriority w:val="0"/>
    <w:pPr>
      <w:adjustRightInd w:val="0"/>
      <w:snapToGrid w:val="0"/>
      <w:spacing w:before="156" w:line="312" w:lineRule="auto"/>
      <w:ind w:firstLine="480"/>
    </w:pPr>
    <w:rPr>
      <w:bCs/>
      <w:color w:val="000000"/>
      <w:kern w:val="24"/>
      <w:szCs w:val="20"/>
    </w:rPr>
  </w:style>
  <w:style w:type="paragraph" w:customStyle="1" w:styleId="1059">
    <w:name w:val="标题后正文"/>
    <w:basedOn w:val="1"/>
    <w:qFormat/>
    <w:uiPriority w:val="0"/>
    <w:pPr>
      <w:adjustRightInd w:val="0"/>
      <w:ind w:firstLine="200"/>
      <w:textAlignment w:val="baseline"/>
    </w:pPr>
    <w:rPr>
      <w:rFonts w:ascii="Arial" w:hAnsi="Arial"/>
      <w:bCs/>
      <w:snapToGrid w:val="0"/>
      <w:color w:val="000000"/>
      <w:kern w:val="28"/>
      <w:szCs w:val="20"/>
    </w:rPr>
  </w:style>
  <w:style w:type="paragraph" w:customStyle="1" w:styleId="1060">
    <w:name w:val="c"/>
    <w:semiHidden/>
    <w:qFormat/>
    <w:uiPriority w:val="0"/>
    <w:pPr>
      <w:widowControl w:val="0"/>
      <w:autoSpaceDE w:val="0"/>
      <w:autoSpaceDN w:val="0"/>
      <w:adjustRightInd w:val="0"/>
      <w:jc w:val="both"/>
    </w:pPr>
    <w:rPr>
      <w:rFonts w:ascii="Arial" w:hAnsi="Arial" w:eastAsia="宋体" w:cs="Times New Roman"/>
      <w:bCs/>
      <w:color w:val="000000"/>
      <w:sz w:val="24"/>
      <w:szCs w:val="24"/>
      <w:lang w:val="en-US" w:eastAsia="zh-CN" w:bidi="ar-SA"/>
    </w:rPr>
  </w:style>
  <w:style w:type="paragraph" w:customStyle="1" w:styleId="1061">
    <w:name w:val="a)"/>
    <w:basedOn w:val="1"/>
    <w:qFormat/>
    <w:uiPriority w:val="0"/>
    <w:rPr>
      <w:bCs/>
      <w:color w:val="000000"/>
      <w:kern w:val="24"/>
    </w:rPr>
  </w:style>
  <w:style w:type="paragraph" w:customStyle="1" w:styleId="1062">
    <w:name w:val="样式 热电厂正文 + 四号 首行缩进:  2 字符"/>
    <w:basedOn w:val="1"/>
    <w:qFormat/>
    <w:uiPriority w:val="0"/>
    <w:pPr>
      <w:spacing w:line="480" w:lineRule="exact"/>
      <w:ind w:firstLine="200"/>
    </w:pPr>
    <w:rPr>
      <w:rFonts w:cs="宋体"/>
      <w:bCs/>
      <w:color w:val="000000"/>
      <w:kern w:val="24"/>
      <w:szCs w:val="20"/>
    </w:rPr>
  </w:style>
  <w:style w:type="paragraph" w:customStyle="1" w:styleId="1063">
    <w:name w:val="小四表格"/>
    <w:basedOn w:val="1"/>
    <w:next w:val="1"/>
    <w:semiHidden/>
    <w:qFormat/>
    <w:uiPriority w:val="0"/>
    <w:pPr>
      <w:snapToGrid w:val="0"/>
      <w:jc w:val="center"/>
    </w:pPr>
    <w:rPr>
      <w:rFonts w:ascii="ˎ̥" w:hAnsi="ˎ̥" w:cs="Batang"/>
      <w:bCs/>
      <w:snapToGrid w:val="0"/>
      <w:color w:val="000000"/>
      <w:kern w:val="24"/>
      <w:szCs w:val="20"/>
    </w:rPr>
  </w:style>
  <w:style w:type="paragraph" w:customStyle="1" w:styleId="1064">
    <w:name w:val="Char2 Char Char Char Char Char Char"/>
    <w:basedOn w:val="1"/>
    <w:qFormat/>
    <w:uiPriority w:val="0"/>
    <w:rPr>
      <w:rFonts w:ascii="Batang" w:hAnsi="Batang" w:cs="Batang"/>
      <w:bCs/>
      <w:color w:val="000000"/>
      <w:kern w:val="24"/>
    </w:rPr>
  </w:style>
  <w:style w:type="paragraph" w:customStyle="1" w:styleId="1065">
    <w:name w:val="样式 首行缩进:  2 字符9"/>
    <w:basedOn w:val="1"/>
    <w:qFormat/>
    <w:uiPriority w:val="0"/>
    <w:pPr>
      <w:spacing w:line="520" w:lineRule="exact"/>
      <w:ind w:firstLine="560"/>
    </w:pPr>
    <w:rPr>
      <w:rFonts w:cs="宋体"/>
      <w:bCs/>
      <w:color w:val="000000"/>
      <w:kern w:val="24"/>
      <w:szCs w:val="20"/>
    </w:rPr>
  </w:style>
  <w:style w:type="paragraph" w:customStyle="1" w:styleId="1066">
    <w:name w:val="样式 小四 首行缩进:  0.74 厘米 行距: 固定值 20 磅"/>
    <w:basedOn w:val="1"/>
    <w:qFormat/>
    <w:uiPriority w:val="0"/>
    <w:pPr>
      <w:spacing w:line="440" w:lineRule="exact"/>
      <w:ind w:firstLine="454"/>
    </w:pPr>
    <w:rPr>
      <w:bCs/>
      <w:color w:val="000000"/>
      <w:kern w:val="24"/>
      <w:szCs w:val="20"/>
    </w:rPr>
  </w:style>
  <w:style w:type="paragraph" w:customStyle="1" w:styleId="1067">
    <w:name w:val="样式 标题 3 + 宋体"/>
    <w:basedOn w:val="6"/>
    <w:qFormat/>
    <w:uiPriority w:val="0"/>
    <w:pPr>
      <w:spacing w:before="40" w:after="40" w:line="440" w:lineRule="exact"/>
    </w:pPr>
    <w:rPr>
      <w:rFonts w:ascii="Sim Sun" w:hAnsi="Sim Sun" w:eastAsia="Sim Sun" w:cs="Batang"/>
      <w:b w:val="0"/>
      <w:bCs w:val="0"/>
      <w:color w:val="000000"/>
      <w:kern w:val="24"/>
      <w:sz w:val="28"/>
    </w:rPr>
  </w:style>
  <w:style w:type="paragraph" w:customStyle="1" w:styleId="1068">
    <w:name w:val="1说明"/>
    <w:basedOn w:val="718"/>
    <w:qFormat/>
    <w:uiPriority w:val="0"/>
    <w:rPr>
      <w:bCs/>
      <w:snapToGrid/>
      <w:kern w:val="2"/>
      <w:sz w:val="21"/>
    </w:rPr>
  </w:style>
  <w:style w:type="paragraph" w:customStyle="1" w:styleId="1069">
    <w:name w:val="样式 题注 + 两端对齐"/>
    <w:basedOn w:val="19"/>
    <w:qFormat/>
    <w:uiPriority w:val="0"/>
    <w:pPr>
      <w:tabs>
        <w:tab w:val="clear" w:pos="2445"/>
        <w:tab w:val="clear" w:pos="4156"/>
      </w:tabs>
      <w:spacing w:beforeLines="0"/>
    </w:pPr>
    <w:rPr>
      <w:rFonts w:cs="宋体"/>
      <w:b w:val="0"/>
      <w:bCs/>
      <w:snapToGrid/>
      <w:color w:val="000000"/>
      <w:kern w:val="24"/>
    </w:rPr>
  </w:style>
  <w:style w:type="paragraph" w:customStyle="1" w:styleId="1070">
    <w:name w:val="封皮字体3"/>
    <w:basedOn w:val="783"/>
    <w:qFormat/>
    <w:uiPriority w:val="0"/>
    <w:pPr>
      <w:spacing w:line="720" w:lineRule="auto"/>
    </w:pPr>
    <w:rPr>
      <w:sz w:val="30"/>
    </w:rPr>
  </w:style>
  <w:style w:type="paragraph" w:customStyle="1" w:styleId="1071">
    <w:name w:val="样式 标题 1章标题 1文章标题h11st levelSection Headl1章b1H1章节标题1标题..."/>
    <w:basedOn w:val="4"/>
    <w:qFormat/>
    <w:uiPriority w:val="0"/>
    <w:pPr>
      <w:keepNext w:val="0"/>
      <w:tabs>
        <w:tab w:val="left" w:pos="1260"/>
      </w:tabs>
      <w:overflowPunct/>
      <w:snapToGrid/>
      <w:spacing w:before="0" w:after="0" w:line="360" w:lineRule="auto"/>
      <w:ind w:left="1260" w:hanging="780"/>
      <w:textAlignment w:val="baseline"/>
    </w:pPr>
    <w:rPr>
      <w:rFonts w:ascii="Arial Unicode MS" w:hAnsi="Arial Unicode MS" w:eastAsia="仿宋体" w:cs="Vladimir Script"/>
      <w:b w:val="0"/>
      <w:color w:val="0000FF"/>
      <w:sz w:val="32"/>
      <w:szCs w:val="32"/>
    </w:rPr>
  </w:style>
  <w:style w:type="paragraph" w:customStyle="1" w:styleId="1072">
    <w:name w:val="主要行岗位规范"/>
    <w:basedOn w:val="1"/>
    <w:qFormat/>
    <w:uiPriority w:val="0"/>
    <w:pPr>
      <w:widowControl/>
      <w:spacing w:line="280" w:lineRule="atLeast"/>
      <w:jc w:val="center"/>
    </w:pPr>
    <w:rPr>
      <w:bCs/>
      <w:color w:val="000000"/>
      <w:kern w:val="0"/>
      <w:szCs w:val="20"/>
    </w:rPr>
  </w:style>
  <w:style w:type="paragraph" w:customStyle="1" w:styleId="1073">
    <w:name w:val="目录1.1"/>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074">
    <w:name w:val="标记文字"/>
    <w:basedOn w:val="19"/>
    <w:qFormat/>
    <w:uiPriority w:val="0"/>
    <w:pPr>
      <w:keepNext w:val="0"/>
      <w:tabs>
        <w:tab w:val="clear" w:pos="2445"/>
        <w:tab w:val="clear" w:pos="4156"/>
      </w:tabs>
      <w:spacing w:beforeLines="0"/>
      <w:ind w:left="200" w:hanging="200" w:hangingChars="200"/>
      <w:jc w:val="both"/>
    </w:pPr>
    <w:rPr>
      <w:rFonts w:ascii="Arial" w:hAnsi="Arial" w:eastAsia="黑体" w:cs="Times New Roman"/>
      <w:b w:val="0"/>
      <w:bCs/>
      <w:snapToGrid/>
      <w:color w:val="000000"/>
      <w:kern w:val="24"/>
      <w:sz w:val="21"/>
      <w:szCs w:val="20"/>
    </w:rPr>
  </w:style>
  <w:style w:type="paragraph" w:customStyle="1" w:styleId="1075">
    <w:name w:val="表格文字"/>
    <w:basedOn w:val="1"/>
    <w:qFormat/>
    <w:uiPriority w:val="0"/>
    <w:pPr>
      <w:spacing w:line="400" w:lineRule="exact"/>
      <w:jc w:val="center"/>
    </w:pPr>
    <w:rPr>
      <w:bCs/>
      <w:color w:val="000000"/>
      <w:kern w:val="24"/>
    </w:rPr>
  </w:style>
  <w:style w:type="paragraph" w:customStyle="1" w:styleId="1076">
    <w:name w:val="表格左对齐"/>
    <w:basedOn w:val="1"/>
    <w:semiHidden/>
    <w:qFormat/>
    <w:uiPriority w:val="0"/>
    <w:pPr>
      <w:spacing w:line="264" w:lineRule="auto"/>
      <w:jc w:val="center"/>
    </w:pPr>
    <w:rPr>
      <w:rFonts w:eastAsia="仿宋_GB2312"/>
      <w:color w:val="000000"/>
      <w:kern w:val="24"/>
    </w:rPr>
  </w:style>
  <w:style w:type="paragraph" w:customStyle="1" w:styleId="1077">
    <w:name w:val="列表编号 41"/>
    <w:basedOn w:val="1"/>
    <w:qFormat/>
    <w:uiPriority w:val="0"/>
    <w:pPr>
      <w:tabs>
        <w:tab w:val="left" w:pos="1620"/>
      </w:tabs>
      <w:spacing w:line="480" w:lineRule="exact"/>
      <w:ind w:left="1620" w:leftChars="600" w:hanging="360" w:hangingChars="200"/>
    </w:pPr>
    <w:rPr>
      <w:rFonts w:ascii="Arial Unicode MS" w:hAnsi="Arial Unicode MS" w:cs="Vladimir Script"/>
      <w:bCs/>
      <w:color w:val="000000"/>
      <w:kern w:val="24"/>
    </w:rPr>
  </w:style>
  <w:style w:type="paragraph" w:customStyle="1" w:styleId="1078">
    <w:name w:val="样式 题注 + 首行缩进:  2 字符1"/>
    <w:basedOn w:val="19"/>
    <w:qFormat/>
    <w:uiPriority w:val="0"/>
    <w:pPr>
      <w:tabs>
        <w:tab w:val="clear" w:pos="2445"/>
        <w:tab w:val="clear" w:pos="4156"/>
      </w:tabs>
      <w:spacing w:beforeLines="0" w:after="160"/>
      <w:ind w:firstLine="200"/>
      <w:jc w:val="both"/>
    </w:pPr>
    <w:rPr>
      <w:rFonts w:ascii="Arial" w:hAnsi="Arial" w:eastAsia="黑体" w:cs="Times New Roman"/>
      <w:b w:val="0"/>
      <w:bCs/>
      <w:snapToGrid/>
      <w:color w:val="000000"/>
      <w:kern w:val="24"/>
      <w:sz w:val="21"/>
      <w:szCs w:val="20"/>
    </w:rPr>
  </w:style>
  <w:style w:type="paragraph" w:customStyle="1" w:styleId="1079">
    <w:name w:val="样式 标题 3标题 3 Char条标题1.1.13h33rd levelH3l3CT + 段前: 0.5 行 ..."/>
    <w:basedOn w:val="6"/>
    <w:qFormat/>
    <w:uiPriority w:val="0"/>
    <w:pPr>
      <w:tabs>
        <w:tab w:val="left" w:pos="720"/>
        <w:tab w:val="left" w:pos="900"/>
        <w:tab w:val="left" w:pos="1260"/>
        <w:tab w:val="left" w:pos="1800"/>
      </w:tabs>
      <w:adjustRightInd w:val="0"/>
      <w:spacing w:beforeLines="50" w:afterLines="50" w:line="240" w:lineRule="auto"/>
      <w:ind w:left="1080" w:hanging="1080"/>
      <w:textAlignment w:val="baseline"/>
    </w:pPr>
    <w:rPr>
      <w:rFonts w:ascii="宋体" w:hAnsi="宋体" w:cs="宋体"/>
      <w:b w:val="0"/>
      <w:bCs w:val="0"/>
      <w:color w:val="000000"/>
      <w:kern w:val="24"/>
      <w:sz w:val="28"/>
      <w:szCs w:val="28"/>
    </w:rPr>
  </w:style>
  <w:style w:type="paragraph" w:customStyle="1" w:styleId="1080">
    <w:name w:val="公式"/>
    <w:basedOn w:val="1"/>
    <w:qFormat/>
    <w:uiPriority w:val="0"/>
    <w:pPr>
      <w:adjustRightInd w:val="0"/>
      <w:spacing w:before="50" w:after="50" w:line="440" w:lineRule="exact"/>
      <w:textAlignment w:val="baseline"/>
    </w:pPr>
    <w:rPr>
      <w:bCs/>
      <w:color w:val="000000"/>
      <w:kern w:val="24"/>
      <w:sz w:val="28"/>
      <w:szCs w:val="20"/>
    </w:rPr>
  </w:style>
  <w:style w:type="paragraph" w:customStyle="1" w:styleId="1081">
    <w:name w:val="正文小四"/>
    <w:basedOn w:val="1"/>
    <w:qFormat/>
    <w:uiPriority w:val="0"/>
    <w:pPr>
      <w:ind w:firstLine="420"/>
    </w:pPr>
    <w:rPr>
      <w:rFonts w:ascii="Batang" w:hAnsi="Batang" w:cs="Batang"/>
      <w:bCs/>
      <w:color w:val="000000"/>
      <w:kern w:val="24"/>
      <w:szCs w:val="20"/>
    </w:rPr>
  </w:style>
  <w:style w:type="paragraph" w:customStyle="1" w:styleId="1082">
    <w:name w:val="table"/>
    <w:basedOn w:val="1"/>
    <w:qFormat/>
    <w:uiPriority w:val="0"/>
    <w:pPr>
      <w:adjustRightInd w:val="0"/>
      <w:spacing w:line="240" w:lineRule="atLeast"/>
      <w:textAlignment w:val="baseline"/>
    </w:pPr>
    <w:rPr>
      <w:rFonts w:ascii="Arial" w:hAnsi="Arial"/>
      <w:bCs/>
      <w:color w:val="000000"/>
      <w:spacing w:val="-2"/>
      <w:kern w:val="0"/>
      <w:szCs w:val="20"/>
    </w:rPr>
  </w:style>
  <w:style w:type="paragraph" w:customStyle="1" w:styleId="1083">
    <w:name w:val="7表格(治)"/>
    <w:qFormat/>
    <w:uiPriority w:val="0"/>
    <w:pPr>
      <w:widowControl w:val="0"/>
      <w:spacing w:line="320" w:lineRule="exact"/>
      <w:jc w:val="center"/>
    </w:pPr>
    <w:rPr>
      <w:rFonts w:ascii="宋体" w:hAnsi="宋体" w:eastAsia="宋体" w:cs="Times New Roman"/>
      <w:bCs/>
      <w:color w:val="000000"/>
      <w:sz w:val="21"/>
      <w:szCs w:val="21"/>
      <w:lang w:val="en-US" w:eastAsia="zh-CN" w:bidi="ar-SA"/>
    </w:rPr>
  </w:style>
  <w:style w:type="paragraph" w:customStyle="1" w:styleId="1084">
    <w:name w:val="三级正文"/>
    <w:basedOn w:val="827"/>
    <w:qFormat/>
    <w:uiPriority w:val="0"/>
    <w:pPr>
      <w:keepNext w:val="0"/>
      <w:keepLines w:val="0"/>
      <w:widowControl/>
      <w:tabs>
        <w:tab w:val="clear" w:pos="1260"/>
        <w:tab w:val="clear" w:pos="1800"/>
      </w:tabs>
      <w:spacing w:line="300" w:lineRule="auto"/>
      <w:ind w:firstLine="567"/>
      <w:outlineLvl w:val="9"/>
    </w:pPr>
    <w:rPr>
      <w:rFonts w:ascii="Batang" w:hAnsi="Batang" w:eastAsia="Sim Sun" w:cs="Batang"/>
      <w:kern w:val="28"/>
    </w:rPr>
  </w:style>
  <w:style w:type="paragraph" w:customStyle="1" w:styleId="1085">
    <w:name w:val="ljw子标题"/>
    <w:basedOn w:val="1"/>
    <w:next w:val="28"/>
    <w:qFormat/>
    <w:uiPriority w:val="0"/>
    <w:pPr>
      <w:adjustRightInd w:val="0"/>
      <w:snapToGrid w:val="0"/>
      <w:spacing w:beforeLines="50" w:afterLines="50" w:line="440" w:lineRule="exact"/>
      <w:ind w:firstLine="200"/>
    </w:pPr>
    <w:rPr>
      <w:rFonts w:ascii="Sim Sun" w:hAnsi="Sim Sun" w:cs="Vladimir Script"/>
      <w:b/>
      <w:bCs/>
      <w:color w:val="000000"/>
      <w:kern w:val="24"/>
      <w:szCs w:val="28"/>
    </w:rPr>
  </w:style>
  <w:style w:type="paragraph" w:customStyle="1" w:styleId="1086">
    <w:name w:val="正文缩进2字符"/>
    <w:basedOn w:val="1"/>
    <w:qFormat/>
    <w:uiPriority w:val="0"/>
    <w:pPr>
      <w:spacing w:line="520" w:lineRule="exact"/>
      <w:ind w:firstLine="200"/>
    </w:pPr>
    <w:rPr>
      <w:bCs/>
      <w:color w:val="000000"/>
      <w:kern w:val="24"/>
      <w:sz w:val="28"/>
    </w:rPr>
  </w:style>
  <w:style w:type="paragraph" w:customStyle="1" w:styleId="1087">
    <w:name w:val="新正文"/>
    <w:basedOn w:val="1"/>
    <w:qFormat/>
    <w:uiPriority w:val="0"/>
    <w:pPr>
      <w:spacing w:line="480" w:lineRule="exact"/>
      <w:ind w:firstLine="482"/>
    </w:pPr>
    <w:rPr>
      <w:rFonts w:hint="eastAsia" w:ascii="仿宋_GB2312" w:eastAsia="仿宋_GB2312"/>
      <w:color w:val="000000"/>
      <w:kern w:val="0"/>
      <w:sz w:val="28"/>
      <w:szCs w:val="20"/>
    </w:rPr>
  </w:style>
  <w:style w:type="paragraph" w:customStyle="1" w:styleId="1088">
    <w:name w:val="WW-纯文本"/>
    <w:basedOn w:val="1"/>
    <w:qFormat/>
    <w:uiPriority w:val="0"/>
    <w:pPr>
      <w:suppressAutoHyphens/>
    </w:pPr>
    <w:rPr>
      <w:rFonts w:ascii="宋体" w:hAnsi="宋体" w:cs="宋体"/>
      <w:bCs/>
      <w:color w:val="000000"/>
      <w:kern w:val="1"/>
      <w:lang w:eastAsia="ar-SA"/>
    </w:rPr>
  </w:style>
  <w:style w:type="paragraph" w:customStyle="1" w:styleId="1089">
    <w:name w:val="1目录"/>
    <w:basedOn w:val="1046"/>
    <w:qFormat/>
    <w:uiPriority w:val="0"/>
    <w:pPr>
      <w:keepNext w:val="0"/>
      <w:tabs>
        <w:tab w:val="left" w:leader="middleDot" w:pos="8190"/>
      </w:tabs>
      <w:spacing w:before="120" w:after="120"/>
      <w:ind w:left="80" w:leftChars="80"/>
      <w:jc w:val="both"/>
      <w:textAlignment w:val="center"/>
    </w:pPr>
    <w:rPr>
      <w:rFonts w:eastAsia="宋体"/>
      <w:b w:val="0"/>
      <w:bCs w:val="0"/>
    </w:rPr>
  </w:style>
  <w:style w:type="paragraph" w:customStyle="1" w:styleId="1090">
    <w:name w:val="正文样式"/>
    <w:basedOn w:val="1"/>
    <w:semiHidden/>
    <w:qFormat/>
    <w:uiPriority w:val="0"/>
    <w:pPr>
      <w:ind w:firstLine="480"/>
    </w:pPr>
    <w:rPr>
      <w:rFonts w:ascii="Sim Sun" w:hAnsi="Sim Sun" w:cs="Batang"/>
      <w:bCs/>
      <w:color w:val="000000"/>
      <w:kern w:val="24"/>
    </w:rPr>
  </w:style>
  <w:style w:type="paragraph" w:customStyle="1" w:styleId="1091">
    <w:name w:val="样式 标题 2h22Header 2nd PageA.B.C.h2 main h标题2 + 仿宋_GB2312 行距..."/>
    <w:basedOn w:val="5"/>
    <w:qFormat/>
    <w:uiPriority w:val="0"/>
    <w:pPr>
      <w:widowControl/>
      <w:spacing w:line="360" w:lineRule="auto"/>
      <w:ind w:firstLine="455" w:firstLineChars="162"/>
    </w:pPr>
    <w:rPr>
      <w:rFonts w:ascii="@幼圆" w:hAnsi="华文新魏" w:eastAsia="@幼圆" w:cs="Sim Sun"/>
      <w:b w:val="0"/>
      <w:bCs w:val="0"/>
      <w:color w:val="000000"/>
      <w:kern w:val="24"/>
      <w:sz w:val="28"/>
      <w:szCs w:val="20"/>
    </w:rPr>
  </w:style>
  <w:style w:type="paragraph" w:customStyle="1" w:styleId="1092">
    <w:name w:val="Char Char Char6"/>
    <w:basedOn w:val="1"/>
    <w:qFormat/>
    <w:uiPriority w:val="0"/>
    <w:rPr>
      <w:rFonts w:ascii="Batang" w:hAnsi="Batang" w:cs="Batang"/>
      <w:bCs/>
      <w:color w:val="000000"/>
      <w:kern w:val="24"/>
      <w:szCs w:val="20"/>
    </w:rPr>
  </w:style>
  <w:style w:type="paragraph" w:customStyle="1" w:styleId="1093">
    <w:name w:val="样式 正文首行缩进 2 + 首行缩进:  2 字符"/>
    <w:basedOn w:val="78"/>
    <w:qFormat/>
    <w:uiPriority w:val="0"/>
    <w:pPr>
      <w:ind w:left="0" w:leftChars="0" w:firstLine="480"/>
    </w:pPr>
    <w:rPr>
      <w:bCs/>
      <w:color w:val="000000"/>
      <w:kern w:val="24"/>
      <w:sz w:val="24"/>
      <w:szCs w:val="20"/>
    </w:rPr>
  </w:style>
  <w:style w:type="paragraph" w:customStyle="1" w:styleId="1094">
    <w:name w:val="表头居左"/>
    <w:basedOn w:val="1057"/>
    <w:qFormat/>
    <w:uiPriority w:val="0"/>
    <w:pPr>
      <w:spacing w:before="326" w:line="260" w:lineRule="exact"/>
      <w:ind w:firstLine="254"/>
      <w:jc w:val="both"/>
    </w:pPr>
  </w:style>
  <w:style w:type="paragraph" w:customStyle="1" w:styleId="1095">
    <w:name w:val="称呼1"/>
    <w:basedOn w:val="1"/>
    <w:next w:val="1"/>
    <w:qFormat/>
    <w:uiPriority w:val="0"/>
    <w:pPr>
      <w:spacing w:line="440" w:lineRule="exact"/>
      <w:ind w:firstLine="200"/>
    </w:pPr>
    <w:rPr>
      <w:rFonts w:ascii="Arial Unicode MS" w:hAnsi="Arial Unicode MS" w:eastAsia="Times New Roman"/>
      <w:bCs/>
      <w:color w:val="000000"/>
      <w:kern w:val="0"/>
      <w:sz w:val="28"/>
      <w:szCs w:val="20"/>
    </w:rPr>
  </w:style>
  <w:style w:type="paragraph" w:customStyle="1" w:styleId="1096">
    <w:name w:val="表注"/>
    <w:basedOn w:val="1"/>
    <w:qFormat/>
    <w:uiPriority w:val="0"/>
    <w:pPr>
      <w:tabs>
        <w:tab w:val="left" w:pos="625"/>
      </w:tabs>
      <w:overflowPunct w:val="0"/>
      <w:topLinePunct/>
      <w:autoSpaceDE w:val="0"/>
      <w:adjustRightInd w:val="0"/>
      <w:snapToGrid w:val="0"/>
      <w:spacing w:before="120" w:afterLines="50" w:line="288" w:lineRule="auto"/>
      <w:ind w:left="625" w:hanging="425"/>
      <w:jc w:val="center"/>
      <w:textAlignment w:val="baseline"/>
    </w:pPr>
    <w:rPr>
      <w:b/>
      <w:bCs/>
      <w:color w:val="000000"/>
      <w:spacing w:val="20"/>
      <w:kern w:val="0"/>
      <w:sz w:val="28"/>
      <w:szCs w:val="20"/>
    </w:rPr>
  </w:style>
  <w:style w:type="paragraph" w:customStyle="1" w:styleId="1097">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bCs/>
      <w:color w:val="000000"/>
      <w:spacing w:val="20"/>
      <w:kern w:val="24"/>
      <w:szCs w:val="20"/>
    </w:rPr>
  </w:style>
  <w:style w:type="paragraph" w:customStyle="1" w:styleId="1098">
    <w:name w:val="表内五中"/>
    <w:basedOn w:val="1"/>
    <w:qFormat/>
    <w:uiPriority w:val="0"/>
    <w:pPr>
      <w:tabs>
        <w:tab w:val="left" w:pos="-120"/>
      </w:tabs>
      <w:spacing w:before="60" w:line="310" w:lineRule="atLeast"/>
      <w:jc w:val="center"/>
    </w:pPr>
    <w:rPr>
      <w:bCs/>
      <w:color w:val="000000"/>
      <w:kern w:val="24"/>
      <w:szCs w:val="20"/>
    </w:rPr>
  </w:style>
  <w:style w:type="paragraph" w:customStyle="1" w:styleId="1099">
    <w:name w:val="表注-西江"/>
    <w:basedOn w:val="881"/>
    <w:qFormat/>
    <w:uiPriority w:val="0"/>
    <w:pPr>
      <w:spacing w:before="120"/>
      <w:jc w:val="both"/>
    </w:pPr>
    <w:rPr>
      <w:rFonts w:ascii="宋体" w:hAnsi="宋体"/>
      <w:sz w:val="21"/>
      <w:szCs w:val="21"/>
    </w:rPr>
  </w:style>
  <w:style w:type="paragraph" w:customStyle="1" w:styleId="1100">
    <w:name w:val="表中"/>
    <w:basedOn w:val="218"/>
    <w:qFormat/>
    <w:uiPriority w:val="0"/>
    <w:pPr>
      <w:autoSpaceDE w:val="0"/>
      <w:autoSpaceDN w:val="0"/>
      <w:adjustRightInd w:val="0"/>
      <w:textAlignment w:val="bottom"/>
      <w:outlineLvl w:val="7"/>
    </w:pPr>
    <w:rPr>
      <w:rFonts w:ascii="ˎ̥" w:hAnsi="ˎ̥" w:eastAsia="Garamond"/>
    </w:rPr>
  </w:style>
  <w:style w:type="paragraph" w:customStyle="1" w:styleId="1101">
    <w:name w:val="二"/>
    <w:basedOn w:val="1"/>
    <w:qFormat/>
    <w:uiPriority w:val="0"/>
    <w:rPr>
      <w:rFonts w:ascii="FLGPEK+TimesNewRoman,Italic" w:hAnsi="Batang" w:eastAsia="FLGPEK+TimesNewRoman,Italic" w:cs="Batang"/>
      <w:b/>
      <w:bCs/>
      <w:color w:val="000000"/>
      <w:kern w:val="24"/>
      <w:szCs w:val="20"/>
    </w:rPr>
  </w:style>
  <w:style w:type="paragraph" w:customStyle="1" w:styleId="1102">
    <w:name w:val="6"/>
    <w:basedOn w:val="6"/>
    <w:qFormat/>
    <w:uiPriority w:val="0"/>
    <w:pPr>
      <w:tabs>
        <w:tab w:val="left" w:pos="360"/>
        <w:tab w:val="left" w:pos="900"/>
      </w:tabs>
      <w:snapToGrid w:val="0"/>
      <w:spacing w:before="120" w:after="120" w:line="360" w:lineRule="auto"/>
      <w:ind w:left="542" w:leftChars="-12" w:firstLine="200"/>
    </w:pPr>
    <w:rPr>
      <w:rFonts w:ascii="Arial" w:hAnsi="Arial"/>
      <w:color w:val="000000"/>
      <w:kern w:val="24"/>
      <w:sz w:val="28"/>
      <w:szCs w:val="20"/>
    </w:rPr>
  </w:style>
  <w:style w:type="paragraph" w:customStyle="1" w:styleId="1103">
    <w:name w:val="默认段落字体 Para Char"/>
    <w:basedOn w:val="1"/>
    <w:qFormat/>
    <w:uiPriority w:val="0"/>
    <w:rPr>
      <w:bCs/>
      <w:color w:val="000000"/>
      <w:kern w:val="24"/>
      <w:szCs w:val="20"/>
    </w:rPr>
  </w:style>
  <w:style w:type="paragraph" w:customStyle="1" w:styleId="1104">
    <w:name w:val="基准页脚样式"/>
    <w:basedOn w:val="28"/>
    <w:qFormat/>
    <w:uiPriority w:val="0"/>
    <w:pPr>
      <w:widowControl w:val="0"/>
      <w:snapToGrid/>
      <w:spacing w:before="0" w:after="0" w:line="360" w:lineRule="exact"/>
      <w:ind w:right="0"/>
      <w:jc w:val="center"/>
    </w:pPr>
    <w:rPr>
      <w:rFonts w:hAnsi="宋体"/>
      <w:bCs/>
      <w:color w:val="000000"/>
      <w:kern w:val="24"/>
      <w:sz w:val="21"/>
    </w:rPr>
  </w:style>
  <w:style w:type="paragraph" w:customStyle="1" w:styleId="1105">
    <w:name w:val="Main"/>
    <w:basedOn w:val="1"/>
    <w:qFormat/>
    <w:uiPriority w:val="0"/>
    <w:pPr>
      <w:spacing w:line="480" w:lineRule="atLeast"/>
      <w:ind w:left="400" w:leftChars="400" w:right="400" w:rightChars="400" w:firstLine="200"/>
    </w:pPr>
    <w:rPr>
      <w:rFonts w:ascii="仿宋_GB2312" w:hAnsi="仿宋_GB2312" w:cs="Batang"/>
      <w:bCs/>
      <w:color w:val="000000"/>
      <w:kern w:val="24"/>
      <w:sz w:val="28"/>
      <w:szCs w:val="28"/>
    </w:rPr>
  </w:style>
  <w:style w:type="paragraph" w:customStyle="1" w:styleId="1106">
    <w:name w:val="LT表内容"/>
    <w:basedOn w:val="1"/>
    <w:qFormat/>
    <w:uiPriority w:val="0"/>
    <w:pPr>
      <w:jc w:val="center"/>
    </w:pPr>
    <w:rPr>
      <w:bCs/>
      <w:snapToGrid w:val="0"/>
      <w:color w:val="000000"/>
      <w:kern w:val="28"/>
      <w:szCs w:val="20"/>
    </w:rPr>
  </w:style>
  <w:style w:type="paragraph" w:customStyle="1" w:styleId="1107">
    <w:name w:val="2.1.1"/>
    <w:basedOn w:val="1"/>
    <w:qFormat/>
    <w:uiPriority w:val="0"/>
    <w:rPr>
      <w:rFonts w:ascii="Batang" w:hAnsi="Batang" w:cs="Batang"/>
      <w:bCs/>
      <w:color w:val="000000"/>
      <w:kern w:val="24"/>
      <w:szCs w:val="20"/>
    </w:rPr>
  </w:style>
  <w:style w:type="paragraph" w:customStyle="1" w:styleId="1108">
    <w:name w:val="3级"/>
    <w:basedOn w:val="1"/>
    <w:qFormat/>
    <w:uiPriority w:val="0"/>
    <w:rPr>
      <w:rFonts w:ascii="Batang" w:hAnsi="Batang" w:cs="Batang"/>
      <w:bCs/>
      <w:color w:val="000000"/>
      <w:kern w:val="24"/>
      <w:szCs w:val="20"/>
    </w:rPr>
  </w:style>
  <w:style w:type="paragraph" w:customStyle="1" w:styleId="1109">
    <w:name w:val="一级"/>
    <w:basedOn w:val="1"/>
    <w:qFormat/>
    <w:uiPriority w:val="0"/>
    <w:pPr>
      <w:ind w:firstLine="539"/>
    </w:pPr>
    <w:rPr>
      <w:rFonts w:ascii="Batang" w:hAnsi="Batang" w:cs="Batang"/>
      <w:b/>
      <w:bCs/>
      <w:color w:val="000000"/>
      <w:kern w:val="24"/>
      <w:sz w:val="28"/>
      <w:szCs w:val="20"/>
    </w:rPr>
  </w:style>
  <w:style w:type="paragraph" w:customStyle="1" w:styleId="1110">
    <w:name w:val="标题二"/>
    <w:basedOn w:val="1"/>
    <w:qFormat/>
    <w:uiPriority w:val="0"/>
    <w:rPr>
      <w:rFonts w:ascii="Batang" w:hAnsi="Batang" w:cs="Batang"/>
      <w:bCs/>
      <w:color w:val="000000"/>
      <w:kern w:val="24"/>
      <w:szCs w:val="20"/>
    </w:rPr>
  </w:style>
  <w:style w:type="paragraph" w:customStyle="1" w:styleId="1111">
    <w:name w:val="正文一"/>
    <w:qFormat/>
    <w:uiPriority w:val="0"/>
    <w:pPr>
      <w:ind w:firstLine="200" w:firstLineChars="200"/>
    </w:pPr>
    <w:rPr>
      <w:rFonts w:ascii="Times New Roman" w:hAnsi="Times New Roman" w:eastAsia="宋体" w:cs="Times New Roman"/>
      <w:lang w:val="en-US" w:eastAsia="zh-CN" w:bidi="ar-SA"/>
    </w:rPr>
  </w:style>
  <w:style w:type="paragraph" w:customStyle="1" w:styleId="1112">
    <w:name w:val="Char Char Char Char Char Char1 Char"/>
    <w:basedOn w:val="1"/>
    <w:qFormat/>
    <w:uiPriority w:val="0"/>
    <w:pPr>
      <w:widowControl/>
      <w:spacing w:after="160" w:line="240" w:lineRule="exact"/>
    </w:pPr>
    <w:rPr>
      <w:rFonts w:ascii="ˎ̥" w:hAnsi="ˎ̥" w:eastAsia="Batang" w:cs="Wingdings"/>
      <w:b/>
      <w:bCs/>
      <w:color w:val="000000"/>
      <w:kern w:val="0"/>
      <w:szCs w:val="20"/>
      <w:lang w:eastAsia="en-US"/>
    </w:rPr>
  </w:style>
  <w:style w:type="paragraph" w:customStyle="1" w:styleId="1113">
    <w:name w:val="二级条标题"/>
    <w:basedOn w:val="736"/>
    <w:next w:val="1"/>
    <w:qFormat/>
    <w:uiPriority w:val="0"/>
    <w:pPr>
      <w:tabs>
        <w:tab w:val="left" w:pos="2160"/>
      </w:tabs>
      <w:ind w:left="2160"/>
      <w:outlineLvl w:val="3"/>
    </w:pPr>
  </w:style>
  <w:style w:type="paragraph" w:customStyle="1" w:styleId="1114">
    <w:name w:val="三级条标题"/>
    <w:basedOn w:val="1113"/>
    <w:next w:val="1"/>
    <w:qFormat/>
    <w:uiPriority w:val="0"/>
    <w:pPr>
      <w:tabs>
        <w:tab w:val="left" w:pos="2580"/>
      </w:tabs>
      <w:ind w:left="2580"/>
      <w:outlineLvl w:val="4"/>
    </w:pPr>
  </w:style>
  <w:style w:type="paragraph" w:customStyle="1" w:styleId="1115">
    <w:name w:val="四级条标题"/>
    <w:basedOn w:val="1114"/>
    <w:next w:val="1"/>
    <w:qFormat/>
    <w:uiPriority w:val="0"/>
    <w:pPr>
      <w:tabs>
        <w:tab w:val="left" w:pos="3000"/>
      </w:tabs>
      <w:ind w:left="3000"/>
      <w:outlineLvl w:val="5"/>
    </w:pPr>
  </w:style>
  <w:style w:type="paragraph" w:customStyle="1" w:styleId="1116">
    <w:name w:val="五级条标题"/>
    <w:basedOn w:val="1115"/>
    <w:next w:val="1"/>
    <w:qFormat/>
    <w:uiPriority w:val="0"/>
    <w:pPr>
      <w:tabs>
        <w:tab w:val="left" w:pos="3420"/>
      </w:tabs>
      <w:ind w:left="3420"/>
      <w:outlineLvl w:val="6"/>
    </w:pPr>
  </w:style>
  <w:style w:type="paragraph" w:customStyle="1" w:styleId="1117">
    <w:name w:val="表格001"/>
    <w:basedOn w:val="1"/>
    <w:qFormat/>
    <w:uiPriority w:val="0"/>
    <w:pPr>
      <w:jc w:val="center"/>
    </w:pPr>
    <w:rPr>
      <w:rFonts w:ascii="Batang" w:hAnsi="Batang" w:cs="Batang"/>
      <w:bCs/>
      <w:color w:val="000000"/>
      <w:kern w:val="24"/>
      <w:szCs w:val="20"/>
    </w:rPr>
  </w:style>
  <w:style w:type="paragraph" w:customStyle="1" w:styleId="1118">
    <w:name w:val="编号1"/>
    <w:basedOn w:val="1"/>
    <w:qFormat/>
    <w:uiPriority w:val="0"/>
    <w:pPr>
      <w:tabs>
        <w:tab w:val="left" w:pos="1200"/>
      </w:tabs>
      <w:ind w:left="1200" w:hanging="720"/>
    </w:pPr>
    <w:rPr>
      <w:rFonts w:ascii="Batang" w:hAnsi="Batang" w:cs="Batang"/>
      <w:bCs/>
      <w:color w:val="000000"/>
      <w:kern w:val="24"/>
      <w:szCs w:val="20"/>
    </w:rPr>
  </w:style>
  <w:style w:type="paragraph" w:customStyle="1" w:styleId="1119">
    <w:name w:val="f4"/>
    <w:basedOn w:val="1"/>
    <w:qFormat/>
    <w:uiPriority w:val="0"/>
    <w:pPr>
      <w:widowControl/>
      <w:spacing w:before="100" w:beforeAutospacing="1" w:after="100" w:afterAutospacing="1"/>
    </w:pPr>
    <w:rPr>
      <w:rFonts w:ascii="Sim Sun" w:hAnsi="Sim Sun" w:cs="Batang"/>
      <w:bCs/>
      <w:color w:val="333333"/>
      <w:kern w:val="0"/>
      <w:szCs w:val="21"/>
    </w:rPr>
  </w:style>
  <w:style w:type="paragraph" w:customStyle="1" w:styleId="1120">
    <w:name w:val="Date1"/>
    <w:basedOn w:val="1"/>
    <w:next w:val="1"/>
    <w:qFormat/>
    <w:uiPriority w:val="0"/>
    <w:pPr>
      <w:adjustRightInd w:val="0"/>
      <w:textAlignment w:val="baseline"/>
    </w:pPr>
    <w:rPr>
      <w:rFonts w:ascii="Batang" w:hAnsi="Batang" w:cs="Batang"/>
      <w:bCs/>
      <w:color w:val="000000"/>
      <w:kern w:val="24"/>
      <w:szCs w:val="20"/>
    </w:rPr>
  </w:style>
  <w:style w:type="paragraph" w:customStyle="1" w:styleId="1121">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ind w:firstLine="200"/>
    </w:pPr>
    <w:rPr>
      <w:rFonts w:ascii="ˎ̥" w:hAnsi="ˎ̥" w:cs="Vladimir Script"/>
      <w:b/>
      <w:bCs/>
      <w:color w:val="000000"/>
      <w:spacing w:val="-10"/>
      <w:kern w:val="0"/>
      <w:position w:val="7"/>
      <w:sz w:val="20"/>
      <w:szCs w:val="20"/>
    </w:rPr>
  </w:style>
  <w:style w:type="paragraph" w:customStyle="1" w:styleId="1122">
    <w:name w:val="环表头"/>
    <w:basedOn w:val="1"/>
    <w:next w:val="1"/>
    <w:qFormat/>
    <w:uiPriority w:val="0"/>
    <w:pPr>
      <w:suppressAutoHyphens/>
      <w:adjustRightInd w:val="0"/>
      <w:spacing w:line="420" w:lineRule="exact"/>
      <w:ind w:right="28"/>
      <w:jc w:val="center"/>
      <w:textAlignment w:val="baseline"/>
    </w:pPr>
    <w:rPr>
      <w:rFonts w:ascii="FLGPEK+TimesNewRoman,Italic" w:hAnsi="Sim Sun" w:eastAsia="FLGPEK+TimesNewRoman,Italic" w:cs="Batang"/>
      <w:bCs/>
      <w:color w:val="000000"/>
      <w:kern w:val="0"/>
      <w:szCs w:val="20"/>
    </w:rPr>
  </w:style>
  <w:style w:type="paragraph" w:customStyle="1" w:styleId="1123">
    <w:name w:val="列表接续 21"/>
    <w:basedOn w:val="1"/>
    <w:qFormat/>
    <w:uiPriority w:val="0"/>
    <w:pPr>
      <w:spacing w:after="120" w:line="480" w:lineRule="exact"/>
      <w:ind w:left="840" w:leftChars="400" w:firstLine="200"/>
    </w:pPr>
    <w:rPr>
      <w:rFonts w:ascii="Arial Unicode MS" w:hAnsi="Arial Unicode MS" w:cs="Vladimir Script"/>
      <w:bCs/>
      <w:color w:val="000000"/>
      <w:kern w:val="24"/>
    </w:rPr>
  </w:style>
  <w:style w:type="paragraph" w:customStyle="1" w:styleId="1124">
    <w:name w:val="表第一列"/>
    <w:basedOn w:val="77"/>
    <w:qFormat/>
    <w:uiPriority w:val="0"/>
    <w:pPr>
      <w:keepNext/>
      <w:keepLines/>
      <w:tabs>
        <w:tab w:val="left" w:pos="1727"/>
        <w:tab w:val="left" w:pos="1884"/>
        <w:tab w:val="left" w:pos="2940"/>
      </w:tabs>
      <w:snapToGrid w:val="0"/>
      <w:spacing w:line="0" w:lineRule="atLeast"/>
      <w:ind w:firstLine="0"/>
      <w:jc w:val="center"/>
      <w:textAlignment w:val="auto"/>
    </w:pPr>
    <w:rPr>
      <w:rFonts w:ascii="Sim Sun" w:hAnsi="Sim Sun" w:cs="Batang"/>
      <w:spacing w:val="-4"/>
      <w:kern w:val="2"/>
    </w:rPr>
  </w:style>
  <w:style w:type="paragraph" w:customStyle="1" w:styleId="1125">
    <w:name w:val="正文王"/>
    <w:basedOn w:val="37"/>
    <w:semiHidden/>
    <w:qFormat/>
    <w:uiPriority w:val="0"/>
    <w:pPr>
      <w:widowControl w:val="0"/>
      <w:spacing w:line="440" w:lineRule="exact"/>
      <w:jc w:val="both"/>
    </w:pPr>
    <w:rPr>
      <w:rFonts w:ascii="ˎ̥" w:hAnsi="ˎ̥" w:cs="Batang"/>
      <w:snapToGrid w:val="0"/>
    </w:rPr>
  </w:style>
  <w:style w:type="paragraph" w:customStyle="1" w:styleId="1126">
    <w:name w:val="Char Char Char Char3"/>
    <w:basedOn w:val="1"/>
    <w:semiHidden/>
    <w:qFormat/>
    <w:uiPriority w:val="0"/>
    <w:rPr>
      <w:rFonts w:ascii="Batang" w:hAnsi="Batang" w:cs="Batang"/>
      <w:bCs/>
      <w:color w:val="000000"/>
      <w:kern w:val="24"/>
    </w:rPr>
  </w:style>
  <w:style w:type="paragraph" w:customStyle="1" w:styleId="1127">
    <w:name w:val="环正文"/>
    <w:basedOn w:val="1"/>
    <w:qFormat/>
    <w:uiPriority w:val="0"/>
    <w:pPr>
      <w:widowControl/>
      <w:suppressAutoHyphens/>
      <w:adjustRightInd w:val="0"/>
      <w:spacing w:line="480" w:lineRule="exact"/>
      <w:ind w:firstLine="480"/>
      <w:textAlignment w:val="baseline"/>
    </w:pPr>
    <w:rPr>
      <w:rFonts w:ascii="Batang" w:hAnsi="Batang" w:cs="Batang"/>
      <w:color w:val="000000"/>
      <w:kern w:val="24"/>
    </w:rPr>
  </w:style>
  <w:style w:type="paragraph" w:customStyle="1" w:styleId="1128">
    <w:name w:val="环标3"/>
    <w:basedOn w:val="6"/>
    <w:qFormat/>
    <w:uiPriority w:val="0"/>
    <w:pPr>
      <w:keepNext w:val="0"/>
      <w:keepLines w:val="0"/>
      <w:adjustRightInd w:val="0"/>
      <w:spacing w:before="0" w:after="0" w:line="312" w:lineRule="atLeast"/>
      <w:textAlignment w:val="baseline"/>
    </w:pPr>
    <w:rPr>
      <w:rFonts w:ascii="Sim Sun" w:hAnsi="Sim Sun" w:eastAsia="Sim Sun" w:cs="Batang"/>
      <w:b w:val="0"/>
      <w:color w:val="000000"/>
      <w:kern w:val="0"/>
      <w:sz w:val="24"/>
      <w:szCs w:val="20"/>
    </w:rPr>
  </w:style>
  <w:style w:type="paragraph" w:customStyle="1" w:styleId="1129">
    <w:name w:val="Char Char Char Char Char Char Char Char Char Char Char Char Char"/>
    <w:basedOn w:val="1"/>
    <w:qFormat/>
    <w:uiPriority w:val="0"/>
    <w:rPr>
      <w:rFonts w:ascii="Batang" w:hAnsi="Batang" w:cs="Batang"/>
      <w:bCs/>
      <w:color w:val="000000"/>
      <w:kern w:val="24"/>
    </w:rPr>
  </w:style>
  <w:style w:type="paragraph" w:customStyle="1" w:styleId="1130">
    <w:name w:val="xl80"/>
    <w:basedOn w:val="1"/>
    <w:qFormat/>
    <w:uiPriority w:val="0"/>
    <w:pPr>
      <w:widowControl/>
      <w:pBdr>
        <w:bottom w:val="single" w:color="auto" w:sz="8" w:space="0"/>
        <w:right w:val="single" w:color="auto" w:sz="8" w:space="0"/>
      </w:pBdr>
      <w:spacing w:before="100" w:after="100"/>
      <w:jc w:val="center"/>
      <w:textAlignment w:val="center"/>
    </w:pPr>
    <w:rPr>
      <w:rFonts w:ascii="Batang" w:hAnsi="Batang" w:cs="Batang"/>
      <w:bCs/>
      <w:color w:val="000000"/>
      <w:kern w:val="0"/>
    </w:rPr>
  </w:style>
  <w:style w:type="paragraph" w:customStyle="1" w:styleId="1131">
    <w:name w:val="Char Char5 Char Char Char Char Char Char Char Char Char2"/>
    <w:basedOn w:val="6"/>
    <w:qFormat/>
    <w:uiPriority w:val="0"/>
    <w:pPr>
      <w:tabs>
        <w:tab w:val="left" w:pos="360"/>
        <w:tab w:val="left" w:pos="900"/>
      </w:tabs>
      <w:snapToGrid w:val="0"/>
      <w:spacing w:before="120" w:after="120" w:line="360" w:lineRule="auto"/>
      <w:ind w:left="542" w:leftChars="-12" w:firstLine="200"/>
    </w:pPr>
    <w:rPr>
      <w:rFonts w:ascii="Batang" w:hAnsi="Batang" w:eastAsia="FLGPEK+TimesNewRoman,Italic" w:cs="Batang"/>
      <w:b w:val="0"/>
      <w:snapToGrid w:val="0"/>
      <w:color w:val="000000"/>
      <w:kern w:val="24"/>
      <w:sz w:val="24"/>
      <w:szCs w:val="24"/>
    </w:rPr>
  </w:style>
  <w:style w:type="paragraph" w:customStyle="1" w:styleId="1132">
    <w:name w:val="样式 样式 样式 样式 标题 3标题3H3h33rd level第二层条头小标题小节标题标题 3 Char Char一海港标....."/>
    <w:basedOn w:val="1133"/>
    <w:qFormat/>
    <w:uiPriority w:val="0"/>
    <w:pPr>
      <w:tabs>
        <w:tab w:val="left" w:pos="720"/>
      </w:tabs>
    </w:pPr>
  </w:style>
  <w:style w:type="paragraph" w:customStyle="1" w:styleId="1133">
    <w:name w:val="样式 样式 样式 标题 3标题3H3h33rd level第二层条头小标题小节标题标题 3 Char Char一海港标... +..."/>
    <w:basedOn w:val="1134"/>
    <w:qFormat/>
    <w:uiPriority w:val="0"/>
    <w:pPr>
      <w:tabs>
        <w:tab w:val="left" w:pos="720"/>
      </w:tabs>
    </w:pPr>
  </w:style>
  <w:style w:type="paragraph" w:customStyle="1" w:styleId="1134">
    <w:name w:val="样式 样式 标题 3标题3H3h33rd level第二层条头小标题小节标题标题 3 Char Char一海港标... +1"/>
    <w:basedOn w:val="1135"/>
    <w:qFormat/>
    <w:uiPriority w:val="0"/>
    <w:pPr>
      <w:tabs>
        <w:tab w:val="left" w:pos="720"/>
      </w:tabs>
      <w:spacing w:beforeLines="50" w:afterLines="50" w:line="360" w:lineRule="auto"/>
      <w:ind w:left="0" w:firstLine="0"/>
    </w:pPr>
    <w:rPr>
      <w:rFonts w:ascii="仿宋体" w:hAnsi="Arial Unicode MS" w:eastAsia="仿宋体"/>
      <w:b/>
      <w:kern w:val="2"/>
    </w:rPr>
  </w:style>
  <w:style w:type="paragraph" w:customStyle="1" w:styleId="1135">
    <w:name w:val="样式 标题 3标题3H3h33rd level第二层条头小标题小节标题标题 3 Char Char一海港标..."/>
    <w:basedOn w:val="6"/>
    <w:qFormat/>
    <w:uiPriority w:val="0"/>
    <w:pPr>
      <w:keepLines w:val="0"/>
      <w:tabs>
        <w:tab w:val="left" w:pos="720"/>
      </w:tabs>
      <w:adjustRightInd w:val="0"/>
      <w:spacing w:before="120" w:after="48" w:line="360" w:lineRule="exact"/>
      <w:ind w:left="720" w:hanging="720"/>
      <w:textAlignment w:val="baseline"/>
    </w:pPr>
    <w:rPr>
      <w:rFonts w:ascii="ˎ̥" w:hAnsi="ˎ̥" w:eastAsia="Garamond" w:cs="Vladimir Script"/>
      <w:b w:val="0"/>
      <w:bCs w:val="0"/>
      <w:color w:val="000000"/>
      <w:kern w:val="0"/>
      <w:sz w:val="30"/>
    </w:rPr>
  </w:style>
  <w:style w:type="paragraph" w:customStyle="1" w:styleId="1136">
    <w:name w:val="xl60"/>
    <w:basedOn w:val="1"/>
    <w:qFormat/>
    <w:uiPriority w:val="0"/>
    <w:pPr>
      <w:widowControl/>
      <w:pBdr>
        <w:left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37">
    <w:name w:val="xl62"/>
    <w:basedOn w:val="1"/>
    <w:qFormat/>
    <w:uiPriority w:val="0"/>
    <w:pPr>
      <w:widowControl/>
      <w:pBdr>
        <w:top w:val="single" w:color="auto" w:sz="8" w:space="0"/>
        <w:left w:val="single" w:color="auto" w:sz="4" w:space="0"/>
      </w:pBdr>
      <w:spacing w:before="100" w:after="100"/>
      <w:jc w:val="center"/>
      <w:textAlignment w:val="top"/>
    </w:pPr>
    <w:rPr>
      <w:rFonts w:ascii="Batang" w:hAnsi="Batang" w:cs="Batang"/>
      <w:bCs/>
      <w:color w:val="000000"/>
      <w:kern w:val="0"/>
    </w:rPr>
  </w:style>
  <w:style w:type="paragraph" w:customStyle="1" w:styleId="1138">
    <w:name w:val="图标"/>
    <w:basedOn w:val="1"/>
    <w:next w:val="1"/>
    <w:qFormat/>
    <w:uiPriority w:val="0"/>
    <w:pPr>
      <w:spacing w:line="440" w:lineRule="exact"/>
      <w:ind w:firstLine="200"/>
      <w:jc w:val="center"/>
    </w:pPr>
    <w:rPr>
      <w:rFonts w:ascii="ˎ̥" w:hAnsi="ˎ̥" w:cs="ˎ̥"/>
      <w:bCs/>
      <w:color w:val="000000"/>
      <w:kern w:val="24"/>
    </w:rPr>
  </w:style>
  <w:style w:type="paragraph" w:customStyle="1" w:styleId="1139">
    <w:name w:val="分标题"/>
    <w:basedOn w:val="1"/>
    <w:next w:val="1"/>
    <w:qFormat/>
    <w:uiPriority w:val="0"/>
    <w:pPr>
      <w:widowControl/>
      <w:spacing w:before="60" w:after="60"/>
      <w:ind w:firstLine="200"/>
    </w:pPr>
    <w:rPr>
      <w:rFonts w:ascii="Sim Sun" w:hAnsi="Arial Unicode MS" w:cs="Vladimir Script"/>
      <w:b/>
      <w:bCs/>
      <w:color w:val="000000"/>
      <w:kern w:val="0"/>
    </w:rPr>
  </w:style>
  <w:style w:type="paragraph" w:customStyle="1" w:styleId="1140">
    <w:name w:val="样式 燕山正文 + 首行缩进:  2 字符"/>
    <w:basedOn w:val="1"/>
    <w:qFormat/>
    <w:uiPriority w:val="0"/>
    <w:pPr>
      <w:tabs>
        <w:tab w:val="left" w:pos="4680"/>
      </w:tabs>
      <w:adjustRightInd w:val="0"/>
      <w:snapToGrid w:val="0"/>
      <w:ind w:firstLine="480"/>
    </w:pPr>
    <w:rPr>
      <w:rFonts w:ascii="宋体" w:hAnsi="宋体" w:cs="宋体"/>
      <w:bCs/>
      <w:color w:val="000000"/>
      <w:kern w:val="24"/>
      <w:szCs w:val="20"/>
    </w:rPr>
  </w:style>
  <w:style w:type="paragraph" w:customStyle="1" w:styleId="1141">
    <w:name w:val="Char Char Char Char Char Char Char Char Char Char Char Char Char Char Char Char Char Char Char Char Char Char Char Char"/>
    <w:basedOn w:val="1"/>
    <w:qFormat/>
    <w:uiPriority w:val="0"/>
    <w:rPr>
      <w:rFonts w:ascii="Batang" w:hAnsi="Batang" w:cs="Batang"/>
      <w:bCs/>
      <w:color w:val="000000"/>
      <w:kern w:val="24"/>
    </w:rPr>
  </w:style>
  <w:style w:type="paragraph" w:customStyle="1" w:styleId="1142">
    <w:name w:val="表内字"/>
    <w:qFormat/>
    <w:uiPriority w:val="0"/>
    <w:pPr>
      <w:spacing w:line="312" w:lineRule="auto"/>
      <w:jc w:val="center"/>
    </w:pPr>
    <w:rPr>
      <w:rFonts w:ascii="Batang" w:hAnsi="Batang" w:eastAsia="宋体" w:cs="Batang"/>
      <w:bCs/>
      <w:color w:val="000000"/>
      <w:sz w:val="21"/>
      <w:szCs w:val="24"/>
      <w:lang w:val="en-US" w:eastAsia="zh-CN" w:bidi="ar-SA"/>
    </w:rPr>
  </w:style>
  <w:style w:type="paragraph" w:customStyle="1" w:styleId="1143">
    <w:name w:val="reader-word-layer reader-word-s3-1"/>
    <w:basedOn w:val="1"/>
    <w:qFormat/>
    <w:uiPriority w:val="0"/>
    <w:pPr>
      <w:widowControl/>
      <w:spacing w:before="100" w:beforeAutospacing="1" w:after="100" w:afterAutospacing="1"/>
    </w:pPr>
    <w:rPr>
      <w:rFonts w:ascii="宋体" w:hAnsi="宋体" w:cs="宋体"/>
      <w:bCs/>
      <w:color w:val="000000"/>
      <w:kern w:val="0"/>
    </w:rPr>
  </w:style>
  <w:style w:type="paragraph" w:customStyle="1" w:styleId="1144">
    <w:name w:val="设计文本"/>
    <w:basedOn w:val="1"/>
    <w:qFormat/>
    <w:uiPriority w:val="0"/>
    <w:pPr>
      <w:spacing w:line="560" w:lineRule="exact"/>
      <w:jc w:val="center"/>
    </w:pPr>
    <w:rPr>
      <w:rFonts w:ascii="Batang" w:hAnsi="Batang" w:cs="Batang"/>
      <w:bCs/>
      <w:color w:val="FF0000"/>
      <w:kern w:val="24"/>
      <w:szCs w:val="20"/>
    </w:rPr>
  </w:style>
  <w:style w:type="paragraph" w:customStyle="1" w:styleId="1145">
    <w:name w:val="Plain Text1"/>
    <w:basedOn w:val="1"/>
    <w:qFormat/>
    <w:uiPriority w:val="0"/>
    <w:pPr>
      <w:adjustRightInd w:val="0"/>
      <w:textAlignment w:val="baseline"/>
    </w:pPr>
    <w:rPr>
      <w:rFonts w:ascii="Sim Sun" w:hAnsi="DFKai-SB" w:cs="Batang"/>
      <w:bCs/>
      <w:color w:val="000000"/>
      <w:kern w:val="24"/>
      <w:szCs w:val="20"/>
    </w:rPr>
  </w:style>
  <w:style w:type="paragraph" w:customStyle="1" w:styleId="1146">
    <w:name w:val="表格，五宋"/>
    <w:qFormat/>
    <w:uiPriority w:val="0"/>
    <w:pPr>
      <w:keepNext/>
      <w:widowControl w:val="0"/>
      <w:adjustRightInd w:val="0"/>
      <w:spacing w:line="360" w:lineRule="exact"/>
      <w:jc w:val="both"/>
    </w:pPr>
    <w:rPr>
      <w:rFonts w:ascii="Batang" w:hAnsi="Batang" w:eastAsia="宋体" w:cs="Batang"/>
      <w:bCs/>
      <w:color w:val="000000"/>
      <w:sz w:val="21"/>
      <w:szCs w:val="24"/>
      <w:lang w:val="en-US" w:eastAsia="zh-CN" w:bidi="ar-SA"/>
    </w:rPr>
  </w:style>
  <w:style w:type="paragraph" w:customStyle="1" w:styleId="1147">
    <w:name w:val="样式 样式 首行缩进:  1.69 厘米 + (中文) 宋体"/>
    <w:basedOn w:val="1"/>
    <w:qFormat/>
    <w:uiPriority w:val="0"/>
    <w:pPr>
      <w:tabs>
        <w:tab w:val="left" w:pos="-180"/>
      </w:tabs>
      <w:adjustRightInd w:val="0"/>
      <w:spacing w:before="60" w:line="440" w:lineRule="exact"/>
      <w:ind w:firstLine="200"/>
      <w:textAlignment w:val="baseline"/>
    </w:pPr>
    <w:rPr>
      <w:rFonts w:ascii="Sim Sun" w:hAnsi="Arial Unicode MS" w:eastAsia="Garamond" w:cs="Vladimir Script"/>
      <w:bCs/>
      <w:color w:val="000000"/>
      <w:kern w:val="24"/>
      <w:szCs w:val="20"/>
    </w:rPr>
  </w:style>
  <w:style w:type="paragraph" w:customStyle="1" w:styleId="1148">
    <w:name w:val="unnamed1"/>
    <w:basedOn w:val="1"/>
    <w:qFormat/>
    <w:uiPriority w:val="0"/>
    <w:pPr>
      <w:widowControl/>
      <w:spacing w:before="100" w:beforeAutospacing="1" w:after="100" w:afterAutospacing="1" w:line="375" w:lineRule="atLeast"/>
    </w:pPr>
    <w:rPr>
      <w:rFonts w:ascii="Sim Sun" w:hAnsi="Sim Sun" w:cs="Batang"/>
      <w:bCs/>
      <w:color w:val="000000"/>
      <w:kern w:val="0"/>
    </w:rPr>
  </w:style>
  <w:style w:type="paragraph" w:customStyle="1" w:styleId="1149">
    <w:name w:val="表内"/>
    <w:basedOn w:val="1"/>
    <w:qFormat/>
    <w:uiPriority w:val="0"/>
    <w:pPr>
      <w:jc w:val="center"/>
    </w:pPr>
    <w:rPr>
      <w:rFonts w:ascii="ˎ̥" w:hAnsi="ˎ̥" w:eastAsia="FLGPEK+TimesNewRoman,Italic" w:cs="ˎ̥"/>
      <w:bCs/>
      <w:color w:val="000000"/>
      <w:kern w:val="24"/>
      <w:szCs w:val="20"/>
    </w:rPr>
  </w:style>
  <w:style w:type="paragraph" w:customStyle="1" w:styleId="1150">
    <w:name w:val="Char Char1 Char Char Char Char Char Char"/>
    <w:basedOn w:val="1"/>
    <w:qFormat/>
    <w:uiPriority w:val="0"/>
    <w:rPr>
      <w:rFonts w:ascii="Batang" w:hAnsi="Batang" w:cs="Batang"/>
      <w:bCs/>
      <w:color w:val="000000"/>
      <w:kern w:val="24"/>
    </w:rPr>
  </w:style>
  <w:style w:type="paragraph" w:customStyle="1" w:styleId="1151">
    <w:name w:val="2 Char Char Char Char Char Char Char"/>
    <w:basedOn w:val="1"/>
    <w:qFormat/>
    <w:uiPriority w:val="0"/>
    <w:rPr>
      <w:rFonts w:ascii="Batang" w:hAnsi="Batang" w:cs="Batang"/>
      <w:bCs/>
      <w:color w:val="000000"/>
      <w:kern w:val="24"/>
    </w:rPr>
  </w:style>
  <w:style w:type="paragraph" w:customStyle="1" w:styleId="1152">
    <w:name w:val="puce"/>
    <w:basedOn w:val="1"/>
    <w:qFormat/>
    <w:uiPriority w:val="0"/>
    <w:pPr>
      <w:widowControl/>
      <w:tabs>
        <w:tab w:val="left" w:pos="425"/>
        <w:tab w:val="left" w:pos="945"/>
        <w:tab w:val="left" w:pos="1200"/>
      </w:tabs>
      <w:adjustRightInd w:val="0"/>
      <w:snapToGrid w:val="0"/>
      <w:spacing w:line="336" w:lineRule="auto"/>
      <w:ind w:left="425" w:firstLine="480"/>
    </w:pPr>
    <w:rPr>
      <w:rFonts w:ascii="ˎ̥" w:hAnsi="ˎ̥" w:cs="Batang"/>
      <w:bCs/>
      <w:color w:val="000000"/>
      <w:kern w:val="0"/>
      <w:szCs w:val="20"/>
    </w:rPr>
  </w:style>
  <w:style w:type="paragraph" w:customStyle="1" w:styleId="1153">
    <w:name w:val="BG1"/>
    <w:basedOn w:val="1"/>
    <w:qFormat/>
    <w:uiPriority w:val="0"/>
    <w:pPr>
      <w:snapToGrid w:val="0"/>
      <w:jc w:val="center"/>
    </w:pPr>
    <w:rPr>
      <w:rFonts w:ascii="Batang" w:hAnsi="Batang" w:cs="Batang"/>
      <w:bCs/>
      <w:color w:val="000000"/>
      <w:kern w:val="24"/>
    </w:rPr>
  </w:style>
  <w:style w:type="paragraph" w:customStyle="1" w:styleId="1154">
    <w:name w:val="段落标题"/>
    <w:basedOn w:val="1"/>
    <w:qFormat/>
    <w:uiPriority w:val="0"/>
    <w:pPr>
      <w:tabs>
        <w:tab w:val="left" w:pos="425"/>
      </w:tabs>
      <w:adjustRightInd w:val="0"/>
      <w:spacing w:line="400" w:lineRule="exact"/>
      <w:textAlignment w:val="baseline"/>
    </w:pPr>
    <w:rPr>
      <w:rFonts w:ascii="Batang" w:hAnsi="Batang" w:cs="Batang"/>
      <w:b/>
      <w:bCs/>
      <w:color w:val="000000"/>
      <w:kern w:val="24"/>
      <w:sz w:val="28"/>
      <w:szCs w:val="20"/>
    </w:rPr>
  </w:style>
  <w:style w:type="paragraph" w:customStyle="1" w:styleId="1155">
    <w:name w:val="Char Char Char Char Char Char Char Char Char Char Char1 Char Char Char Char Char Char Char Char Char1"/>
    <w:basedOn w:val="1"/>
    <w:qFormat/>
    <w:uiPriority w:val="0"/>
    <w:rPr>
      <w:rFonts w:ascii="Batang" w:hAnsi="Batang" w:cs="Batang"/>
      <w:bCs/>
      <w:color w:val="000000"/>
      <w:kern w:val="24"/>
    </w:rPr>
  </w:style>
  <w:style w:type="paragraph" w:customStyle="1" w:styleId="1156">
    <w:name w:val="Char Char Char Char Char Char Char Char Char Char Char Char Char Char Char Char Char Char"/>
    <w:basedOn w:val="1"/>
    <w:qFormat/>
    <w:uiPriority w:val="0"/>
    <w:rPr>
      <w:rFonts w:ascii="Batang" w:hAnsi="Batang" w:cs="Batang"/>
      <w:bCs/>
      <w:color w:val="000000"/>
      <w:kern w:val="24"/>
    </w:rPr>
  </w:style>
  <w:style w:type="paragraph" w:customStyle="1" w:styleId="1157">
    <w:name w:val="样式 标题 4标题 4 Char标题 4（修改） + 段前: 0.5 行 段后: 0.2 行 行距: 多倍行距 1.2 ..."/>
    <w:basedOn w:val="3"/>
    <w:qFormat/>
    <w:uiPriority w:val="0"/>
    <w:pPr>
      <w:tabs>
        <w:tab w:val="left" w:pos="864"/>
      </w:tabs>
      <w:spacing w:beforeLines="50" w:afterLines="20" w:line="288" w:lineRule="auto"/>
      <w:ind w:left="864" w:hanging="864"/>
    </w:pPr>
    <w:rPr>
      <w:rFonts w:ascii="Arial Unicode MS" w:hAnsi="Arial Unicode MS" w:eastAsia="Garamond" w:cs="Vladimir Script"/>
      <w:b w:val="0"/>
      <w:color w:val="000000"/>
      <w:kern w:val="24"/>
      <w:sz w:val="24"/>
      <w:szCs w:val="20"/>
    </w:rPr>
  </w:style>
  <w:style w:type="paragraph" w:customStyle="1" w:styleId="1158">
    <w:name w:val="基准脚注"/>
    <w:basedOn w:val="1"/>
    <w:qFormat/>
    <w:uiPriority w:val="0"/>
    <w:pPr>
      <w:widowControl/>
    </w:pPr>
    <w:rPr>
      <w:rFonts w:ascii="幼圆" w:hAnsi="幼圆" w:cs="Batang"/>
      <w:bCs/>
      <w:color w:val="000000"/>
      <w:kern w:val="0"/>
      <w:szCs w:val="20"/>
    </w:rPr>
  </w:style>
  <w:style w:type="paragraph" w:customStyle="1" w:styleId="1159">
    <w:name w:val="样式 标题 4标4 + (符号) 宋体"/>
    <w:basedOn w:val="3"/>
    <w:qFormat/>
    <w:uiPriority w:val="0"/>
    <w:pPr>
      <w:tabs>
        <w:tab w:val="left" w:pos="360"/>
      </w:tabs>
      <w:spacing w:line="336" w:lineRule="auto"/>
      <w:ind w:left="245" w:hanging="245"/>
    </w:pPr>
    <w:rPr>
      <w:rFonts w:ascii="Sim Sun" w:hAnsi="Arial Unicode MS" w:eastAsia="宋体" w:cs="Vladimir Script"/>
      <w:b w:val="0"/>
      <w:bCs w:val="0"/>
      <w:color w:val="000000"/>
      <w:kern w:val="0"/>
      <w:sz w:val="24"/>
      <w:szCs w:val="20"/>
    </w:rPr>
  </w:style>
  <w:style w:type="paragraph" w:customStyle="1" w:styleId="1160">
    <w:name w:val="Text tab"/>
    <w:basedOn w:val="1"/>
    <w:qFormat/>
    <w:uiPriority w:val="0"/>
    <w:pPr>
      <w:widowControl/>
      <w:overflowPunct w:val="0"/>
      <w:autoSpaceDE w:val="0"/>
      <w:autoSpaceDN w:val="0"/>
      <w:adjustRightInd w:val="0"/>
      <w:spacing w:before="60" w:after="60"/>
      <w:textAlignment w:val="baseline"/>
    </w:pPr>
    <w:rPr>
      <w:rFonts w:ascii="ˎ̥" w:hAnsi="ˎ̥" w:cs="Batang"/>
      <w:bCs/>
      <w:color w:val="000000"/>
      <w:kern w:val="0"/>
      <w:sz w:val="22"/>
      <w:szCs w:val="20"/>
      <w:lang w:val="en-GB"/>
    </w:rPr>
  </w:style>
  <w:style w:type="paragraph" w:customStyle="1" w:styleId="1161">
    <w:name w:val="xl43"/>
    <w:basedOn w:val="1"/>
    <w:qFormat/>
    <w:uiPriority w:val="0"/>
    <w:pPr>
      <w:widowControl/>
      <w:pBdr>
        <w:top w:val="single" w:color="auto" w:sz="4" w:space="0"/>
        <w:left w:val="single" w:color="auto" w:sz="4" w:space="0"/>
      </w:pBdr>
      <w:spacing w:before="100" w:beforeAutospacing="1" w:after="100" w:afterAutospacing="1"/>
      <w:jc w:val="center"/>
    </w:pPr>
    <w:rPr>
      <w:rFonts w:ascii="Verdana" w:hAnsi="Verdana" w:eastAsia="黑体" w:cs="黑体"/>
      <w:b/>
      <w:color w:val="000000"/>
      <w:kern w:val="0"/>
      <w:sz w:val="18"/>
      <w:szCs w:val="18"/>
    </w:rPr>
  </w:style>
  <w:style w:type="paragraph" w:customStyle="1" w:styleId="1162">
    <w:name w:val="xl74"/>
    <w:basedOn w:val="1"/>
    <w:qFormat/>
    <w:uiPriority w:val="0"/>
    <w:pPr>
      <w:widowControl/>
      <w:pBdr>
        <w:top w:val="single" w:color="auto" w:sz="8" w:space="0"/>
        <w:right w:val="single" w:color="auto" w:sz="8" w:space="0"/>
      </w:pBdr>
      <w:spacing w:before="100" w:after="100"/>
      <w:jc w:val="center"/>
      <w:textAlignment w:val="center"/>
    </w:pPr>
    <w:rPr>
      <w:rFonts w:ascii="Batang" w:hAnsi="Batang" w:cs="Batang"/>
      <w:bCs/>
      <w:color w:val="000000"/>
      <w:kern w:val="0"/>
    </w:rPr>
  </w:style>
  <w:style w:type="paragraph" w:customStyle="1" w:styleId="1163">
    <w:name w:val="xl44"/>
    <w:basedOn w:val="1"/>
    <w:qFormat/>
    <w:uiPriority w:val="0"/>
    <w:pPr>
      <w:widowControl/>
      <w:pBdr>
        <w:top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4">
    <w:name w:val="xl45"/>
    <w:basedOn w:val="1"/>
    <w:qFormat/>
    <w:uiPriority w:val="0"/>
    <w:pPr>
      <w:widowControl/>
      <w:pBdr>
        <w:left w:val="single" w:color="auto" w:sz="4" w:space="0"/>
        <w:bottom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5">
    <w:name w:val="xl46"/>
    <w:basedOn w:val="1"/>
    <w:qFormat/>
    <w:uiPriority w:val="0"/>
    <w:pPr>
      <w:widowControl/>
      <w:pBdr>
        <w:bottom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6">
    <w:name w:val="样式 小四 Char"/>
    <w:basedOn w:val="1"/>
    <w:qFormat/>
    <w:uiPriority w:val="0"/>
    <w:pPr>
      <w:adjustRightInd w:val="0"/>
      <w:spacing w:line="480" w:lineRule="atLeast"/>
      <w:ind w:firstLine="510"/>
      <w:textAlignment w:val="baseline"/>
    </w:pPr>
    <w:rPr>
      <w:bCs/>
      <w:color w:val="000000"/>
      <w:kern w:val="0"/>
      <w:szCs w:val="21"/>
    </w:rPr>
  </w:style>
  <w:style w:type="paragraph" w:customStyle="1" w:styleId="1167">
    <w:name w:val="Char2"/>
    <w:basedOn w:val="1"/>
    <w:qFormat/>
    <w:uiPriority w:val="0"/>
    <w:rPr>
      <w:rFonts w:ascii="Sim Sun" w:hAnsi="Sim Sun" w:cs="DFKai-SB"/>
      <w:bCs/>
      <w:color w:val="000000"/>
      <w:kern w:val="24"/>
      <w:sz w:val="32"/>
      <w:szCs w:val="32"/>
    </w:rPr>
  </w:style>
  <w:style w:type="paragraph" w:customStyle="1" w:styleId="1168">
    <w:name w:val="xl4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1169">
    <w:name w:val="样式 样式 表格1 + 首行缩进:  2 字符 + 首行缩进:  2 字符"/>
    <w:basedOn w:val="1"/>
    <w:qFormat/>
    <w:uiPriority w:val="0"/>
    <w:pPr>
      <w:spacing w:line="400" w:lineRule="exact"/>
      <w:ind w:firstLine="200"/>
    </w:pPr>
    <w:rPr>
      <w:rFonts w:ascii="Arial Unicode MS" w:hAnsi="Arial Unicode MS" w:cs="Sim Sun"/>
      <w:bCs/>
      <w:color w:val="000000"/>
      <w:kern w:val="24"/>
      <w:szCs w:val="20"/>
    </w:rPr>
  </w:style>
  <w:style w:type="paragraph" w:customStyle="1" w:styleId="1170">
    <w:name w:val="索引 51"/>
    <w:basedOn w:val="1"/>
    <w:next w:val="1"/>
    <w:qFormat/>
    <w:uiPriority w:val="0"/>
    <w:pPr>
      <w:spacing w:line="440" w:lineRule="exact"/>
      <w:ind w:left="1250" w:hanging="250"/>
    </w:pPr>
    <w:rPr>
      <w:rFonts w:ascii="ˎ̥" w:hAnsi="ˎ̥" w:eastAsia="仿宋体" w:cs="ˎ̥"/>
      <w:bCs/>
      <w:color w:val="000000"/>
      <w:spacing w:val="5"/>
      <w:kern w:val="24"/>
      <w:sz w:val="20"/>
      <w:szCs w:val="20"/>
    </w:rPr>
  </w:style>
  <w:style w:type="paragraph" w:customStyle="1" w:styleId="1171">
    <w:name w:val="xl5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黑体" w:cs="ˎ̥"/>
      <w:bCs/>
      <w:color w:val="000000"/>
      <w:kern w:val="0"/>
      <w:sz w:val="18"/>
      <w:szCs w:val="18"/>
    </w:rPr>
  </w:style>
  <w:style w:type="paragraph" w:customStyle="1" w:styleId="1172">
    <w:name w:val="Char Char Char Char Char Char Char Char Char Char Char Char Char Char Char Char1"/>
    <w:basedOn w:val="6"/>
    <w:qFormat/>
    <w:uiPriority w:val="0"/>
    <w:pPr>
      <w:tabs>
        <w:tab w:val="left" w:pos="360"/>
        <w:tab w:val="left" w:pos="900"/>
      </w:tabs>
      <w:snapToGrid w:val="0"/>
      <w:spacing w:before="120" w:after="120" w:line="360" w:lineRule="auto"/>
      <w:ind w:left="542" w:leftChars="-12" w:firstLine="200"/>
    </w:pPr>
    <w:rPr>
      <w:rFonts w:ascii="ˎ̥" w:hAnsi="ˎ̥" w:eastAsia="Garamond" w:cs="ˎ̥"/>
      <w:b w:val="0"/>
      <w:bCs w:val="0"/>
      <w:snapToGrid w:val="0"/>
      <w:color w:val="000000"/>
      <w:kern w:val="24"/>
      <w:sz w:val="30"/>
      <w:szCs w:val="24"/>
    </w:rPr>
  </w:style>
  <w:style w:type="paragraph" w:customStyle="1" w:styleId="1173">
    <w:name w:val="Char Char9 Char Char Char Char Char Char Char Char Char1 Char Char Char Char Char Char Char"/>
    <w:basedOn w:val="6"/>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1174">
    <w:name w:val="xl5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1175">
    <w:name w:val="副标题4"/>
    <w:basedOn w:val="704"/>
    <w:qFormat/>
    <w:uiPriority w:val="0"/>
    <w:pPr>
      <w:tabs>
        <w:tab w:val="left" w:pos="1275"/>
        <w:tab w:val="left" w:pos="2100"/>
        <w:tab w:val="left" w:pos="2580"/>
      </w:tabs>
      <w:ind w:left="1275" w:hanging="705"/>
      <w:outlineLvl w:val="4"/>
    </w:pPr>
  </w:style>
  <w:style w:type="paragraph" w:customStyle="1" w:styleId="1176">
    <w:name w:val="font0"/>
    <w:basedOn w:val="1"/>
    <w:qFormat/>
    <w:uiPriority w:val="0"/>
    <w:pPr>
      <w:widowControl/>
      <w:spacing w:before="100" w:beforeAutospacing="1" w:after="100" w:afterAutospacing="1"/>
    </w:pPr>
    <w:rPr>
      <w:rFonts w:hint="eastAsia" w:ascii="Sim Sun" w:hAnsi="Sim Sun" w:cs="Batang"/>
      <w:bCs/>
      <w:color w:val="000000"/>
      <w:kern w:val="0"/>
    </w:rPr>
  </w:style>
  <w:style w:type="paragraph" w:customStyle="1" w:styleId="1177">
    <w:name w:val="font1"/>
    <w:basedOn w:val="1"/>
    <w:qFormat/>
    <w:uiPriority w:val="0"/>
    <w:pPr>
      <w:widowControl/>
      <w:spacing w:before="100" w:beforeAutospacing="1" w:after="100" w:afterAutospacing="1"/>
    </w:pPr>
    <w:rPr>
      <w:rFonts w:ascii="ˎ̥" w:hAnsi="ˎ̥" w:eastAsia="黑体" w:cs="ˎ̥"/>
      <w:b/>
      <w:color w:val="000000"/>
      <w:kern w:val="0"/>
      <w:sz w:val="20"/>
      <w:szCs w:val="20"/>
    </w:rPr>
  </w:style>
  <w:style w:type="paragraph" w:customStyle="1" w:styleId="1178">
    <w:name w:val="Char1 Char Char"/>
    <w:basedOn w:val="1"/>
    <w:qFormat/>
    <w:uiPriority w:val="0"/>
    <w:rPr>
      <w:rFonts w:ascii="Batang" w:hAnsi="Batang" w:cs="Batang"/>
      <w:bCs/>
      <w:color w:val="000000"/>
      <w:kern w:val="24"/>
    </w:rPr>
  </w:style>
  <w:style w:type="paragraph" w:customStyle="1" w:styleId="1179">
    <w:name w:val="z表格"/>
    <w:basedOn w:val="1"/>
    <w:qFormat/>
    <w:uiPriority w:val="0"/>
    <w:pPr>
      <w:widowControl/>
      <w:spacing w:line="360" w:lineRule="exact"/>
      <w:jc w:val="center"/>
    </w:pPr>
    <w:rPr>
      <w:bCs/>
      <w:color w:val="000000"/>
      <w:kern w:val="24"/>
      <w:szCs w:val="21"/>
    </w:rPr>
  </w:style>
  <w:style w:type="paragraph" w:customStyle="1" w:styleId="1180">
    <w:name w:val="正文段落"/>
    <w:basedOn w:val="1"/>
    <w:qFormat/>
    <w:uiPriority w:val="0"/>
    <w:pPr>
      <w:autoSpaceDE w:val="0"/>
      <w:autoSpaceDN w:val="0"/>
      <w:adjustRightInd w:val="0"/>
      <w:spacing w:line="500" w:lineRule="atLeast"/>
      <w:ind w:firstLine="567"/>
      <w:textAlignment w:val="baseline"/>
    </w:pPr>
    <w:rPr>
      <w:rFonts w:ascii="ˎ̥" w:hAnsi="ˎ̥" w:cs="Batang"/>
      <w:bCs/>
      <w:color w:val="000000"/>
      <w:w w:val="90"/>
      <w:kern w:val="28"/>
      <w:sz w:val="28"/>
      <w:szCs w:val="20"/>
    </w:rPr>
  </w:style>
  <w:style w:type="paragraph" w:customStyle="1" w:styleId="1181">
    <w:name w:val="Char Char Char Char Char Char Char Char Char Char Char1 Char Char Char Char Char Char Char"/>
    <w:basedOn w:val="1"/>
    <w:qFormat/>
    <w:uiPriority w:val="0"/>
    <w:rPr>
      <w:rFonts w:ascii="Batang" w:hAnsi="Batang" w:cs="Batang"/>
      <w:bCs/>
      <w:color w:val="000000"/>
      <w:kern w:val="24"/>
    </w:rPr>
  </w:style>
  <w:style w:type="paragraph" w:customStyle="1" w:styleId="1182">
    <w:name w:val="xl53"/>
    <w:basedOn w:val="1"/>
    <w:qFormat/>
    <w:uiPriority w:val="0"/>
    <w:pPr>
      <w:widowControl/>
      <w:pBdr>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3">
    <w:name w:val="xl56"/>
    <w:basedOn w:val="1"/>
    <w:qFormat/>
    <w:uiPriority w:val="0"/>
    <w:pPr>
      <w:widowControl/>
      <w:pBdr>
        <w:top w:val="single" w:color="auto" w:sz="8" w:space="0"/>
        <w:left w:val="single" w:color="auto" w:sz="4"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4">
    <w:name w:val="xl58"/>
    <w:basedOn w:val="1"/>
    <w:qFormat/>
    <w:uiPriority w:val="0"/>
    <w:pPr>
      <w:widowControl/>
      <w:pBdr>
        <w:top w:val="single" w:color="auto" w:sz="8" w:space="0"/>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1185">
    <w:name w:val="xl59"/>
    <w:basedOn w:val="1"/>
    <w:qFormat/>
    <w:uiPriority w:val="0"/>
    <w:pPr>
      <w:widowControl/>
      <w:pBdr>
        <w:top w:val="single" w:color="auto" w:sz="8" w:space="0"/>
        <w:left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86">
    <w:name w:val="xl61"/>
    <w:basedOn w:val="1"/>
    <w:qFormat/>
    <w:uiPriority w:val="0"/>
    <w:pPr>
      <w:widowControl/>
      <w:pBdr>
        <w:left w:val="single" w:color="auto" w:sz="8" w:space="0"/>
        <w:bottom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87">
    <w:name w:val="xl63"/>
    <w:basedOn w:val="1"/>
    <w:qFormat/>
    <w:uiPriority w:val="0"/>
    <w:pPr>
      <w:widowControl/>
      <w:pBdr>
        <w:top w:val="single" w:color="auto" w:sz="8" w:space="0"/>
      </w:pBdr>
      <w:spacing w:before="100" w:after="100"/>
      <w:jc w:val="center"/>
      <w:textAlignment w:val="top"/>
    </w:pPr>
    <w:rPr>
      <w:rFonts w:ascii="Batang" w:hAnsi="Batang" w:cs="Batang"/>
      <w:bCs/>
      <w:color w:val="000000"/>
      <w:kern w:val="0"/>
    </w:rPr>
  </w:style>
  <w:style w:type="paragraph" w:customStyle="1" w:styleId="1188">
    <w:name w:val="xl64"/>
    <w:basedOn w:val="1"/>
    <w:qFormat/>
    <w:uiPriority w:val="0"/>
    <w:pPr>
      <w:widowControl/>
      <w:pBdr>
        <w:top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89">
    <w:name w:val="xl65"/>
    <w:basedOn w:val="1"/>
    <w:qFormat/>
    <w:uiPriority w:val="0"/>
    <w:pPr>
      <w:widowControl/>
      <w:pBdr>
        <w:left w:val="single" w:color="auto" w:sz="4" w:space="0"/>
      </w:pBdr>
      <w:spacing w:before="100" w:after="100"/>
      <w:jc w:val="center"/>
      <w:textAlignment w:val="top"/>
    </w:pPr>
    <w:rPr>
      <w:rFonts w:ascii="Batang" w:hAnsi="Batang" w:cs="Batang"/>
      <w:bCs/>
      <w:color w:val="000000"/>
      <w:kern w:val="0"/>
    </w:rPr>
  </w:style>
  <w:style w:type="paragraph" w:customStyle="1" w:styleId="1190">
    <w:name w:val="xl67"/>
    <w:basedOn w:val="1"/>
    <w:qFormat/>
    <w:uiPriority w:val="0"/>
    <w:pPr>
      <w:widowControl/>
      <w:pBdr>
        <w:right w:val="single" w:color="auto" w:sz="4" w:space="0"/>
      </w:pBdr>
      <w:spacing w:before="100" w:after="100"/>
      <w:jc w:val="center"/>
      <w:textAlignment w:val="top"/>
    </w:pPr>
    <w:rPr>
      <w:rFonts w:ascii="Batang" w:hAnsi="Batang" w:cs="Batang"/>
      <w:bCs/>
      <w:color w:val="000000"/>
      <w:kern w:val="0"/>
    </w:rPr>
  </w:style>
  <w:style w:type="paragraph" w:customStyle="1" w:styleId="1191">
    <w:name w:val="样式 正文文本正文文字 + 四号 红色 首行缩进:  2 字符"/>
    <w:basedOn w:val="28"/>
    <w:qFormat/>
    <w:uiPriority w:val="0"/>
    <w:pPr>
      <w:widowControl w:val="0"/>
      <w:adjustRightInd w:val="0"/>
      <w:spacing w:after="60" w:line="264" w:lineRule="auto"/>
      <w:ind w:right="0" w:firstLine="560"/>
      <w:textAlignment w:val="baseline"/>
    </w:pPr>
    <w:rPr>
      <w:rFonts w:ascii="Arial Unicode MS" w:hAnsi="Arial Unicode MS" w:eastAsia="Garamond" w:cs="Vladimir Script"/>
      <w:bCs/>
      <w:snapToGrid w:val="0"/>
      <w:color w:val="FF0000"/>
      <w:sz w:val="24"/>
    </w:rPr>
  </w:style>
  <w:style w:type="paragraph" w:customStyle="1" w:styleId="1192">
    <w:name w:val="xl69"/>
    <w:basedOn w:val="1"/>
    <w:qFormat/>
    <w:uiPriority w:val="0"/>
    <w:pPr>
      <w:widowControl/>
      <w:pBdr>
        <w:bottom w:val="single" w:color="auto" w:sz="8" w:space="0"/>
      </w:pBdr>
      <w:spacing w:before="100" w:after="100"/>
      <w:jc w:val="center"/>
      <w:textAlignment w:val="top"/>
    </w:pPr>
    <w:rPr>
      <w:rFonts w:ascii="Batang" w:hAnsi="Batang" w:cs="Batang"/>
      <w:bCs/>
      <w:color w:val="000000"/>
      <w:kern w:val="0"/>
    </w:rPr>
  </w:style>
  <w:style w:type="paragraph" w:customStyle="1" w:styleId="1193">
    <w:name w:val="xl70"/>
    <w:basedOn w:val="1"/>
    <w:qFormat/>
    <w:uiPriority w:val="0"/>
    <w:pPr>
      <w:widowControl/>
      <w:pBdr>
        <w:bottom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94">
    <w:name w:val="xl72"/>
    <w:basedOn w:val="1"/>
    <w:qFormat/>
    <w:uiPriority w:val="0"/>
    <w:pPr>
      <w:widowControl/>
      <w:pBdr>
        <w:top w:val="single" w:color="auto" w:sz="8" w:space="0"/>
        <w:left w:val="single" w:color="auto" w:sz="4" w:space="0"/>
      </w:pBdr>
      <w:spacing w:before="100" w:after="100"/>
      <w:jc w:val="center"/>
      <w:textAlignment w:val="center"/>
    </w:pPr>
    <w:rPr>
      <w:rFonts w:ascii="Sim Sun" w:hAnsi="Sim Sun" w:cs="Batang"/>
      <w:bCs/>
      <w:color w:val="000000"/>
      <w:kern w:val="0"/>
    </w:rPr>
  </w:style>
  <w:style w:type="paragraph" w:customStyle="1" w:styleId="1195">
    <w:name w:val="xl73"/>
    <w:basedOn w:val="1"/>
    <w:qFormat/>
    <w:uiPriority w:val="0"/>
    <w:pPr>
      <w:widowControl/>
      <w:pBdr>
        <w:top w:val="single" w:color="auto" w:sz="8" w:space="0"/>
      </w:pBdr>
      <w:spacing w:before="100" w:after="100"/>
      <w:jc w:val="center"/>
      <w:textAlignment w:val="center"/>
    </w:pPr>
    <w:rPr>
      <w:rFonts w:ascii="Batang" w:hAnsi="Batang" w:cs="Batang"/>
      <w:bCs/>
      <w:color w:val="000000"/>
      <w:kern w:val="0"/>
    </w:rPr>
  </w:style>
  <w:style w:type="paragraph" w:customStyle="1" w:styleId="1196">
    <w:name w:val="xl75"/>
    <w:basedOn w:val="1"/>
    <w:qFormat/>
    <w:uiPriority w:val="0"/>
    <w:pPr>
      <w:widowControl/>
      <w:pBdr>
        <w:left w:val="single" w:color="auto" w:sz="4" w:space="0"/>
      </w:pBdr>
      <w:spacing w:before="100" w:after="100"/>
      <w:jc w:val="center"/>
      <w:textAlignment w:val="center"/>
    </w:pPr>
    <w:rPr>
      <w:rFonts w:ascii="Batang" w:hAnsi="Batang" w:cs="Batang"/>
      <w:bCs/>
      <w:color w:val="000000"/>
      <w:kern w:val="0"/>
    </w:rPr>
  </w:style>
  <w:style w:type="paragraph" w:customStyle="1" w:styleId="1197">
    <w:name w:val="xl77"/>
    <w:basedOn w:val="1"/>
    <w:qFormat/>
    <w:uiPriority w:val="0"/>
    <w:pPr>
      <w:widowControl/>
      <w:pBdr>
        <w:right w:val="single" w:color="auto" w:sz="8" w:space="0"/>
      </w:pBdr>
      <w:spacing w:before="100" w:after="100"/>
      <w:jc w:val="center"/>
      <w:textAlignment w:val="center"/>
    </w:pPr>
    <w:rPr>
      <w:rFonts w:ascii="Batang" w:hAnsi="Batang" w:cs="Batang"/>
      <w:bCs/>
      <w:color w:val="000000"/>
      <w:kern w:val="0"/>
    </w:rPr>
  </w:style>
  <w:style w:type="paragraph" w:customStyle="1" w:styleId="1198">
    <w:name w:val="xl79"/>
    <w:basedOn w:val="1"/>
    <w:qFormat/>
    <w:uiPriority w:val="0"/>
    <w:pPr>
      <w:widowControl/>
      <w:pBdr>
        <w:bottom w:val="single" w:color="auto" w:sz="8" w:space="0"/>
      </w:pBdr>
      <w:spacing w:before="100" w:after="100"/>
      <w:jc w:val="center"/>
      <w:textAlignment w:val="center"/>
    </w:pPr>
    <w:rPr>
      <w:rFonts w:ascii="Batang" w:hAnsi="Batang" w:cs="Batang"/>
      <w:bCs/>
      <w:color w:val="000000"/>
      <w:kern w:val="0"/>
    </w:rPr>
  </w:style>
  <w:style w:type="paragraph" w:customStyle="1" w:styleId="1199">
    <w:name w:val="日期11"/>
    <w:basedOn w:val="1"/>
    <w:next w:val="1"/>
    <w:qFormat/>
    <w:uiPriority w:val="0"/>
    <w:pPr>
      <w:adjustRightInd w:val="0"/>
      <w:snapToGrid w:val="0"/>
      <w:spacing w:line="440" w:lineRule="exact"/>
      <w:ind w:firstLine="200"/>
      <w:textAlignment w:val="baseline"/>
    </w:pPr>
    <w:rPr>
      <w:rFonts w:ascii="Arial Unicode MS" w:hAnsi="Arial Unicode MS" w:cs="Vladimir Script"/>
      <w:bCs/>
      <w:color w:val="000000"/>
      <w:kern w:val="24"/>
      <w:szCs w:val="20"/>
    </w:rPr>
  </w:style>
  <w:style w:type="paragraph" w:customStyle="1" w:styleId="1200">
    <w:name w:val="xl81"/>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Sim Sun" w:hAnsi="Sim Sun" w:cs="Batang"/>
      <w:bCs/>
      <w:color w:val="000000"/>
      <w:kern w:val="0"/>
    </w:rPr>
  </w:style>
  <w:style w:type="paragraph" w:customStyle="1" w:styleId="1201">
    <w:name w:val="xl82"/>
    <w:basedOn w:val="1"/>
    <w:qFormat/>
    <w:uiPriority w:val="0"/>
    <w:pPr>
      <w:widowControl/>
      <w:pBdr>
        <w:left w:val="single" w:color="auto" w:sz="4" w:space="0"/>
        <w:right w:val="single" w:color="auto" w:sz="4" w:space="0"/>
      </w:pBdr>
      <w:spacing w:before="100" w:after="100"/>
      <w:jc w:val="center"/>
      <w:textAlignment w:val="center"/>
    </w:pPr>
    <w:rPr>
      <w:rFonts w:ascii="Batang" w:hAnsi="Batang" w:cs="Batang"/>
      <w:bCs/>
      <w:color w:val="000000"/>
      <w:kern w:val="0"/>
    </w:rPr>
  </w:style>
  <w:style w:type="paragraph" w:customStyle="1" w:styleId="1202">
    <w:name w:val="xl83"/>
    <w:basedOn w:val="1"/>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Batang" w:hAnsi="Batang" w:cs="Batang"/>
      <w:bCs/>
      <w:color w:val="000000"/>
      <w:kern w:val="0"/>
    </w:rPr>
  </w:style>
  <w:style w:type="paragraph" w:customStyle="1" w:styleId="1203">
    <w:name w:val="xl84"/>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rPr>
  </w:style>
  <w:style w:type="paragraph" w:customStyle="1" w:styleId="1204">
    <w:name w:val="Header Base"/>
    <w:basedOn w:val="1"/>
    <w:qFormat/>
    <w:uiPriority w:val="0"/>
    <w:pPr>
      <w:widowControl/>
      <w:spacing w:line="440" w:lineRule="exact"/>
      <w:ind w:right="-360" w:firstLine="200"/>
    </w:pPr>
    <w:rPr>
      <w:rFonts w:ascii="Arial Unicode MS" w:hAnsi="Arial Unicode MS" w:cs="Vladimir Script"/>
      <w:bCs/>
      <w:color w:val="000000"/>
      <w:kern w:val="0"/>
      <w:sz w:val="20"/>
      <w:szCs w:val="20"/>
    </w:rPr>
  </w:style>
  <w:style w:type="paragraph" w:customStyle="1" w:styleId="1205">
    <w:name w:val="样式1 + 四号 居中"/>
    <w:basedOn w:val="1"/>
    <w:qFormat/>
    <w:uiPriority w:val="0"/>
    <w:pPr>
      <w:spacing w:line="336" w:lineRule="auto"/>
      <w:jc w:val="center"/>
    </w:pPr>
    <w:rPr>
      <w:rFonts w:ascii="Batang" w:hAnsi="Batang" w:cs="Batang"/>
      <w:bCs/>
      <w:color w:val="000000"/>
      <w:kern w:val="24"/>
      <w:sz w:val="28"/>
      <w:szCs w:val="20"/>
    </w:rPr>
  </w:style>
  <w:style w:type="paragraph" w:customStyle="1" w:styleId="1206">
    <w:name w:val="样式 首行缩进:  2 字符8"/>
    <w:basedOn w:val="1"/>
    <w:qFormat/>
    <w:uiPriority w:val="0"/>
    <w:pPr>
      <w:spacing w:line="520" w:lineRule="exact"/>
      <w:ind w:firstLine="560"/>
    </w:pPr>
    <w:rPr>
      <w:rFonts w:cs="宋体"/>
      <w:bCs/>
      <w:color w:val="000000"/>
      <w:kern w:val="24"/>
      <w:szCs w:val="20"/>
    </w:rPr>
  </w:style>
  <w:style w:type="paragraph" w:customStyle="1" w:styleId="1207">
    <w:name w:val="2 Char"/>
    <w:basedOn w:val="1"/>
    <w:qFormat/>
    <w:uiPriority w:val="0"/>
    <w:rPr>
      <w:rFonts w:ascii="Batang" w:hAnsi="Batang" w:cs="Batang"/>
      <w:bCs/>
      <w:color w:val="000000"/>
      <w:kern w:val="24"/>
    </w:rPr>
  </w:style>
  <w:style w:type="paragraph" w:customStyle="1" w:styleId="1208">
    <w:name w:val="Char Char Char Char Char"/>
    <w:basedOn w:val="1"/>
    <w:qFormat/>
    <w:uiPriority w:val="0"/>
    <w:rPr>
      <w:rFonts w:ascii="Batang" w:hAnsi="Batang" w:cs="Batang"/>
      <w:bCs/>
      <w:color w:val="000000"/>
      <w:kern w:val="24"/>
    </w:rPr>
  </w:style>
  <w:style w:type="paragraph" w:customStyle="1" w:styleId="1209">
    <w:name w:val="Char Char Char Char Char Char Char Char Char Char Char1 Char Char Char Char Char Char Char Char Char"/>
    <w:basedOn w:val="1"/>
    <w:qFormat/>
    <w:uiPriority w:val="0"/>
    <w:rPr>
      <w:rFonts w:ascii="Batang" w:hAnsi="Batang" w:cs="Batang"/>
      <w:bCs/>
      <w:color w:val="000000"/>
      <w:kern w:val="24"/>
    </w:rPr>
  </w:style>
  <w:style w:type="paragraph" w:customStyle="1" w:styleId="1210">
    <w:name w:val="Char Char Char Char Char Char Char Char Char Char Char Char Char Char Char Char Char"/>
    <w:basedOn w:val="1"/>
    <w:qFormat/>
    <w:uiPriority w:val="0"/>
    <w:rPr>
      <w:rFonts w:ascii="Batang" w:hAnsi="Batang" w:cs="Batang"/>
      <w:bCs/>
      <w:color w:val="000000"/>
      <w:kern w:val="24"/>
    </w:rPr>
  </w:style>
  <w:style w:type="paragraph" w:customStyle="1" w:styleId="1211">
    <w:name w:val="基准标题"/>
    <w:basedOn w:val="28"/>
    <w:next w:val="28"/>
    <w:qFormat/>
    <w:uiPriority w:val="0"/>
    <w:pPr>
      <w:widowControl w:val="0"/>
      <w:spacing w:beforeLines="30" w:afterLines="30" w:line="240" w:lineRule="auto"/>
      <w:ind w:right="0"/>
      <w:jc w:val="center"/>
    </w:pPr>
    <w:rPr>
      <w:rFonts w:ascii="Sim Sun" w:hAnsi="Batang" w:cs="Batang"/>
      <w:bCs/>
      <w:color w:val="000000"/>
      <w:kern w:val="24"/>
      <w:sz w:val="21"/>
    </w:rPr>
  </w:style>
  <w:style w:type="paragraph" w:customStyle="1" w:styleId="1212">
    <w:name w:val="Char1 Char Char Char Char Char Char Char Char Char Char Char Char"/>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213">
    <w:name w:val="p7"/>
    <w:basedOn w:val="1"/>
    <w:qFormat/>
    <w:uiPriority w:val="0"/>
    <w:pPr>
      <w:widowControl/>
      <w:tabs>
        <w:tab w:val="left" w:pos="720"/>
      </w:tabs>
      <w:spacing w:line="240" w:lineRule="atLeast"/>
      <w:ind w:left="1480" w:hanging="740"/>
    </w:pPr>
    <w:rPr>
      <w:rFonts w:ascii="Arial" w:hAnsi="Arial" w:eastAsia="Arial Narrow" w:cs="Arial"/>
      <w:bCs/>
      <w:color w:val="000000"/>
      <w:kern w:val="0"/>
      <w:szCs w:val="20"/>
      <w:lang w:eastAsia="en-US"/>
    </w:rPr>
  </w:style>
  <w:style w:type="paragraph" w:customStyle="1" w:styleId="1214">
    <w:name w:val="样式 仿宋_GB2312 四号 行距: 1.5 倍行距 首行缩进:  2 字符"/>
    <w:basedOn w:val="1"/>
    <w:qFormat/>
    <w:uiPriority w:val="0"/>
    <w:pPr>
      <w:ind w:firstLine="560"/>
    </w:pPr>
    <w:rPr>
      <w:rFonts w:ascii="@幼圆" w:hAnsi="Batang" w:eastAsia="@幼圆" w:cs="Sim Sun"/>
      <w:bCs/>
      <w:color w:val="000000"/>
      <w:kern w:val="24"/>
      <w:sz w:val="28"/>
      <w:szCs w:val="20"/>
    </w:rPr>
  </w:style>
  <w:style w:type="paragraph" w:customStyle="1" w:styleId="1215">
    <w:name w:val="样式 样式 标题 2h22Header 2nd PageA.B.C.h2 main h标题2 + 仿宋_GB2312 行距......1"/>
    <w:basedOn w:val="1091"/>
    <w:qFormat/>
    <w:uiPriority w:val="0"/>
    <w:pPr>
      <w:ind w:firstLine="454"/>
    </w:pPr>
    <w:rPr>
      <w:b/>
      <w:bCs/>
    </w:rPr>
  </w:style>
  <w:style w:type="paragraph" w:customStyle="1" w:styleId="1216">
    <w:name w:val="Char Char Char1 Char Char Char Char Char Char Char Char Char1"/>
    <w:basedOn w:val="1"/>
    <w:qFormat/>
    <w:uiPriority w:val="0"/>
    <w:pPr>
      <w:spacing w:line="440" w:lineRule="exact"/>
      <w:ind w:firstLine="200"/>
    </w:pPr>
    <w:rPr>
      <w:rFonts w:ascii="Arial Unicode MS" w:hAnsi="Arial Unicode MS" w:cs="Vladimir Script"/>
      <w:b/>
      <w:bCs/>
      <w:color w:val="000000"/>
      <w:kern w:val="24"/>
      <w:sz w:val="28"/>
      <w:szCs w:val="28"/>
    </w:rPr>
  </w:style>
  <w:style w:type="paragraph" w:customStyle="1" w:styleId="1217">
    <w:name w:val="节正文"/>
    <w:basedOn w:val="1"/>
    <w:qFormat/>
    <w:uiPriority w:val="0"/>
    <w:pPr>
      <w:spacing w:beforeLines="20" w:afterLines="20"/>
      <w:ind w:left="100" w:leftChars="100" w:firstLine="200"/>
    </w:pPr>
    <w:rPr>
      <w:rFonts w:ascii="Batang" w:hAnsi="Batang" w:cs="Batang"/>
      <w:bCs/>
      <w:color w:val="000000"/>
      <w:kern w:val="24"/>
    </w:rPr>
  </w:style>
  <w:style w:type="paragraph" w:customStyle="1" w:styleId="1218">
    <w:name w:val="通用"/>
    <w:basedOn w:val="1"/>
    <w:qFormat/>
    <w:uiPriority w:val="0"/>
    <w:pPr>
      <w:widowControl/>
      <w:spacing w:before="120" w:after="120" w:line="300" w:lineRule="exact"/>
      <w:ind w:right="216"/>
    </w:pPr>
    <w:rPr>
      <w:rFonts w:ascii="幼圆" w:hAnsi="幼圆" w:cs="Batang"/>
      <w:bCs/>
      <w:color w:val="000000"/>
      <w:spacing w:val="40"/>
      <w:kern w:val="0"/>
      <w:szCs w:val="20"/>
    </w:rPr>
  </w:style>
  <w:style w:type="paragraph" w:customStyle="1" w:styleId="1219">
    <w:name w:val="样式2－王鹏"/>
    <w:basedOn w:val="1"/>
    <w:qFormat/>
    <w:uiPriority w:val="0"/>
    <w:pPr>
      <w:autoSpaceDE w:val="0"/>
      <w:autoSpaceDN w:val="0"/>
      <w:adjustRightInd w:val="0"/>
      <w:snapToGrid w:val="0"/>
      <w:spacing w:line="300" w:lineRule="auto"/>
      <w:jc w:val="center"/>
      <w:textAlignment w:val="baseline"/>
    </w:pPr>
    <w:rPr>
      <w:rFonts w:ascii="Sim Sun" w:hAnsi="Sim Sun" w:cs="Batang"/>
      <w:bCs/>
      <w:snapToGrid w:val="0"/>
      <w:color w:val="000000"/>
      <w:kern w:val="0"/>
      <w:szCs w:val="21"/>
    </w:rPr>
  </w:style>
  <w:style w:type="paragraph" w:customStyle="1" w:styleId="1220">
    <w:name w:val="样式 标题 2 + Arial 五号 两端对齐 段前: 15.6 磅 段后: 15.6 磅 行距: 多倍行距 1.3 ..."/>
    <w:basedOn w:val="1"/>
    <w:qFormat/>
    <w:uiPriority w:val="0"/>
    <w:pPr>
      <w:tabs>
        <w:tab w:val="left" w:pos="576"/>
      </w:tabs>
      <w:ind w:left="576" w:hanging="576"/>
    </w:pPr>
    <w:rPr>
      <w:rFonts w:ascii="Sim Sun" w:hAnsi="Batang" w:cs="Batang"/>
      <w:bCs/>
      <w:color w:val="000000"/>
      <w:kern w:val="24"/>
      <w:szCs w:val="20"/>
    </w:rPr>
  </w:style>
  <w:style w:type="paragraph" w:customStyle="1" w:styleId="1221">
    <w:name w:val="样式 居中 段前: 1.55 磅 段后: 1.55 磅 底端: (单实线 自动设置  0.75 磅 行宽) 行距: ..."/>
    <w:basedOn w:val="1"/>
    <w:next w:val="1"/>
    <w:qFormat/>
    <w:uiPriority w:val="0"/>
    <w:pPr>
      <w:pBdr>
        <w:bottom w:val="single" w:color="auto" w:sz="6" w:space="1"/>
      </w:pBdr>
      <w:spacing w:before="31" w:after="31" w:line="40" w:lineRule="atLeast"/>
      <w:jc w:val="center"/>
    </w:pPr>
    <w:rPr>
      <w:rFonts w:ascii="Batang" w:hAnsi="Batang" w:cs="Sim Sun"/>
      <w:bCs/>
      <w:color w:val="000000"/>
      <w:kern w:val="24"/>
      <w:szCs w:val="21"/>
    </w:rPr>
  </w:style>
  <w:style w:type="paragraph" w:customStyle="1" w:styleId="1222">
    <w:name w:val="TOCI"/>
    <w:basedOn w:val="111"/>
    <w:next w:val="111"/>
    <w:qFormat/>
    <w:uiPriority w:val="0"/>
    <w:rPr>
      <w:rFonts w:ascii="Sim Sun" w:hAnsi="Batang" w:cs="Batang"/>
      <w:color w:val="auto"/>
    </w:rPr>
  </w:style>
  <w:style w:type="paragraph" w:customStyle="1" w:styleId="1223">
    <w:name w:val="Tabella"/>
    <w:basedOn w:val="1"/>
    <w:qFormat/>
    <w:uiPriority w:val="0"/>
    <w:pPr>
      <w:widowControl/>
      <w:tabs>
        <w:tab w:val="left" w:pos="851"/>
        <w:tab w:val="left" w:pos="3969"/>
        <w:tab w:val="right" w:pos="5387"/>
        <w:tab w:val="left" w:pos="6237"/>
      </w:tabs>
      <w:spacing w:before="120"/>
    </w:pPr>
    <w:rPr>
      <w:rFonts w:ascii="ˎ̥" w:hAnsi="ˎ̥" w:cs="ˎ̥"/>
      <w:bCs/>
      <w:color w:val="000000"/>
      <w:kern w:val="0"/>
      <w:sz w:val="20"/>
      <w:szCs w:val="20"/>
      <w:lang w:val="en-GB" w:eastAsia="it-IT"/>
    </w:rPr>
  </w:style>
  <w:style w:type="paragraph" w:customStyle="1" w:styleId="1224">
    <w:name w:val="Normal2"/>
    <w:basedOn w:val="1"/>
    <w:qFormat/>
    <w:uiPriority w:val="0"/>
    <w:pPr>
      <w:adjustRightInd w:val="0"/>
      <w:spacing w:line="480" w:lineRule="exact"/>
      <w:textAlignment w:val="baseline"/>
    </w:pPr>
    <w:rPr>
      <w:rFonts w:ascii="Batang" w:hAnsi="Batang" w:cs="Batang"/>
      <w:bCs/>
      <w:color w:val="000000"/>
      <w:spacing w:val="-2"/>
      <w:kern w:val="0"/>
      <w:sz w:val="28"/>
      <w:szCs w:val="20"/>
    </w:rPr>
  </w:style>
  <w:style w:type="paragraph" w:customStyle="1" w:styleId="1225">
    <w:name w:val="自定义正文"/>
    <w:qFormat/>
    <w:uiPriority w:val="0"/>
    <w:pPr>
      <w:spacing w:line="440" w:lineRule="exact"/>
      <w:ind w:firstLine="480" w:firstLineChars="200"/>
      <w:jc w:val="both"/>
    </w:pPr>
    <w:rPr>
      <w:rFonts w:ascii="Batang" w:hAnsi="Batang" w:eastAsia="宋体" w:cs="Batang"/>
      <w:bCs/>
      <w:color w:val="000000"/>
      <w:kern w:val="2"/>
      <w:sz w:val="24"/>
      <w:szCs w:val="24"/>
      <w:lang w:val="en-US" w:eastAsia="zh-CN" w:bidi="ar-SA"/>
    </w:rPr>
  </w:style>
  <w:style w:type="paragraph" w:customStyle="1" w:styleId="1226">
    <w:name w:val="样式 一般正文 + 行距: 多倍行距 1.15 字行"/>
    <w:basedOn w:val="519"/>
    <w:qFormat/>
    <w:uiPriority w:val="0"/>
    <w:pPr>
      <w:spacing w:line="240" w:lineRule="auto"/>
      <w:ind w:right="0" w:rightChars="0" w:firstLine="200"/>
    </w:pPr>
    <w:rPr>
      <w:rFonts w:cs="Sim Sun"/>
    </w:rPr>
  </w:style>
  <w:style w:type="paragraph" w:customStyle="1" w:styleId="1227">
    <w:name w:val="Char12 Char Char Char"/>
    <w:basedOn w:val="1"/>
    <w:qFormat/>
    <w:uiPriority w:val="0"/>
    <w:pPr>
      <w:spacing w:after="160" w:line="240" w:lineRule="exact"/>
    </w:pPr>
    <w:rPr>
      <w:rFonts w:ascii="ˎ̥" w:hAnsi="ˎ̥" w:eastAsia="Batang" w:cs="Wingdings"/>
      <w:b/>
      <w:bCs/>
      <w:color w:val="000000"/>
      <w:kern w:val="0"/>
      <w:lang w:eastAsia="en-US"/>
    </w:rPr>
  </w:style>
  <w:style w:type="paragraph" w:customStyle="1" w:styleId="1228">
    <w:name w:val="WPS Plain"/>
    <w:qFormat/>
    <w:uiPriority w:val="0"/>
    <w:rPr>
      <w:rFonts w:ascii="Batang" w:hAnsi="Batang" w:eastAsia="宋体" w:cs="Batang"/>
      <w:bCs/>
      <w:color w:val="000000"/>
      <w:sz w:val="24"/>
      <w:szCs w:val="24"/>
      <w:lang w:val="en-US" w:eastAsia="zh-CN" w:bidi="ar-SA"/>
    </w:rPr>
  </w:style>
  <w:style w:type="paragraph" w:customStyle="1" w:styleId="1229">
    <w:name w:val="CM110"/>
    <w:basedOn w:val="1"/>
    <w:next w:val="1"/>
    <w:qFormat/>
    <w:uiPriority w:val="0"/>
    <w:pPr>
      <w:autoSpaceDE w:val="0"/>
      <w:autoSpaceDN w:val="0"/>
      <w:adjustRightInd w:val="0"/>
      <w:spacing w:after="313"/>
    </w:pPr>
    <w:rPr>
      <w:rFonts w:ascii="Arial Unicode MS" w:hAnsi="Batang" w:eastAsia="Arial Unicode MS" w:cs="Batang"/>
      <w:bCs/>
      <w:color w:val="000000"/>
      <w:kern w:val="0"/>
    </w:rPr>
  </w:style>
  <w:style w:type="paragraph" w:customStyle="1" w:styleId="1230">
    <w:name w:val="CM102"/>
    <w:basedOn w:val="111"/>
    <w:next w:val="111"/>
    <w:qFormat/>
    <w:uiPriority w:val="0"/>
    <w:pPr>
      <w:spacing w:after="190"/>
    </w:pPr>
    <w:rPr>
      <w:rFonts w:hAnsi="Batang" w:cs="Batang"/>
      <w:color w:val="auto"/>
    </w:rPr>
  </w:style>
  <w:style w:type="paragraph" w:customStyle="1" w:styleId="1231">
    <w:name w:val="Sun"/>
    <w:basedOn w:val="1"/>
    <w:qFormat/>
    <w:uiPriority w:val="0"/>
    <w:pPr>
      <w:adjustRightInd w:val="0"/>
      <w:ind w:firstLine="567"/>
      <w:textAlignment w:val="baseline"/>
    </w:pPr>
    <w:rPr>
      <w:rFonts w:ascii="Arial Unicode MS" w:hAnsi="Arial Unicode MS" w:cs="Vladimir Script"/>
      <w:bCs/>
      <w:color w:val="000000"/>
      <w:kern w:val="28"/>
      <w:sz w:val="28"/>
      <w:szCs w:val="20"/>
    </w:rPr>
  </w:style>
  <w:style w:type="paragraph" w:customStyle="1" w:styleId="1232">
    <w:name w:val="表、图名"/>
    <w:basedOn w:val="1"/>
    <w:qFormat/>
    <w:uiPriority w:val="0"/>
    <w:pPr>
      <w:adjustRightInd w:val="0"/>
      <w:snapToGrid w:val="0"/>
      <w:jc w:val="center"/>
    </w:pPr>
    <w:rPr>
      <w:rFonts w:ascii="宋体" w:hAnsi="宋体"/>
      <w:bCs/>
      <w:color w:val="000000"/>
      <w:kern w:val="0"/>
    </w:rPr>
  </w:style>
  <w:style w:type="paragraph" w:customStyle="1" w:styleId="1233">
    <w:name w:val="CM72"/>
    <w:basedOn w:val="111"/>
    <w:next w:val="111"/>
    <w:qFormat/>
    <w:uiPriority w:val="0"/>
    <w:pPr>
      <w:spacing w:line="323" w:lineRule="atLeast"/>
    </w:pPr>
    <w:rPr>
      <w:rFonts w:hAnsi="Batang" w:cs="Batang"/>
      <w:color w:val="auto"/>
    </w:rPr>
  </w:style>
  <w:style w:type="paragraph" w:customStyle="1" w:styleId="1234">
    <w:name w:val="索引 11"/>
    <w:basedOn w:val="1"/>
    <w:next w:val="1"/>
    <w:qFormat/>
    <w:uiPriority w:val="0"/>
    <w:pPr>
      <w:tabs>
        <w:tab w:val="left" w:pos="3420"/>
      </w:tabs>
      <w:spacing w:line="380" w:lineRule="exact"/>
      <w:ind w:firstLine="200"/>
      <w:jc w:val="center"/>
    </w:pPr>
    <w:rPr>
      <w:rFonts w:ascii="Arial Unicode MS" w:hAnsi="Arial Unicode MS" w:cs="Vladimir Script"/>
      <w:bCs/>
      <w:color w:val="000000"/>
      <w:kern w:val="24"/>
      <w:szCs w:val="20"/>
    </w:rPr>
  </w:style>
  <w:style w:type="paragraph" w:customStyle="1" w:styleId="1235">
    <w:name w:val="CM108"/>
    <w:basedOn w:val="111"/>
    <w:next w:val="111"/>
    <w:qFormat/>
    <w:uiPriority w:val="0"/>
    <w:pPr>
      <w:spacing w:after="78"/>
    </w:pPr>
    <w:rPr>
      <w:rFonts w:hAnsi="Batang" w:cs="Batang"/>
      <w:color w:val="auto"/>
    </w:rPr>
  </w:style>
  <w:style w:type="paragraph" w:customStyle="1" w:styleId="1236">
    <w:name w:val="CM107"/>
    <w:basedOn w:val="111"/>
    <w:next w:val="111"/>
    <w:qFormat/>
    <w:uiPriority w:val="0"/>
    <w:pPr>
      <w:spacing w:after="127"/>
    </w:pPr>
    <w:rPr>
      <w:rFonts w:hAnsi="Batang" w:cs="Batang"/>
      <w:color w:val="auto"/>
    </w:rPr>
  </w:style>
  <w:style w:type="paragraph" w:customStyle="1" w:styleId="1237">
    <w:name w:val="CM115"/>
    <w:basedOn w:val="111"/>
    <w:next w:val="111"/>
    <w:qFormat/>
    <w:uiPriority w:val="0"/>
    <w:pPr>
      <w:spacing w:after="368"/>
    </w:pPr>
    <w:rPr>
      <w:rFonts w:hAnsi="Batang" w:cs="Batang"/>
      <w:color w:val="auto"/>
    </w:rPr>
  </w:style>
  <w:style w:type="paragraph" w:customStyle="1" w:styleId="1238">
    <w:name w:val="CM112"/>
    <w:basedOn w:val="111"/>
    <w:next w:val="111"/>
    <w:qFormat/>
    <w:uiPriority w:val="0"/>
    <w:pPr>
      <w:spacing w:after="128"/>
    </w:pPr>
    <w:rPr>
      <w:rFonts w:hAnsi="Batang" w:cs="Batang"/>
      <w:color w:val="auto"/>
    </w:rPr>
  </w:style>
  <w:style w:type="paragraph" w:customStyle="1" w:styleId="1239">
    <w:name w:val="缩进"/>
    <w:basedOn w:val="1"/>
    <w:qFormat/>
    <w:uiPriority w:val="0"/>
    <w:pPr>
      <w:autoSpaceDE w:val="0"/>
      <w:autoSpaceDN w:val="0"/>
      <w:adjustRightInd w:val="0"/>
      <w:spacing w:line="400" w:lineRule="atLeast"/>
      <w:ind w:firstLine="425"/>
      <w:textAlignment w:val="baseline"/>
    </w:pPr>
    <w:rPr>
      <w:rFonts w:ascii="Sim Sun" w:hAnsi="Sim Sun" w:cs="Sim Sun"/>
      <w:bCs/>
      <w:color w:val="000000"/>
      <w:kern w:val="24"/>
    </w:rPr>
  </w:style>
  <w:style w:type="paragraph" w:customStyle="1" w:styleId="1240">
    <w:name w:val="CM106"/>
    <w:basedOn w:val="111"/>
    <w:next w:val="111"/>
    <w:qFormat/>
    <w:uiPriority w:val="0"/>
    <w:pPr>
      <w:spacing w:after="653"/>
    </w:pPr>
    <w:rPr>
      <w:rFonts w:hAnsi="Batang" w:cs="Batang"/>
      <w:color w:val="auto"/>
    </w:rPr>
  </w:style>
  <w:style w:type="paragraph" w:customStyle="1" w:styleId="1241">
    <w:name w:val="CM75"/>
    <w:basedOn w:val="111"/>
    <w:next w:val="111"/>
    <w:qFormat/>
    <w:uiPriority w:val="0"/>
    <w:rPr>
      <w:rFonts w:hAnsi="Batang" w:cs="Batang"/>
      <w:color w:val="auto"/>
    </w:rPr>
  </w:style>
  <w:style w:type="paragraph" w:customStyle="1" w:styleId="1242">
    <w:name w:val="reader-word-layer reader-word-s5-11"/>
    <w:basedOn w:val="1"/>
    <w:qFormat/>
    <w:uiPriority w:val="0"/>
    <w:pPr>
      <w:widowControl/>
      <w:spacing w:before="100" w:beforeAutospacing="1" w:after="100" w:afterAutospacing="1"/>
    </w:pPr>
    <w:rPr>
      <w:rFonts w:ascii="宋体" w:hAnsi="宋体" w:cs="宋体"/>
      <w:bCs/>
      <w:color w:val="000000"/>
      <w:kern w:val="0"/>
    </w:rPr>
  </w:style>
  <w:style w:type="paragraph" w:customStyle="1" w:styleId="1243">
    <w:name w:val="表格中"/>
    <w:basedOn w:val="1"/>
    <w:qFormat/>
    <w:uiPriority w:val="0"/>
    <w:pPr>
      <w:adjustRightInd w:val="0"/>
      <w:snapToGrid w:val="0"/>
      <w:spacing w:line="0" w:lineRule="atLeast"/>
      <w:ind w:right="358" w:rightChars="136"/>
      <w:jc w:val="center"/>
    </w:pPr>
    <w:rPr>
      <w:rFonts w:ascii="Sim Sun" w:hAnsi="Batang" w:cs="Batang"/>
      <w:bCs/>
      <w:color w:val="000000"/>
      <w:kern w:val="24"/>
      <w:sz w:val="18"/>
    </w:rPr>
  </w:style>
  <w:style w:type="paragraph" w:customStyle="1" w:styleId="1244">
    <w:name w:val="J【表中文字】"/>
    <w:basedOn w:val="1"/>
    <w:qFormat/>
    <w:uiPriority w:val="0"/>
    <w:pPr>
      <w:jc w:val="center"/>
      <w:textAlignment w:val="center"/>
    </w:pPr>
    <w:rPr>
      <w:rFonts w:ascii="Batang" w:hAnsi="Batang" w:cs="Sim Sun"/>
      <w:bCs/>
      <w:color w:val="000000"/>
      <w:kern w:val="24"/>
      <w:szCs w:val="21"/>
    </w:rPr>
  </w:style>
  <w:style w:type="paragraph" w:customStyle="1" w:styleId="1245">
    <w:name w:val="样式 样式 标题 3标题3H3h33rd level第二层条头小标题小节标题标题 3 Char Char一海港标... +"/>
    <w:basedOn w:val="1135"/>
    <w:qFormat/>
    <w:uiPriority w:val="0"/>
    <w:rPr>
      <w:rFonts w:ascii="Arial Unicode MS" w:hAnsi="Arial Unicode MS"/>
      <w:kern w:val="2"/>
    </w:rPr>
  </w:style>
  <w:style w:type="paragraph" w:customStyle="1" w:styleId="1246">
    <w:name w:val="lz3"/>
    <w:basedOn w:val="1"/>
    <w:qFormat/>
    <w:uiPriority w:val="0"/>
    <w:pPr>
      <w:spacing w:line="540" w:lineRule="exact"/>
    </w:pPr>
    <w:rPr>
      <w:rFonts w:ascii="ӗԲ" w:hAnsi="Sim Sun" w:eastAsia="ӗԲ" w:cs="Batang"/>
      <w:bCs/>
      <w:color w:val="000000"/>
      <w:kern w:val="24"/>
      <w:sz w:val="30"/>
      <w:szCs w:val="20"/>
    </w:rPr>
  </w:style>
  <w:style w:type="paragraph" w:customStyle="1" w:styleId="1247">
    <w:name w:val="文-5"/>
    <w:basedOn w:val="1"/>
    <w:qFormat/>
    <w:uiPriority w:val="0"/>
    <w:pPr>
      <w:tabs>
        <w:tab w:val="right" w:leader="dot" w:pos="8789"/>
      </w:tabs>
      <w:spacing w:before="120"/>
      <w:ind w:left="1276" w:firstLine="482"/>
    </w:pPr>
    <w:rPr>
      <w:rFonts w:ascii="Batang" w:hAnsi="Batang" w:cs="Batang"/>
      <w:bCs/>
      <w:color w:val="000000"/>
      <w:kern w:val="24"/>
      <w:szCs w:val="20"/>
    </w:rPr>
  </w:style>
  <w:style w:type="paragraph" w:customStyle="1" w:styleId="1248">
    <w:name w:val="正文文本缩进 211"/>
    <w:basedOn w:val="1"/>
    <w:qFormat/>
    <w:uiPriority w:val="0"/>
    <w:pPr>
      <w:adjustRightInd w:val="0"/>
      <w:spacing w:line="440" w:lineRule="exact"/>
      <w:ind w:firstLine="640"/>
      <w:textAlignment w:val="baseline"/>
    </w:pPr>
    <w:rPr>
      <w:rFonts w:ascii="Arial Unicode MS" w:hAnsi="Arial Unicode MS" w:eastAsia="Garamond" w:cs="Vladimir Script"/>
      <w:bCs/>
      <w:color w:val="0000FF"/>
      <w:kern w:val="24"/>
      <w:sz w:val="32"/>
      <w:szCs w:val="20"/>
    </w:rPr>
  </w:style>
  <w:style w:type="paragraph" w:customStyle="1" w:styleId="1249">
    <w:name w:val="样式 样式4 + 段前: 0.5 行 段后: 0.5 行"/>
    <w:basedOn w:val="484"/>
    <w:qFormat/>
    <w:uiPriority w:val="0"/>
    <w:pPr>
      <w:keepNext w:val="0"/>
      <w:keepLines w:val="0"/>
      <w:tabs>
        <w:tab w:val="left" w:pos="987"/>
        <w:tab w:val="left" w:pos="1086"/>
        <w:tab w:val="clear" w:pos="780"/>
      </w:tabs>
      <w:adjustRightInd w:val="0"/>
      <w:snapToGrid w:val="0"/>
      <w:spacing w:beforeLines="20" w:afterLines="20" w:line="360" w:lineRule="auto"/>
      <w:ind w:left="1086" w:hanging="576"/>
      <w:outlineLvl w:val="1"/>
    </w:pPr>
    <w:rPr>
      <w:rFonts w:eastAsia="黑体" w:cs="宋体"/>
      <w:sz w:val="24"/>
      <w:szCs w:val="20"/>
    </w:rPr>
  </w:style>
  <w:style w:type="paragraph" w:customStyle="1" w:styleId="1250">
    <w:name w:val="标-4"/>
    <w:basedOn w:val="1"/>
    <w:qFormat/>
    <w:uiPriority w:val="0"/>
    <w:pPr>
      <w:spacing w:before="120"/>
      <w:ind w:left="851" w:hanging="851"/>
    </w:pPr>
    <w:rPr>
      <w:rFonts w:ascii="Batang" w:hAnsi="Batang" w:cs="Batang"/>
      <w:bCs/>
      <w:color w:val="000000"/>
      <w:kern w:val="24"/>
      <w:szCs w:val="20"/>
    </w:rPr>
  </w:style>
  <w:style w:type="paragraph" w:customStyle="1" w:styleId="1251">
    <w:name w:val="标-5"/>
    <w:basedOn w:val="1"/>
    <w:qFormat/>
    <w:uiPriority w:val="0"/>
    <w:pPr>
      <w:tabs>
        <w:tab w:val="right" w:leader="dot" w:pos="8789"/>
      </w:tabs>
      <w:spacing w:before="120"/>
      <w:ind w:left="1276" w:hanging="425"/>
    </w:pPr>
    <w:rPr>
      <w:rFonts w:ascii="Batang" w:hAnsi="Batang" w:cs="Batang"/>
      <w:bCs/>
      <w:color w:val="000000"/>
      <w:kern w:val="24"/>
      <w:szCs w:val="20"/>
    </w:rPr>
  </w:style>
  <w:style w:type="paragraph" w:customStyle="1" w:styleId="1252">
    <w:name w:val="标-7"/>
    <w:basedOn w:val="1"/>
    <w:qFormat/>
    <w:uiPriority w:val="0"/>
    <w:pPr>
      <w:tabs>
        <w:tab w:val="left" w:pos="420"/>
      </w:tabs>
      <w:spacing w:before="120"/>
      <w:ind w:left="1701" w:hanging="425"/>
    </w:pPr>
    <w:rPr>
      <w:rFonts w:ascii="Batang" w:hAnsi="Batang" w:cs="Batang"/>
      <w:bCs/>
      <w:color w:val="000000"/>
      <w:kern w:val="24"/>
      <w:szCs w:val="20"/>
    </w:rPr>
  </w:style>
  <w:style w:type="paragraph" w:customStyle="1" w:styleId="1253">
    <w:name w:val="文-7"/>
    <w:basedOn w:val="1247"/>
    <w:qFormat/>
    <w:uiPriority w:val="0"/>
    <w:pPr>
      <w:ind w:left="1701"/>
    </w:pPr>
  </w:style>
  <w:style w:type="paragraph" w:customStyle="1" w:styleId="1254">
    <w:name w:val="font12"/>
    <w:basedOn w:val="1"/>
    <w:qFormat/>
    <w:uiPriority w:val="0"/>
    <w:pPr>
      <w:widowControl/>
      <w:spacing w:before="100" w:beforeAutospacing="1" w:after="100" w:afterAutospacing="1"/>
    </w:pPr>
    <w:rPr>
      <w:rFonts w:ascii="Batang" w:hAnsi="Batang" w:eastAsia="黑体" w:cs="Batang"/>
      <w:bCs/>
      <w:color w:val="000000"/>
      <w:kern w:val="0"/>
      <w:sz w:val="18"/>
      <w:szCs w:val="18"/>
    </w:rPr>
  </w:style>
  <w:style w:type="paragraph" w:customStyle="1" w:styleId="1255">
    <w:name w:val="王表头"/>
    <w:basedOn w:val="1"/>
    <w:qFormat/>
    <w:uiPriority w:val="0"/>
    <w:pPr>
      <w:spacing w:beforeLines="30" w:line="560" w:lineRule="exact"/>
      <w:jc w:val="center"/>
    </w:pPr>
    <w:rPr>
      <w:rFonts w:ascii="Batang" w:hAnsi="Batang" w:eastAsia="FLGPEK+TimesNewRoman,Italic" w:cs="Batang"/>
      <w:color w:val="000000"/>
      <w:kern w:val="24"/>
    </w:rPr>
  </w:style>
  <w:style w:type="paragraph" w:customStyle="1" w:styleId="1256">
    <w:name w:val="可研正文k"/>
    <w:basedOn w:val="1"/>
    <w:next w:val="1"/>
    <w:qFormat/>
    <w:uiPriority w:val="0"/>
    <w:pPr>
      <w:ind w:firstLine="420"/>
    </w:pPr>
    <w:rPr>
      <w:rFonts w:ascii="ˎ̥" w:hAnsi="ˎ̥" w:eastAsia="FLGPEK+TimesNewRoman,Italic" w:cs="ˎ̥"/>
      <w:bCs/>
      <w:color w:val="000000"/>
      <w:kern w:val="0"/>
      <w:sz w:val="28"/>
      <w:szCs w:val="20"/>
    </w:rPr>
  </w:style>
  <w:style w:type="paragraph" w:customStyle="1" w:styleId="1257">
    <w:name w:val="图表标题"/>
    <w:basedOn w:val="1"/>
    <w:next w:val="1258"/>
    <w:qFormat/>
    <w:uiPriority w:val="0"/>
    <w:pPr>
      <w:adjustRightInd w:val="0"/>
      <w:snapToGrid w:val="0"/>
      <w:spacing w:line="500" w:lineRule="exact"/>
      <w:ind w:firstLine="480"/>
      <w:textAlignment w:val="baseline"/>
    </w:pPr>
    <w:rPr>
      <w:rFonts w:ascii="@幼圆" w:hAnsi="FLGPEK+TimesNewRoman,Italic" w:eastAsia="@幼圆" w:cs="ˎ̥"/>
      <w:color w:val="000000"/>
      <w:kern w:val="0"/>
    </w:rPr>
  </w:style>
  <w:style w:type="paragraph" w:customStyle="1" w:styleId="1258">
    <w:name w:val="报告表格"/>
    <w:basedOn w:val="1"/>
    <w:qFormat/>
    <w:uiPriority w:val="0"/>
    <w:pPr>
      <w:autoSpaceDE w:val="0"/>
      <w:autoSpaceDN w:val="0"/>
      <w:adjustRightInd w:val="0"/>
      <w:spacing w:before="40" w:after="40"/>
      <w:jc w:val="center"/>
      <w:textAlignment w:val="bottom"/>
    </w:pPr>
    <w:rPr>
      <w:rFonts w:ascii="ˎ̥" w:hAnsi="ˎ̥" w:eastAsia="FLGPEK+TimesNewRoman,Italic" w:cs="ˎ̥"/>
      <w:bCs/>
      <w:color w:val="000000"/>
      <w:kern w:val="0"/>
      <w:szCs w:val="20"/>
    </w:rPr>
  </w:style>
  <w:style w:type="paragraph" w:customStyle="1" w:styleId="1259">
    <w:name w:val="样式 样式 正文首行缩进 2 + 小四 首行缩进:  2 字符 + 左侧:  2 字符 首行缩进:  2 字符 段后: 0 ..."/>
    <w:basedOn w:val="1"/>
    <w:qFormat/>
    <w:uiPriority w:val="0"/>
    <w:pPr>
      <w:ind w:left="200" w:leftChars="200" w:firstLine="200"/>
    </w:pPr>
    <w:rPr>
      <w:rFonts w:cs="Century"/>
      <w:bCs/>
      <w:color w:val="000000"/>
      <w:kern w:val="24"/>
      <w:szCs w:val="20"/>
    </w:rPr>
  </w:style>
  <w:style w:type="paragraph" w:customStyle="1" w:styleId="1260">
    <w:name w:val="样式 居中 段前: 4 磅 段后: 4 磅"/>
    <w:basedOn w:val="1"/>
    <w:qFormat/>
    <w:uiPriority w:val="0"/>
    <w:pPr>
      <w:snapToGrid w:val="0"/>
      <w:spacing w:before="80" w:after="80"/>
      <w:jc w:val="center"/>
    </w:pPr>
    <w:rPr>
      <w:rFonts w:ascii="Batang" w:hAnsi="Batang" w:cs="Sim Sun"/>
      <w:bCs/>
      <w:color w:val="000000"/>
      <w:kern w:val="24"/>
      <w:szCs w:val="20"/>
    </w:rPr>
  </w:style>
  <w:style w:type="paragraph" w:customStyle="1" w:styleId="1261">
    <w:name w:val="二级标题 Char Char Char"/>
    <w:basedOn w:val="1"/>
    <w:next w:val="1"/>
    <w:qFormat/>
    <w:uiPriority w:val="0"/>
    <w:pPr>
      <w:spacing w:line="529" w:lineRule="exact"/>
      <w:ind w:firstLine="200"/>
    </w:pPr>
    <w:rPr>
      <w:rFonts w:ascii="Batang" w:hAnsi="Batang" w:cs="Batang"/>
      <w:bCs/>
      <w:color w:val="000000"/>
      <w:kern w:val="24"/>
      <w:szCs w:val="20"/>
    </w:rPr>
  </w:style>
  <w:style w:type="paragraph" w:customStyle="1" w:styleId="1262">
    <w:name w:val="PP 行"/>
    <w:basedOn w:val="50"/>
    <w:qFormat/>
    <w:uiPriority w:val="0"/>
  </w:style>
  <w:style w:type="paragraph" w:customStyle="1" w:styleId="1263">
    <w:name w:val="表格文字居中 Char Char"/>
    <w:basedOn w:val="253"/>
    <w:qFormat/>
    <w:uiPriority w:val="0"/>
    <w:pPr>
      <w:keepNext/>
      <w:tabs>
        <w:tab w:val="left" w:pos="628"/>
        <w:tab w:val="left" w:pos="980"/>
        <w:tab w:val="left" w:pos="1727"/>
        <w:tab w:val="left" w:pos="1884"/>
        <w:tab w:val="left" w:pos="4900"/>
      </w:tabs>
      <w:autoSpaceDE w:val="0"/>
      <w:autoSpaceDN w:val="0"/>
      <w:adjustRightInd w:val="0"/>
      <w:snapToGrid w:val="0"/>
      <w:spacing w:before="100" w:beforeAutospacing="1" w:after="0"/>
      <w:ind w:left="-139" w:leftChars="-58" w:firstLine="0" w:firstLineChars="0"/>
      <w:jc w:val="center"/>
    </w:pPr>
    <w:rPr>
      <w:rFonts w:ascii="Sim Sun" w:hAnsi="Sim Sun"/>
      <w:color w:val="FF0000"/>
      <w:spacing w:val="-12"/>
      <w:sz w:val="28"/>
      <w:szCs w:val="28"/>
      <w:lang w:val="zh-CN"/>
    </w:rPr>
  </w:style>
  <w:style w:type="paragraph" w:customStyle="1" w:styleId="1264">
    <w:name w:val="Char Char1 Char Char Char Char"/>
    <w:basedOn w:val="1"/>
    <w:semiHidden/>
    <w:qFormat/>
    <w:uiPriority w:val="0"/>
    <w:pPr>
      <w:ind w:firstLine="200"/>
    </w:pPr>
    <w:rPr>
      <w:rFonts w:ascii="Batang" w:hAnsi="Batang" w:cs="Batang"/>
      <w:bCs/>
      <w:color w:val="000000"/>
      <w:kern w:val="24"/>
    </w:rPr>
  </w:style>
  <w:style w:type="paragraph" w:customStyle="1" w:styleId="1265">
    <w:name w:val="Char Char7 Char Char Char"/>
    <w:basedOn w:val="6"/>
    <w:qFormat/>
    <w:uiPriority w:val="0"/>
    <w:pPr>
      <w:tabs>
        <w:tab w:val="left" w:pos="360"/>
        <w:tab w:val="left" w:pos="900"/>
      </w:tabs>
      <w:snapToGrid w:val="0"/>
      <w:spacing w:before="120" w:after="120" w:line="360" w:lineRule="auto"/>
      <w:ind w:left="542" w:leftChars="-12" w:firstLine="200"/>
    </w:pPr>
    <w:rPr>
      <w:rFonts w:ascii="Batang" w:hAnsi="Batang" w:eastAsia="FLGPEK+TimesNewRoman,Italic" w:cs="Batang"/>
      <w:b w:val="0"/>
      <w:snapToGrid w:val="0"/>
      <w:color w:val="000000"/>
      <w:kern w:val="24"/>
      <w:sz w:val="24"/>
      <w:szCs w:val="24"/>
    </w:rPr>
  </w:style>
  <w:style w:type="paragraph" w:customStyle="1" w:styleId="1266">
    <w:name w:val="标题2 Char Char Char"/>
    <w:basedOn w:val="1"/>
    <w:qFormat/>
    <w:uiPriority w:val="0"/>
    <w:rPr>
      <w:rFonts w:ascii="Batang" w:hAnsi="Batang" w:cs="Batang"/>
      <w:bCs/>
      <w:color w:val="000000"/>
      <w:kern w:val="24"/>
      <w:sz w:val="30"/>
    </w:rPr>
  </w:style>
  <w:style w:type="paragraph" w:customStyle="1" w:styleId="1267">
    <w:name w:val="正文格式111"/>
    <w:basedOn w:val="1"/>
    <w:semiHidden/>
    <w:qFormat/>
    <w:uiPriority w:val="0"/>
    <w:pPr>
      <w:snapToGrid w:val="0"/>
      <w:spacing w:line="300" w:lineRule="auto"/>
      <w:ind w:firstLine="480"/>
    </w:pPr>
    <w:rPr>
      <w:rFonts w:ascii="Sim Sun" w:hAnsi="Sim Sun" w:cs="Batang"/>
      <w:bCs/>
      <w:color w:val="000000"/>
      <w:kern w:val="24"/>
    </w:rPr>
  </w:style>
  <w:style w:type="paragraph" w:customStyle="1" w:styleId="1268">
    <w:name w:val="表内5"/>
    <w:basedOn w:val="1"/>
    <w:qFormat/>
    <w:uiPriority w:val="0"/>
    <w:pPr>
      <w:adjustRightInd w:val="0"/>
      <w:snapToGrid w:val="0"/>
      <w:spacing w:line="300" w:lineRule="auto"/>
      <w:ind w:firstLine="200"/>
    </w:pPr>
    <w:rPr>
      <w:rFonts w:ascii="Sim Sun" w:hAnsi="Arial Unicode MS" w:cs="Vladimir Script"/>
      <w:bCs/>
      <w:color w:val="000000"/>
      <w:kern w:val="24"/>
      <w:szCs w:val="20"/>
    </w:rPr>
  </w:style>
  <w:style w:type="paragraph" w:customStyle="1" w:styleId="1269">
    <w:name w:val="7"/>
    <w:basedOn w:val="1"/>
    <w:next w:val="72"/>
    <w:qFormat/>
    <w:uiPriority w:val="0"/>
    <w:pPr>
      <w:widowControl/>
      <w:spacing w:before="100" w:beforeAutospacing="1" w:after="100" w:afterAutospacing="1"/>
    </w:pPr>
    <w:rPr>
      <w:rFonts w:ascii="宋体" w:hAnsi="宋体" w:cs="宋体"/>
      <w:bCs/>
      <w:color w:val="000000"/>
      <w:kern w:val="0"/>
    </w:rPr>
  </w:style>
  <w:style w:type="paragraph" w:customStyle="1" w:styleId="1270">
    <w:name w:val="列表项目符号1."/>
    <w:basedOn w:val="1"/>
    <w:qFormat/>
    <w:uiPriority w:val="0"/>
    <w:pPr>
      <w:keepNext/>
      <w:adjustRightInd w:val="0"/>
      <w:spacing w:line="312" w:lineRule="atLeast"/>
      <w:ind w:left="425" w:hanging="425"/>
      <w:textAlignment w:val="baseline"/>
    </w:pPr>
    <w:rPr>
      <w:rFonts w:ascii="Arial Unicode MS" w:hAnsi="Arial Unicode MS" w:cs="Vladimir Script"/>
      <w:bCs/>
      <w:color w:val="000000"/>
      <w:kern w:val="0"/>
      <w:szCs w:val="21"/>
    </w:rPr>
  </w:style>
  <w:style w:type="paragraph" w:customStyle="1" w:styleId="1271">
    <w:name w:val="普通(网站)1"/>
    <w:basedOn w:val="1"/>
    <w:qFormat/>
    <w:uiPriority w:val="0"/>
    <w:pPr>
      <w:widowControl/>
      <w:adjustRightInd w:val="0"/>
      <w:spacing w:before="100" w:after="100" w:line="440" w:lineRule="exact"/>
      <w:ind w:firstLine="200"/>
      <w:textAlignment w:val="baseline"/>
    </w:pPr>
    <w:rPr>
      <w:rFonts w:ascii="Sim Sun" w:hAnsi="Sim Sun" w:cs="Vladimir Script"/>
      <w:bCs/>
      <w:color w:val="000000"/>
      <w:kern w:val="0"/>
      <w:szCs w:val="20"/>
    </w:rPr>
  </w:style>
  <w:style w:type="paragraph" w:customStyle="1" w:styleId="1272">
    <w:name w:val="样式 小四 居中 行距: 单倍行距"/>
    <w:basedOn w:val="1"/>
    <w:qFormat/>
    <w:uiPriority w:val="0"/>
    <w:pPr>
      <w:adjustRightInd w:val="0"/>
      <w:spacing w:line="500" w:lineRule="atLeast"/>
      <w:ind w:firstLine="567"/>
      <w:jc w:val="center"/>
    </w:pPr>
    <w:rPr>
      <w:rFonts w:ascii="Arial Unicode MS" w:hAnsi="Arial Unicode MS" w:cs="Vladimir Script"/>
      <w:bCs/>
      <w:color w:val="000000"/>
      <w:kern w:val="0"/>
      <w:szCs w:val="20"/>
    </w:rPr>
  </w:style>
  <w:style w:type="paragraph" w:customStyle="1" w:styleId="1273">
    <w:name w:val="样式 样式 标题 2 + 宋体 行距: 固定值 30 磅 + 字距调整三号"/>
    <w:basedOn w:val="779"/>
    <w:qFormat/>
    <w:uiPriority w:val="0"/>
    <w:pPr>
      <w:snapToGrid/>
    </w:pPr>
    <w:rPr>
      <w:rFonts w:ascii="Gungsuh" w:hAnsi="Gungsuh" w:eastAsia="黑体"/>
      <w:kern w:val="32"/>
      <w:sz w:val="28"/>
      <w:szCs w:val="24"/>
    </w:rPr>
  </w:style>
  <w:style w:type="paragraph" w:customStyle="1" w:styleId="1274">
    <w:name w:val="表头0"/>
    <w:basedOn w:val="332"/>
    <w:qFormat/>
    <w:uiPriority w:val="0"/>
    <w:pPr>
      <w:spacing w:line="240" w:lineRule="auto"/>
      <w:ind w:firstLine="0" w:firstLineChars="0"/>
      <w:jc w:val="center"/>
    </w:pPr>
  </w:style>
  <w:style w:type="paragraph" w:customStyle="1" w:styleId="1275">
    <w:name w:val="三级 标题"/>
    <w:basedOn w:val="1"/>
    <w:qFormat/>
    <w:uiPriority w:val="0"/>
    <w:pPr>
      <w:spacing w:before="60" w:after="60" w:line="440" w:lineRule="exact"/>
      <w:ind w:firstLine="560"/>
    </w:pPr>
    <w:rPr>
      <w:b/>
      <w:bCs/>
      <w:color w:val="000000"/>
      <w:kern w:val="24"/>
    </w:rPr>
  </w:style>
  <w:style w:type="paragraph" w:customStyle="1" w:styleId="1276">
    <w:name w:val="样式 首行缩进:  2 字符14"/>
    <w:basedOn w:val="1"/>
    <w:qFormat/>
    <w:uiPriority w:val="0"/>
    <w:pPr>
      <w:spacing w:line="520" w:lineRule="exact"/>
      <w:ind w:firstLine="560"/>
    </w:pPr>
    <w:rPr>
      <w:rFonts w:ascii="ˎ̥" w:hAnsi="ˎ̥" w:eastAsia="FLGPEK+TimesNewRoman,Italic" w:cs="ˎ̥"/>
      <w:bCs/>
      <w:color w:val="000000"/>
      <w:kern w:val="24"/>
      <w:szCs w:val="20"/>
    </w:rPr>
  </w:style>
  <w:style w:type="paragraph" w:customStyle="1" w:styleId="1277">
    <w:name w:val="Char1 Char Char Char2"/>
    <w:basedOn w:val="1"/>
    <w:qFormat/>
    <w:uiPriority w:val="0"/>
    <w:pPr>
      <w:snapToGrid w:val="0"/>
      <w:ind w:firstLine="529"/>
    </w:pPr>
    <w:rPr>
      <w:rFonts w:ascii="FLGPEK+TimesNewRoman,Italic" w:hAnsi="FLGPEK+TimesNewRoman,Italic" w:eastAsia="FLGPEK+TimesNewRoman,Italic" w:cs="ˎ̥"/>
      <w:b/>
      <w:bCs/>
      <w:color w:val="000000"/>
      <w:kern w:val="24"/>
      <w:szCs w:val="20"/>
    </w:rPr>
  </w:style>
  <w:style w:type="paragraph" w:customStyle="1" w:styleId="1278">
    <w:name w:val="修订1"/>
    <w:qFormat/>
    <w:uiPriority w:val="0"/>
    <w:rPr>
      <w:rFonts w:ascii="ˎ̥" w:hAnsi="ˎ̥" w:eastAsia="FLGPEK+TimesNewRoman,Italic" w:cs="ˎ̥"/>
      <w:bCs/>
      <w:color w:val="000000"/>
      <w:kern w:val="2"/>
      <w:sz w:val="24"/>
      <w:szCs w:val="24"/>
      <w:lang w:val="en-US" w:eastAsia="zh-CN" w:bidi="ar-SA"/>
    </w:rPr>
  </w:style>
  <w:style w:type="paragraph" w:customStyle="1" w:styleId="1279">
    <w:name w:val="正文文本 211"/>
    <w:basedOn w:val="1"/>
    <w:qFormat/>
    <w:uiPriority w:val="0"/>
    <w:pPr>
      <w:adjustRightInd w:val="0"/>
      <w:spacing w:line="432" w:lineRule="auto"/>
      <w:ind w:firstLine="480"/>
    </w:pPr>
    <w:rPr>
      <w:rFonts w:ascii="ˎ̥" w:hAnsi="ˎ̥" w:eastAsia="FLGPEK+TimesNewRoman,Italic" w:cs="ˎ̥"/>
      <w:bCs/>
      <w:color w:val="000000"/>
      <w:kern w:val="24"/>
      <w:szCs w:val="20"/>
    </w:rPr>
  </w:style>
  <w:style w:type="paragraph" w:customStyle="1" w:styleId="1280">
    <w:name w:val="样式 小四 行距: 1.5 倍行距 首行缩进:  2 字符"/>
    <w:basedOn w:val="1"/>
    <w:qFormat/>
    <w:uiPriority w:val="0"/>
    <w:pPr>
      <w:ind w:firstLine="480"/>
    </w:pPr>
    <w:rPr>
      <w:rFonts w:ascii="ˎ̥" w:hAnsi="ˎ̥" w:eastAsia="FLGPEK+TimesNewRoman,Italic" w:cs="ˎ̥"/>
      <w:bCs/>
      <w:color w:val="000000"/>
      <w:kern w:val="24"/>
      <w:szCs w:val="20"/>
    </w:rPr>
  </w:style>
  <w:style w:type="paragraph" w:customStyle="1" w:styleId="1281">
    <w:name w:val="Char Char Char Char Char Char Char Char Char Char Char Char Char Char Char Char Char Char Char"/>
    <w:basedOn w:val="1"/>
    <w:qFormat/>
    <w:uiPriority w:val="0"/>
    <w:pPr>
      <w:ind w:firstLine="200"/>
    </w:pPr>
    <w:rPr>
      <w:rFonts w:ascii="FLGPEK+TimesNewRoman,Italic" w:hAnsi="FLGPEK+TimesNewRoman,Italic" w:eastAsia="FLGPEK+TimesNewRoman,Italic" w:cs="ˎ̥"/>
      <w:bCs/>
      <w:color w:val="000000"/>
      <w:kern w:val="24"/>
      <w:szCs w:val="20"/>
    </w:rPr>
  </w:style>
  <w:style w:type="paragraph" w:customStyle="1" w:styleId="1282">
    <w:name w:val="样式 正文（首行缩进两字） + 宋体 小四 加粗 行距: 固定值 24 磅"/>
    <w:basedOn w:val="2"/>
    <w:qFormat/>
    <w:uiPriority w:val="0"/>
    <w:pPr>
      <w:adjustRightInd w:val="0"/>
      <w:spacing w:line="480" w:lineRule="exact"/>
      <w:ind w:firstLine="480"/>
      <w:textAlignment w:val="baseline"/>
    </w:pPr>
    <w:rPr>
      <w:rFonts w:ascii="Batang" w:hAnsi="Batang" w:eastAsia="FLGPEK+TimesNewRoman,Italic" w:cs="Batang"/>
      <w:bCs/>
      <w:color w:val="000000"/>
      <w:kern w:val="24"/>
      <w:sz w:val="24"/>
      <w:lang w:val="en-GB"/>
    </w:rPr>
  </w:style>
  <w:style w:type="paragraph" w:customStyle="1" w:styleId="1283">
    <w:name w:val="a"/>
    <w:basedOn w:val="1"/>
    <w:qFormat/>
    <w:uiPriority w:val="0"/>
    <w:pPr>
      <w:widowControl/>
      <w:spacing w:before="100" w:beforeAutospacing="1" w:after="100" w:afterAutospacing="1"/>
    </w:pPr>
    <w:rPr>
      <w:rFonts w:ascii="FLGPEK+TimesNewRoman,Italic" w:hAnsi="FLGPEK+TimesNewRoman,Italic" w:eastAsia="FLGPEK+TimesNewRoman,Italic" w:cs="ˎ̥"/>
      <w:bCs/>
      <w:color w:val="000000"/>
      <w:kern w:val="0"/>
      <w:szCs w:val="20"/>
    </w:rPr>
  </w:style>
  <w:style w:type="paragraph" w:customStyle="1" w:styleId="1284">
    <w:name w:val="样式 标题 2节标题 1.1b21.1标题2b21 Char1.1标题2 Char标题 21节标题 1.11b2..."/>
    <w:basedOn w:val="5"/>
    <w:qFormat/>
    <w:uiPriority w:val="0"/>
    <w:pPr>
      <w:keepNext w:val="0"/>
      <w:keepLines w:val="0"/>
      <w:widowControl/>
      <w:tabs>
        <w:tab w:val="left" w:pos="0"/>
        <w:tab w:val="left" w:pos="576"/>
      </w:tabs>
      <w:adjustRightInd w:val="0"/>
      <w:spacing w:before="360" w:after="0" w:line="480" w:lineRule="auto"/>
      <w:ind w:firstLine="200"/>
    </w:pPr>
    <w:rPr>
      <w:rFonts w:ascii="仿宋体" w:hAnsi="Arial Unicode MS" w:eastAsia="仿宋体" w:cs="Sim Sun"/>
      <w:b w:val="0"/>
      <w:bCs w:val="0"/>
      <w:color w:val="000000"/>
      <w:kern w:val="0"/>
      <w:sz w:val="28"/>
      <w:szCs w:val="28"/>
    </w:rPr>
  </w:style>
  <w:style w:type="paragraph" w:customStyle="1" w:styleId="1285">
    <w:name w:val="样式 正文（首行缩进两字） + 宋体 小四 加粗 首行缩进:  0.85 厘米 行距: 固定值 24 磅"/>
    <w:basedOn w:val="2"/>
    <w:qFormat/>
    <w:uiPriority w:val="0"/>
    <w:pPr>
      <w:adjustRightInd w:val="0"/>
      <w:spacing w:line="480" w:lineRule="exact"/>
      <w:ind w:firstLine="482"/>
      <w:textAlignment w:val="baseline"/>
    </w:pPr>
    <w:rPr>
      <w:rFonts w:ascii="FLGPEK+TimesNewRoman,Italic" w:hAnsi="FLGPEK+TimesNewRoman,Italic" w:eastAsia="FLGPEK+TimesNewRoman,Italic" w:cs="Batang"/>
      <w:bCs/>
      <w:color w:val="000000"/>
      <w:kern w:val="24"/>
      <w:sz w:val="24"/>
    </w:rPr>
  </w:style>
  <w:style w:type="paragraph" w:customStyle="1" w:styleId="1286">
    <w:name w:val="样式 标题 3 + 段前: 0.5 行"/>
    <w:basedOn w:val="6"/>
    <w:qFormat/>
    <w:uiPriority w:val="0"/>
    <w:pPr>
      <w:keepNext w:val="0"/>
      <w:keepLines w:val="0"/>
      <w:spacing w:before="0" w:after="0" w:line="240" w:lineRule="exact"/>
      <w:jc w:val="center"/>
      <w:outlineLvl w:val="9"/>
    </w:pPr>
    <w:rPr>
      <w:rFonts w:ascii="ˎ̥" w:hAnsi="ˎ̥" w:eastAsia="FLGPEK+TimesNewRoman,Italic" w:cs="ˎ̥"/>
      <w:b w:val="0"/>
      <w:color w:val="000000"/>
      <w:kern w:val="24"/>
      <w:sz w:val="21"/>
      <w:szCs w:val="20"/>
    </w:rPr>
  </w:style>
  <w:style w:type="paragraph" w:customStyle="1" w:styleId="1287">
    <w:name w:val="样式 四号 行距: 固定值 25 磅"/>
    <w:basedOn w:val="1"/>
    <w:qFormat/>
    <w:uiPriority w:val="0"/>
    <w:pPr>
      <w:spacing w:line="480" w:lineRule="atLeast"/>
      <w:ind w:firstLine="200"/>
    </w:pPr>
    <w:rPr>
      <w:rFonts w:ascii="ˎ̥" w:hAnsi="ˎ̥" w:eastAsia="FLGPEK+TimesNewRoman,Italic" w:cs="ˎ̥"/>
      <w:bCs/>
      <w:color w:val="000000"/>
      <w:kern w:val="24"/>
      <w:szCs w:val="20"/>
    </w:rPr>
  </w:style>
  <w:style w:type="paragraph" w:customStyle="1" w:styleId="1288">
    <w:name w:val="样式 热电厂正文 + 首行缩进:  2 字符"/>
    <w:basedOn w:val="1"/>
    <w:qFormat/>
    <w:uiPriority w:val="0"/>
    <w:pPr>
      <w:spacing w:line="480" w:lineRule="exact"/>
      <w:ind w:firstLine="480"/>
    </w:pPr>
    <w:rPr>
      <w:rFonts w:ascii="ˎ̥" w:hAnsi="ˎ̥" w:eastAsia="FLGPEK+TimesNewRoman,Italic" w:cs="ˎ̥"/>
      <w:bCs/>
      <w:color w:val="000000"/>
      <w:kern w:val="24"/>
      <w:szCs w:val="20"/>
    </w:rPr>
  </w:style>
  <w:style w:type="paragraph" w:customStyle="1" w:styleId="1289">
    <w:name w:val="Char1 Char Char Char1"/>
    <w:basedOn w:val="1"/>
    <w:qFormat/>
    <w:uiPriority w:val="0"/>
    <w:pPr>
      <w:snapToGrid w:val="0"/>
      <w:ind w:firstLine="529"/>
    </w:pPr>
    <w:rPr>
      <w:rFonts w:ascii="FLGPEK+TimesNewRoman,Italic" w:hAnsi="FLGPEK+TimesNewRoman,Italic" w:eastAsia="FLGPEK+TimesNewRoman,Italic" w:cs="ˎ̥"/>
      <w:b/>
      <w:bCs/>
      <w:color w:val="000000"/>
      <w:kern w:val="24"/>
      <w:szCs w:val="20"/>
    </w:rPr>
  </w:style>
  <w:style w:type="paragraph" w:customStyle="1" w:styleId="1290">
    <w:name w:val="TOC 标题2"/>
    <w:basedOn w:val="4"/>
    <w:next w:val="1"/>
    <w:qFormat/>
    <w:uiPriority w:val="39"/>
    <w:pPr>
      <w:keepLines/>
      <w:widowControl/>
      <w:overflowPunct/>
      <w:snapToGrid/>
      <w:spacing w:before="480" w:after="0" w:line="276" w:lineRule="auto"/>
      <w:ind w:left="0" w:firstLine="0"/>
      <w:outlineLvl w:val="9"/>
    </w:pPr>
    <w:rPr>
      <w:rFonts w:ascii="Sim Sun" w:hAnsi="Sim Sun" w:eastAsia="FLGPEK+TimesNewRoman,Italic" w:cs="ˎ̥"/>
      <w:color w:val="365F91"/>
      <w:kern w:val="2"/>
      <w:sz w:val="28"/>
      <w:szCs w:val="20"/>
    </w:rPr>
  </w:style>
  <w:style w:type="paragraph" w:customStyle="1" w:styleId="1291">
    <w:name w:val="表格内容居中"/>
    <w:qFormat/>
    <w:uiPriority w:val="0"/>
    <w:pPr>
      <w:adjustRightInd w:val="0"/>
      <w:snapToGrid w:val="0"/>
      <w:jc w:val="center"/>
    </w:pPr>
    <w:rPr>
      <w:rFonts w:ascii="ˎ̥" w:hAnsi="ˎ̥" w:eastAsia="FLGPEK+TimesNewRoman,Italic" w:cs="ˎ̥"/>
      <w:bCs/>
      <w:snapToGrid w:val="0"/>
      <w:color w:val="000000"/>
      <w:sz w:val="21"/>
      <w:szCs w:val="24"/>
      <w:lang w:val="en-US" w:eastAsia="zh-CN" w:bidi="ar-SA"/>
    </w:rPr>
  </w:style>
  <w:style w:type="paragraph" w:customStyle="1" w:styleId="1292">
    <w:name w:val="样式 标题 2 + 段前: 1 行"/>
    <w:basedOn w:val="5"/>
    <w:qFormat/>
    <w:uiPriority w:val="0"/>
    <w:pPr>
      <w:adjustRightInd w:val="0"/>
      <w:snapToGrid w:val="0"/>
      <w:spacing w:before="320" w:after="160" w:line="360" w:lineRule="auto"/>
      <w:ind w:firstLine="567"/>
      <w:textAlignment w:val="baseline"/>
    </w:pPr>
    <w:rPr>
      <w:rFonts w:ascii="FLGPEK+TimesNewRoman,Italic" w:hAnsi="ˎ̥" w:eastAsia="FLGPEK+TimesNewRoman,Italic" w:cs="FLGPEK+TimesNewRoman,Italic"/>
      <w:color w:val="000000"/>
      <w:kern w:val="0"/>
      <w:sz w:val="28"/>
      <w:szCs w:val="20"/>
    </w:rPr>
  </w:style>
  <w:style w:type="paragraph" w:customStyle="1" w:styleId="1293">
    <w:name w:val="样式 标题 1 + 首行缩进:  0 厘米"/>
    <w:basedOn w:val="4"/>
    <w:qFormat/>
    <w:uiPriority w:val="0"/>
    <w:pPr>
      <w:keepLines/>
      <w:overflowPunct/>
      <w:adjustRightInd w:val="0"/>
      <w:spacing w:before="400" w:after="200" w:line="360" w:lineRule="auto"/>
      <w:ind w:left="0" w:firstLine="567"/>
      <w:textAlignment w:val="baseline"/>
    </w:pPr>
    <w:rPr>
      <w:rFonts w:ascii="ˎ̥" w:hAnsi="ˎ̥" w:eastAsia="FLGPEK+TimesNewRoman,Italic" w:cs="FLGPEK+TimesNewRoman,Italic"/>
      <w:sz w:val="32"/>
      <w:szCs w:val="20"/>
    </w:rPr>
  </w:style>
  <w:style w:type="paragraph" w:customStyle="1" w:styleId="1294">
    <w:name w:val="样式 标题 3 + 首行缩进:  0 厘米"/>
    <w:basedOn w:val="6"/>
    <w:qFormat/>
    <w:uiPriority w:val="0"/>
    <w:pPr>
      <w:adjustRightInd w:val="0"/>
      <w:snapToGrid w:val="0"/>
      <w:spacing w:before="240" w:after="120" w:line="360" w:lineRule="auto"/>
      <w:ind w:firstLine="567"/>
      <w:textAlignment w:val="baseline"/>
    </w:pPr>
    <w:rPr>
      <w:rFonts w:ascii="ˎ̥" w:hAnsi="ˎ̥" w:eastAsia="FLGPEK+TimesNewRoman,Italic" w:cs="FLGPEK+TimesNewRoman,Italic"/>
      <w:bCs w:val="0"/>
      <w:color w:val="000000"/>
      <w:kern w:val="0"/>
      <w:sz w:val="24"/>
      <w:szCs w:val="20"/>
    </w:rPr>
  </w:style>
  <w:style w:type="paragraph" w:customStyle="1" w:styleId="1295">
    <w:name w:val="表文2"/>
    <w:basedOn w:val="1"/>
    <w:qFormat/>
    <w:uiPriority w:val="0"/>
    <w:pPr>
      <w:widowControl/>
      <w:spacing w:line="360" w:lineRule="exact"/>
      <w:ind w:firstLine="200"/>
      <w:jc w:val="center"/>
    </w:pPr>
    <w:rPr>
      <w:rFonts w:ascii="ˎ̥" w:hAnsi="ˎ̥" w:cs="Vladimir Script"/>
      <w:bCs/>
      <w:color w:val="000000"/>
      <w:kern w:val="24"/>
      <w:szCs w:val="20"/>
    </w:rPr>
  </w:style>
  <w:style w:type="paragraph" w:styleId="1296">
    <w:name w:val="List Paragraph"/>
    <w:basedOn w:val="1"/>
    <w:qFormat/>
    <w:uiPriority w:val="99"/>
    <w:pPr>
      <w:ind w:firstLine="420"/>
    </w:pPr>
    <w:rPr>
      <w:rFonts w:ascii="宋体" w:hAnsi="宋体" w:eastAsia="FLGPEK+TimesNewRoman,Italic" w:cs="ˎ̥"/>
      <w:bCs/>
      <w:color w:val="000000"/>
      <w:kern w:val="24"/>
      <w:szCs w:val="22"/>
    </w:rPr>
  </w:style>
  <w:style w:type="paragraph" w:customStyle="1" w:styleId="1297">
    <w:name w:val="样式 小四 行距: 1.5 倍行距"/>
    <w:basedOn w:val="1"/>
    <w:qFormat/>
    <w:uiPriority w:val="0"/>
    <w:pPr>
      <w:ind w:firstLine="200"/>
    </w:pPr>
    <w:rPr>
      <w:rFonts w:ascii="ˎ̥" w:hAnsi="ˎ̥" w:eastAsia="FLGPEK+TimesNewRoman,Italic" w:cs="ˎ̥"/>
      <w:bCs/>
      <w:color w:val="000000"/>
      <w:kern w:val="24"/>
    </w:rPr>
  </w:style>
  <w:style w:type="paragraph" w:customStyle="1" w:styleId="1298">
    <w:name w:val="海港文字"/>
    <w:basedOn w:val="28"/>
    <w:qFormat/>
    <w:uiPriority w:val="0"/>
    <w:pPr>
      <w:widowControl w:val="0"/>
      <w:snapToGrid/>
      <w:spacing w:before="0" w:after="0" w:line="360" w:lineRule="auto"/>
      <w:ind w:right="0" w:firstLine="480"/>
    </w:pPr>
    <w:rPr>
      <w:rFonts w:ascii="Sim Sun" w:hAnsi="Sim Sun" w:eastAsia="Vladimir Script" w:cs="Vladimir Script"/>
      <w:bCs/>
      <w:color w:val="000000"/>
      <w:sz w:val="24"/>
    </w:rPr>
  </w:style>
  <w:style w:type="paragraph" w:customStyle="1" w:styleId="1299">
    <w:name w:val="CM126"/>
    <w:basedOn w:val="1"/>
    <w:next w:val="1"/>
    <w:qFormat/>
    <w:uiPriority w:val="0"/>
    <w:pPr>
      <w:autoSpaceDE w:val="0"/>
      <w:autoSpaceDN w:val="0"/>
      <w:adjustRightInd w:val="0"/>
      <w:spacing w:after="310"/>
    </w:pPr>
    <w:rPr>
      <w:rFonts w:ascii="FLGPEK+TimesNewRoman,Italic" w:hAnsi="ˎ̥" w:eastAsia="FLGPEK+TimesNewRoman,Italic" w:cs="ˎ̥"/>
      <w:bCs/>
      <w:color w:val="000000"/>
      <w:kern w:val="0"/>
    </w:rPr>
  </w:style>
  <w:style w:type="paragraph" w:customStyle="1" w:styleId="1300">
    <w:name w:val="样式 标题 4 + 行距: 1.5 倍行距"/>
    <w:basedOn w:val="3"/>
    <w:qFormat/>
    <w:uiPriority w:val="0"/>
    <w:pPr>
      <w:spacing w:line="360" w:lineRule="auto"/>
    </w:pPr>
    <w:rPr>
      <w:rFonts w:ascii="宋体" w:hAnsi="宋体" w:eastAsia="宋体-方正超大字符集" w:cs="宋体"/>
      <w:bCs w:val="0"/>
      <w:color w:val="000000"/>
      <w:kern w:val="24"/>
      <w:sz w:val="24"/>
      <w:szCs w:val="20"/>
    </w:rPr>
  </w:style>
  <w:style w:type="paragraph" w:customStyle="1" w:styleId="1301">
    <w:name w:val="5 Char Char Char Char"/>
    <w:basedOn w:val="1"/>
    <w:qFormat/>
    <w:uiPriority w:val="0"/>
    <w:rPr>
      <w:rFonts w:ascii="ˎ̥" w:hAnsi="ˎ̥" w:eastAsia="FLGPEK+TimesNewRoman,Italic" w:cs="ˎ̥"/>
      <w:bCs/>
      <w:color w:val="000000"/>
      <w:kern w:val="24"/>
    </w:rPr>
  </w:style>
  <w:style w:type="paragraph" w:customStyle="1" w:styleId="1302">
    <w:name w:val="表内文字小"/>
    <w:basedOn w:val="1"/>
    <w:qFormat/>
    <w:uiPriority w:val="0"/>
    <w:pPr>
      <w:adjustRightInd w:val="0"/>
      <w:snapToGrid w:val="0"/>
      <w:spacing w:line="440" w:lineRule="exact"/>
      <w:ind w:left="-25" w:firstLine="200"/>
      <w:jc w:val="center"/>
    </w:pPr>
    <w:rPr>
      <w:rFonts w:ascii="Arial Unicode MS" w:hAnsi="Arial Unicode MS" w:cs="Vladimir Script"/>
      <w:bCs/>
      <w:color w:val="000000"/>
      <w:kern w:val="24"/>
      <w:sz w:val="18"/>
      <w:szCs w:val="18"/>
    </w:rPr>
  </w:style>
  <w:style w:type="paragraph" w:customStyle="1" w:styleId="1303">
    <w:name w:val="列表项目符号1.缩2"/>
    <w:basedOn w:val="1270"/>
    <w:qFormat/>
    <w:uiPriority w:val="0"/>
    <w:pPr>
      <w:tabs>
        <w:tab w:val="left" w:pos="945"/>
      </w:tabs>
      <w:spacing w:line="360" w:lineRule="auto"/>
      <w:ind w:left="0" w:firstLine="425"/>
    </w:pPr>
    <w:rPr>
      <w:szCs w:val="24"/>
    </w:rPr>
  </w:style>
  <w:style w:type="paragraph" w:customStyle="1" w:styleId="1304">
    <w:name w:val="3 级样式"/>
    <w:basedOn w:val="6"/>
    <w:qFormat/>
    <w:uiPriority w:val="0"/>
    <w:pPr>
      <w:tabs>
        <w:tab w:val="left" w:pos="425"/>
      </w:tabs>
      <w:spacing w:beforeLines="20" w:afterLines="30" w:line="360" w:lineRule="auto"/>
      <w:ind w:left="425" w:hanging="425"/>
    </w:pPr>
    <w:rPr>
      <w:rFonts w:ascii="Sim Sun" w:hAnsi="Sim Sun" w:eastAsia="仿宋体" w:cs="Sim Sun"/>
      <w:b w:val="0"/>
      <w:bCs w:val="0"/>
      <w:color w:val="000000"/>
      <w:kern w:val="28"/>
      <w:sz w:val="28"/>
      <w:szCs w:val="28"/>
    </w:rPr>
  </w:style>
  <w:style w:type="paragraph" w:customStyle="1" w:styleId="1305">
    <w:name w:val="Char Char Char Char Char Char Char Char Char Char Char Char Char Char Char Char"/>
    <w:basedOn w:val="6"/>
    <w:qFormat/>
    <w:uiPriority w:val="0"/>
    <w:pPr>
      <w:tabs>
        <w:tab w:val="left" w:pos="360"/>
        <w:tab w:val="left" w:pos="900"/>
      </w:tabs>
      <w:snapToGrid w:val="0"/>
      <w:spacing w:before="120" w:after="120" w:line="360" w:lineRule="auto"/>
      <w:ind w:left="542" w:leftChars="-12" w:firstLine="200"/>
    </w:pPr>
    <w:rPr>
      <w:rFonts w:ascii="ˎ̥" w:hAnsi="ˎ̥" w:eastAsia="@幼圆" w:cs="ˎ̥"/>
      <w:b w:val="0"/>
      <w:snapToGrid w:val="0"/>
      <w:color w:val="000000"/>
      <w:kern w:val="24"/>
      <w:sz w:val="24"/>
      <w:szCs w:val="24"/>
    </w:rPr>
  </w:style>
  <w:style w:type="paragraph" w:customStyle="1" w:styleId="1306">
    <w:name w:val="样式 表格标题 + 段前: 0.5 行1"/>
    <w:basedOn w:val="1"/>
    <w:qFormat/>
    <w:uiPriority w:val="0"/>
    <w:pPr>
      <w:autoSpaceDE w:val="0"/>
      <w:autoSpaceDN w:val="0"/>
      <w:adjustRightInd w:val="0"/>
      <w:spacing w:beforeLines="50" w:line="400" w:lineRule="exact"/>
      <w:jc w:val="center"/>
    </w:pPr>
    <w:rPr>
      <w:rFonts w:ascii="@幼圆" w:hAnsi="ˎ̥" w:eastAsia="@幼圆" w:cs="FLGPEK+TimesNewRoman,Italic"/>
      <w:color w:val="000000"/>
      <w:kern w:val="24"/>
      <w:szCs w:val="20"/>
      <w:lang w:val="zh-CN"/>
    </w:rPr>
  </w:style>
  <w:style w:type="paragraph" w:customStyle="1" w:styleId="1307">
    <w:name w:val="样式 标题 3 + 行距: 固定值 28 磅"/>
    <w:basedOn w:val="6"/>
    <w:qFormat/>
    <w:uiPriority w:val="0"/>
    <w:pPr>
      <w:keepLines w:val="0"/>
      <w:adjustRightInd w:val="0"/>
      <w:spacing w:before="120" w:after="120" w:line="440" w:lineRule="exact"/>
    </w:pPr>
    <w:rPr>
      <w:rFonts w:eastAsia="黑体" w:cs="宋体"/>
      <w:bCs w:val="0"/>
      <w:color w:val="000000"/>
      <w:kern w:val="24"/>
      <w:sz w:val="24"/>
      <w:szCs w:val="20"/>
    </w:rPr>
  </w:style>
  <w:style w:type="paragraph" w:customStyle="1" w:styleId="1308">
    <w:name w:val="样式 标题 3头标题3H3h33rd level第二层条标题 3 Char小标题小节标题标题 3 Char ...1"/>
    <w:basedOn w:val="6"/>
    <w:qFormat/>
    <w:uiPriority w:val="0"/>
    <w:pPr>
      <w:tabs>
        <w:tab w:val="left" w:pos="1740"/>
      </w:tabs>
      <w:spacing w:before="240" w:after="240" w:line="240" w:lineRule="exact"/>
      <w:ind w:left="1740" w:hanging="420"/>
    </w:pPr>
    <w:rPr>
      <w:rFonts w:ascii="Sim Sun" w:hAnsi="Sim Sun" w:eastAsia="Garamond" w:cs="Vladimir Script"/>
      <w:bCs w:val="0"/>
      <w:color w:val="000000"/>
      <w:kern w:val="0"/>
      <w:sz w:val="30"/>
    </w:rPr>
  </w:style>
  <w:style w:type="paragraph" w:customStyle="1" w:styleId="1309">
    <w:name w:val="Document Label"/>
    <w:basedOn w:val="1"/>
    <w:next w:val="1"/>
    <w:qFormat/>
    <w:uiPriority w:val="0"/>
    <w:pPr>
      <w:widowControl/>
      <w:spacing w:after="220" w:line="440" w:lineRule="exact"/>
      <w:ind w:right="-360" w:firstLine="200"/>
    </w:pPr>
    <w:rPr>
      <w:rFonts w:ascii="Arial Unicode MS" w:hAnsi="Arial Unicode MS" w:cs="Vladimir Script"/>
      <w:bCs/>
      <w:color w:val="000000"/>
      <w:spacing w:val="-20"/>
      <w:kern w:val="0"/>
      <w:sz w:val="48"/>
      <w:szCs w:val="20"/>
    </w:rPr>
  </w:style>
  <w:style w:type="paragraph" w:customStyle="1" w:styleId="1310">
    <w:name w:val="待定小"/>
    <w:basedOn w:val="1302"/>
    <w:qFormat/>
    <w:uiPriority w:val="0"/>
    <w:rPr>
      <w:rFonts w:ascii="Sim Sun"/>
      <w:color w:val="0000FF"/>
      <w:sz w:val="21"/>
      <w:szCs w:val="20"/>
    </w:rPr>
  </w:style>
  <w:style w:type="paragraph" w:customStyle="1" w:styleId="1311">
    <w:name w:val="Char Char Char Char4"/>
    <w:basedOn w:val="1"/>
    <w:qFormat/>
    <w:uiPriority w:val="0"/>
    <w:pPr>
      <w:ind w:firstLine="600"/>
    </w:pPr>
  </w:style>
  <w:style w:type="paragraph" w:customStyle="1" w:styleId="1312">
    <w:name w:val="自定义缩进"/>
    <w:basedOn w:val="1"/>
    <w:qFormat/>
    <w:uiPriority w:val="0"/>
    <w:pPr>
      <w:keepNext/>
      <w:spacing w:line="336" w:lineRule="auto"/>
      <w:ind w:firstLine="480"/>
    </w:pPr>
    <w:rPr>
      <w:rFonts w:ascii="Sim Sun" w:hAnsi="Sim Sun" w:cs="Vladimir Script"/>
      <w:bCs/>
      <w:color w:val="000000"/>
      <w:kern w:val="0"/>
      <w:szCs w:val="20"/>
    </w:rPr>
  </w:style>
  <w:style w:type="paragraph" w:customStyle="1" w:styleId="1313">
    <w:name w:val="Char Char Char1 Char"/>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314">
    <w:name w:val="Char Char Char Char Char Char3"/>
    <w:basedOn w:val="1"/>
    <w:qFormat/>
    <w:uiPriority w:val="0"/>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1315">
    <w:name w:val="索引 21"/>
    <w:basedOn w:val="1"/>
    <w:next w:val="1"/>
    <w:qFormat/>
    <w:uiPriority w:val="0"/>
    <w:pPr>
      <w:spacing w:line="440" w:lineRule="exact"/>
      <w:ind w:left="500" w:hanging="250"/>
    </w:pPr>
    <w:rPr>
      <w:rFonts w:ascii="ˎ̥" w:hAnsi="ˎ̥" w:eastAsia="仿宋体" w:cs="ˎ̥"/>
      <w:bCs/>
      <w:color w:val="000000"/>
      <w:spacing w:val="5"/>
      <w:kern w:val="24"/>
      <w:sz w:val="20"/>
      <w:szCs w:val="20"/>
    </w:rPr>
  </w:style>
  <w:style w:type="paragraph" w:customStyle="1" w:styleId="1316">
    <w:name w:val="样式 标题 4标题 4 Char标题 4（修改） + 左 段前: 0.5 行 段后: 0.2 行 行距: 多倍行距 1..."/>
    <w:basedOn w:val="3"/>
    <w:qFormat/>
    <w:uiPriority w:val="0"/>
    <w:pPr>
      <w:tabs>
        <w:tab w:val="left" w:pos="864"/>
      </w:tabs>
      <w:spacing w:beforeLines="50" w:afterLines="20" w:line="264" w:lineRule="auto"/>
      <w:ind w:left="864" w:hanging="864"/>
    </w:pPr>
    <w:rPr>
      <w:rFonts w:ascii="Arial Unicode MS" w:hAnsi="Arial Unicode MS" w:eastAsia="DFKai-SB" w:cs="Vladimir Script"/>
      <w:b w:val="0"/>
      <w:color w:val="000000"/>
      <w:kern w:val="24"/>
      <w:sz w:val="24"/>
      <w:szCs w:val="20"/>
    </w:rPr>
  </w:style>
  <w:style w:type="paragraph" w:customStyle="1" w:styleId="1317">
    <w:name w:val="Institution"/>
    <w:basedOn w:val="1"/>
    <w:next w:val="796"/>
    <w:qFormat/>
    <w:uiPriority w:val="0"/>
    <w:pPr>
      <w:widowControl/>
      <w:tabs>
        <w:tab w:val="left" w:pos="2160"/>
        <w:tab w:val="right" w:pos="6480"/>
      </w:tabs>
      <w:spacing w:before="220" w:after="60" w:line="220" w:lineRule="atLeast"/>
      <w:ind w:right="-360" w:firstLine="200"/>
    </w:pPr>
    <w:rPr>
      <w:rFonts w:ascii="Arial Unicode MS" w:hAnsi="Arial Unicode MS" w:cs="Vladimir Script"/>
      <w:bCs/>
      <w:color w:val="000000"/>
      <w:kern w:val="0"/>
      <w:sz w:val="20"/>
      <w:szCs w:val="20"/>
    </w:rPr>
  </w:style>
  <w:style w:type="paragraph" w:customStyle="1" w:styleId="1318">
    <w:name w:val="样式 标题 1一、 + (中文) 仿宋_GB2312 段前: 6 磅"/>
    <w:basedOn w:val="4"/>
    <w:qFormat/>
    <w:uiPriority w:val="0"/>
    <w:pPr>
      <w:keepLines/>
      <w:tabs>
        <w:tab w:val="left" w:pos="845"/>
      </w:tabs>
      <w:overflowPunct/>
      <w:adjustRightInd w:val="0"/>
      <w:spacing w:before="240" w:after="240" w:line="440" w:lineRule="exact"/>
      <w:ind w:left="845" w:hanging="420"/>
      <w:textAlignment w:val="baseline"/>
    </w:pPr>
    <w:rPr>
      <w:rFonts w:ascii="Arial Unicode MS" w:hAnsi="Arial Unicode MS" w:eastAsia="Garamond" w:cs="Vladimir Script"/>
      <w:szCs w:val="20"/>
    </w:rPr>
  </w:style>
  <w:style w:type="paragraph" w:customStyle="1" w:styleId="1319">
    <w:name w:val="Char21"/>
    <w:basedOn w:val="1"/>
    <w:qFormat/>
    <w:uiPriority w:val="0"/>
    <w:pPr>
      <w:spacing w:line="440" w:lineRule="exact"/>
      <w:ind w:firstLine="200"/>
    </w:pPr>
    <w:rPr>
      <w:rFonts w:ascii="Sim Sun" w:hAnsi="Sim Sun" w:cs="DFKai-SB"/>
      <w:bCs/>
      <w:color w:val="000000"/>
      <w:kern w:val="24"/>
      <w:sz w:val="32"/>
      <w:szCs w:val="32"/>
    </w:rPr>
  </w:style>
  <w:style w:type="paragraph" w:customStyle="1" w:styleId="1320">
    <w:name w:val="表文字"/>
    <w:basedOn w:val="1"/>
    <w:qFormat/>
    <w:uiPriority w:val="0"/>
    <w:pPr>
      <w:adjustRightInd w:val="0"/>
      <w:snapToGrid w:val="0"/>
      <w:spacing w:line="440" w:lineRule="exact"/>
      <w:ind w:firstLine="200"/>
      <w:jc w:val="center"/>
    </w:pPr>
    <w:rPr>
      <w:rFonts w:ascii="ˎ̥" w:hAnsi="ˎ̥" w:cs="ˎ̥"/>
      <w:bCs/>
      <w:color w:val="000000"/>
      <w:kern w:val="24"/>
    </w:rPr>
  </w:style>
  <w:style w:type="paragraph" w:customStyle="1" w:styleId="1321">
    <w:name w:val="Char Char1 Char Char1 Char Char1 Char Char1 Char Char Char Char Char Char Char"/>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322">
    <w:name w:val="插图1"/>
    <w:basedOn w:val="1"/>
    <w:qFormat/>
    <w:uiPriority w:val="0"/>
    <w:pPr>
      <w:adjustRightInd w:val="0"/>
      <w:spacing w:before="120" w:after="120" w:line="440" w:lineRule="exact"/>
      <w:ind w:firstLine="200"/>
    </w:pPr>
    <w:rPr>
      <w:rFonts w:ascii="Arial Unicode MS" w:hAnsi="Arial Unicode MS" w:cs="Vladimir Script"/>
      <w:bCs/>
      <w:color w:val="000000"/>
      <w:kern w:val="0"/>
      <w:szCs w:val="28"/>
    </w:rPr>
  </w:style>
  <w:style w:type="paragraph" w:customStyle="1" w:styleId="1323">
    <w:name w:val="插图"/>
    <w:basedOn w:val="1"/>
    <w:qFormat/>
    <w:uiPriority w:val="0"/>
    <w:pPr>
      <w:spacing w:line="440" w:lineRule="exact"/>
      <w:ind w:firstLine="200"/>
    </w:pPr>
    <w:rPr>
      <w:rFonts w:ascii="Arial Unicode MS" w:hAnsi="Arial Unicode MS" w:cs="Vladimir Script"/>
      <w:bCs/>
      <w:color w:val="000000"/>
      <w:kern w:val="24"/>
    </w:rPr>
  </w:style>
  <w:style w:type="paragraph" w:customStyle="1" w:styleId="1324">
    <w:name w:val="说明-正文"/>
    <w:basedOn w:val="1"/>
    <w:qFormat/>
    <w:uiPriority w:val="0"/>
    <w:pPr>
      <w:autoSpaceDN w:val="0"/>
      <w:adjustRightInd w:val="0"/>
      <w:snapToGrid w:val="0"/>
      <w:ind w:firstLine="480"/>
    </w:pPr>
    <w:rPr>
      <w:rFonts w:ascii="Arial Unicode MS" w:hAnsi="Arial Unicode MS" w:cs="Vladimir Script"/>
      <w:bCs/>
      <w:color w:val="000000"/>
      <w:kern w:val="0"/>
      <w:szCs w:val="20"/>
    </w:rPr>
  </w:style>
  <w:style w:type="paragraph" w:customStyle="1" w:styleId="1325">
    <w:name w:val="Char Char Char Char Char1"/>
    <w:basedOn w:val="1"/>
    <w:qFormat/>
    <w:uiPriority w:val="0"/>
    <w:rPr>
      <w:rFonts w:ascii="Batang" w:hAnsi="Batang" w:cs="Batang"/>
      <w:bCs/>
      <w:color w:val="000000"/>
      <w:kern w:val="24"/>
    </w:rPr>
  </w:style>
  <w:style w:type="paragraph" w:customStyle="1" w:styleId="1326">
    <w:name w:val="样式 标题 3 + Times New Roman 四号 加粗"/>
    <w:basedOn w:val="6"/>
    <w:qFormat/>
    <w:uiPriority w:val="0"/>
    <w:pPr>
      <w:adjustRightInd w:val="0"/>
      <w:snapToGrid w:val="0"/>
      <w:spacing w:before="0" w:after="0" w:line="320" w:lineRule="atLeast"/>
      <w:ind w:firstLine="200"/>
    </w:pPr>
    <w:rPr>
      <w:rFonts w:ascii="Sim Sun" w:hAnsi="Sim Sun" w:eastAsia="宋体-方正超大字符集" w:cs="Vladimir Script"/>
      <w:bCs w:val="0"/>
      <w:color w:val="000000"/>
      <w:kern w:val="0"/>
      <w:sz w:val="28"/>
      <w:szCs w:val="28"/>
    </w:rPr>
  </w:style>
  <w:style w:type="paragraph" w:customStyle="1" w:styleId="1327">
    <w:name w:val="样式 样式 蓝色 首行缩进:  1 厘米 行距: 固定值 25 磅 + 首行缩进:  2 字符"/>
    <w:basedOn w:val="1"/>
    <w:qFormat/>
    <w:uiPriority w:val="0"/>
    <w:pPr>
      <w:spacing w:line="500" w:lineRule="exact"/>
      <w:ind w:firstLine="560"/>
    </w:pPr>
    <w:rPr>
      <w:rFonts w:ascii="Arial Unicode MS" w:hAnsi="Arial Unicode MS" w:cs="Sim Sun"/>
      <w:bCs/>
      <w:color w:val="000000"/>
      <w:kern w:val="24"/>
      <w:sz w:val="28"/>
      <w:szCs w:val="20"/>
    </w:rPr>
  </w:style>
  <w:style w:type="paragraph" w:customStyle="1" w:styleId="1328">
    <w:name w:val="表标题4.4 行"/>
    <w:basedOn w:val="1"/>
    <w:qFormat/>
    <w:uiPriority w:val="0"/>
    <w:pPr>
      <w:tabs>
        <w:tab w:val="left" w:pos="1260"/>
        <w:tab w:val="left" w:pos="2723"/>
      </w:tabs>
      <w:spacing w:beforeLines="100" w:line="0" w:lineRule="atLeast"/>
      <w:ind w:left="1260" w:hanging="780"/>
      <w:jc w:val="center"/>
    </w:pPr>
    <w:rPr>
      <w:rFonts w:ascii="Arial Unicode MS" w:hAnsi="Arial Unicode MS" w:eastAsia="仿宋体" w:cs="Sim Sun"/>
      <w:b/>
      <w:color w:val="000000"/>
      <w:kern w:val="24"/>
      <w:szCs w:val="20"/>
    </w:rPr>
  </w:style>
  <w:style w:type="paragraph" w:customStyle="1" w:styleId="1329">
    <w:name w:val="Items"/>
    <w:basedOn w:val="1"/>
    <w:qFormat/>
    <w:uiPriority w:val="0"/>
    <w:pPr>
      <w:tabs>
        <w:tab w:val="left" w:pos="992"/>
        <w:tab w:val="left" w:pos="1553"/>
      </w:tabs>
      <w:spacing w:before="10" w:after="20" w:line="460" w:lineRule="atLeast"/>
      <w:ind w:left="992" w:hanging="425"/>
    </w:pPr>
    <w:rPr>
      <w:rFonts w:ascii="@幼圆" w:hAnsi="@幼圆" w:eastAsia="仿宋_GB2312" w:cs="Vladimir Script"/>
      <w:bCs/>
      <w:color w:val="000000"/>
      <w:kern w:val="24"/>
      <w:sz w:val="28"/>
      <w:szCs w:val="20"/>
    </w:rPr>
  </w:style>
  <w:style w:type="paragraph" w:customStyle="1" w:styleId="1330">
    <w:name w:val="图片"/>
    <w:basedOn w:val="29"/>
    <w:next w:val="1"/>
    <w:qFormat/>
    <w:uiPriority w:val="0"/>
    <w:pPr>
      <w:spacing w:after="0"/>
      <w:ind w:left="0" w:leftChars="0" w:firstLine="200"/>
    </w:pPr>
    <w:rPr>
      <w:rFonts w:ascii="仿宋体" w:hAnsi="Arial Unicode MS" w:eastAsia="仿宋体" w:cs="Vladimir Script"/>
      <w:b/>
      <w:bCs/>
      <w:color w:val="000000"/>
      <w:szCs w:val="24"/>
    </w:rPr>
  </w:style>
  <w:style w:type="paragraph" w:customStyle="1" w:styleId="1331">
    <w:name w:val="正文文本缩进11"/>
    <w:basedOn w:val="1"/>
    <w:qFormat/>
    <w:uiPriority w:val="0"/>
    <w:pPr>
      <w:spacing w:line="360" w:lineRule="exact"/>
      <w:ind w:firstLine="480"/>
    </w:pPr>
    <w:rPr>
      <w:rFonts w:ascii="Arial Unicode MS" w:hAnsi="Arial Unicode MS" w:cs="Vladimir Script"/>
      <w:bCs/>
      <w:color w:val="000000"/>
      <w:kern w:val="24"/>
      <w:szCs w:val="20"/>
    </w:rPr>
  </w:style>
  <w:style w:type="paragraph" w:customStyle="1" w:styleId="1332">
    <w:name w:val="列表 31"/>
    <w:basedOn w:val="1"/>
    <w:qFormat/>
    <w:uiPriority w:val="0"/>
    <w:pPr>
      <w:spacing w:line="480" w:lineRule="exact"/>
      <w:ind w:left="100" w:leftChars="400" w:hanging="200" w:hangingChars="200"/>
    </w:pPr>
    <w:rPr>
      <w:rFonts w:ascii="Arial Unicode MS" w:hAnsi="Arial Unicode MS" w:cs="Vladimir Script"/>
      <w:bCs/>
      <w:color w:val="000000"/>
      <w:kern w:val="24"/>
    </w:rPr>
  </w:style>
  <w:style w:type="paragraph" w:customStyle="1" w:styleId="1333">
    <w:name w:val="条文1"/>
    <w:basedOn w:val="1"/>
    <w:qFormat/>
    <w:uiPriority w:val="0"/>
    <w:pPr>
      <w:widowControl/>
      <w:autoSpaceDE w:val="0"/>
      <w:autoSpaceDN w:val="0"/>
      <w:adjustRightInd w:val="0"/>
      <w:spacing w:line="460" w:lineRule="exact"/>
      <w:ind w:left="907" w:hanging="425"/>
      <w:textAlignment w:val="bottom"/>
    </w:pPr>
    <w:rPr>
      <w:rFonts w:ascii="Sim Sun" w:hAnsi="幼圆" w:cs="Vladimir Script"/>
      <w:bCs/>
      <w:color w:val="000000"/>
      <w:spacing w:val="3"/>
      <w:kern w:val="24"/>
      <w:sz w:val="26"/>
      <w:szCs w:val="20"/>
    </w:rPr>
  </w:style>
  <w:style w:type="paragraph" w:customStyle="1" w:styleId="1334">
    <w:name w:val="索引 61"/>
    <w:basedOn w:val="1"/>
    <w:next w:val="1"/>
    <w:qFormat/>
    <w:uiPriority w:val="0"/>
    <w:pPr>
      <w:spacing w:line="440" w:lineRule="exact"/>
      <w:ind w:left="1260" w:hanging="210"/>
    </w:pPr>
    <w:rPr>
      <w:rFonts w:ascii="ˎ̥" w:hAnsi="ˎ̥" w:eastAsia="仿宋体" w:cs="ˎ̥"/>
      <w:bCs/>
      <w:color w:val="000000"/>
      <w:kern w:val="24"/>
      <w:szCs w:val="20"/>
    </w:rPr>
  </w:style>
  <w:style w:type="paragraph" w:customStyle="1" w:styleId="1335">
    <w:name w:val="Char Char Char Char Char Char11"/>
    <w:basedOn w:val="1"/>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1336">
    <w:name w:val="Heading Base"/>
    <w:basedOn w:val="28"/>
    <w:next w:val="28"/>
    <w:qFormat/>
    <w:uiPriority w:val="0"/>
    <w:pPr>
      <w:keepNext/>
      <w:keepLines/>
      <w:snapToGrid/>
      <w:spacing w:before="0" w:after="0" w:line="220" w:lineRule="atLeast"/>
      <w:ind w:right="-360" w:firstLine="200"/>
    </w:pPr>
    <w:rPr>
      <w:rFonts w:ascii="ˎ̥" w:hAnsi="ˎ̥" w:eastAsia="Vladimir Script" w:cs="Vladimir Script"/>
      <w:bCs/>
      <w:color w:val="000000"/>
      <w:spacing w:val="-4"/>
    </w:rPr>
  </w:style>
  <w:style w:type="paragraph" w:customStyle="1" w:styleId="1337">
    <w:name w:val="表格目录"/>
    <w:basedOn w:val="1"/>
    <w:next w:val="1"/>
    <w:qFormat/>
    <w:uiPriority w:val="0"/>
    <w:pPr>
      <w:widowControl/>
      <w:spacing w:line="440" w:lineRule="exact"/>
      <w:ind w:firstLine="200"/>
      <w:jc w:val="center"/>
    </w:pPr>
    <w:rPr>
      <w:rFonts w:ascii="Arial Unicode MS" w:hAnsi="Arial Unicode MS" w:cs="Vladimir Script"/>
      <w:b/>
      <w:bCs/>
      <w:color w:val="000000"/>
      <w:kern w:val="0"/>
      <w:sz w:val="22"/>
      <w:szCs w:val="20"/>
    </w:rPr>
  </w:style>
  <w:style w:type="paragraph" w:customStyle="1" w:styleId="1338">
    <w:name w:val="样式 正文首行缩进 + 首行缩进:  0 厘米"/>
    <w:basedOn w:val="253"/>
    <w:qFormat/>
    <w:uiPriority w:val="0"/>
    <w:pPr>
      <w:spacing w:after="0" w:line="240" w:lineRule="exact"/>
      <w:ind w:firstLine="0" w:firstLineChars="0"/>
    </w:pPr>
    <w:rPr>
      <w:rFonts w:ascii="Sim Sun" w:hAnsi="Sim Sun" w:cs="Sim Sun"/>
    </w:rPr>
  </w:style>
  <w:style w:type="paragraph" w:customStyle="1" w:styleId="1339">
    <w:name w:val="样式 正文文本缩进 2正文文字缩进 2 + 四号 蓝色 Char Char Char Char Char"/>
    <w:basedOn w:val="308"/>
    <w:qFormat/>
    <w:uiPriority w:val="0"/>
    <w:pPr>
      <w:autoSpaceDE/>
      <w:autoSpaceDN/>
      <w:spacing w:after="0" w:line="480" w:lineRule="exact"/>
      <w:ind w:left="0" w:leftChars="0" w:firstLine="709"/>
      <w:jc w:val="both"/>
      <w:textAlignment w:val="baseline"/>
    </w:pPr>
    <w:rPr>
      <w:rFonts w:ascii="Arial Unicode MS" w:hAnsi="Arial Unicode MS"/>
      <w:color w:val="0000FF"/>
    </w:rPr>
  </w:style>
  <w:style w:type="paragraph" w:customStyle="1" w:styleId="1340">
    <w:name w:val="样式 表格文字统一样式 + Arial 非加粗 自动设置 行距: 单倍行距"/>
    <w:basedOn w:val="264"/>
    <w:qFormat/>
    <w:uiPriority w:val="0"/>
    <w:pPr>
      <w:ind w:firstLine="405" w:firstLineChars="193"/>
      <w:jc w:val="both"/>
    </w:pPr>
    <w:rPr>
      <w:rFonts w:ascii="ˎ̥" w:hAnsi="ˎ̥"/>
    </w:rPr>
  </w:style>
  <w:style w:type="paragraph" w:customStyle="1" w:styleId="1341">
    <w:name w:val="样式 正文标准 + 首行缩进:  2 字符"/>
    <w:basedOn w:val="1"/>
    <w:qFormat/>
    <w:uiPriority w:val="0"/>
    <w:pPr>
      <w:tabs>
        <w:tab w:val="left" w:pos="547"/>
        <w:tab w:val="left" w:pos="1080"/>
      </w:tabs>
      <w:spacing w:line="440" w:lineRule="exact"/>
      <w:ind w:firstLine="560"/>
    </w:pPr>
    <w:rPr>
      <w:rFonts w:ascii="Arial Unicode MS" w:hAnsi="Arial Unicode MS" w:cs="Vladimir Script"/>
      <w:bCs/>
      <w:color w:val="000000"/>
      <w:kern w:val="24"/>
      <w:sz w:val="28"/>
      <w:szCs w:val="20"/>
    </w:rPr>
  </w:style>
  <w:style w:type="paragraph" w:customStyle="1" w:styleId="1342">
    <w:name w:val="正文居中"/>
    <w:basedOn w:val="1"/>
    <w:qFormat/>
    <w:uiPriority w:val="0"/>
    <w:pPr>
      <w:spacing w:line="400" w:lineRule="exact"/>
      <w:ind w:firstLine="200"/>
      <w:jc w:val="center"/>
    </w:pPr>
    <w:rPr>
      <w:rFonts w:ascii="Arial Unicode MS" w:hAnsi="Arial Unicode MS" w:cs="Vladimir Script"/>
      <w:bCs/>
      <w:color w:val="000000"/>
      <w:kern w:val="24"/>
      <w:szCs w:val="20"/>
    </w:rPr>
  </w:style>
  <w:style w:type="paragraph" w:customStyle="1" w:styleId="1343">
    <w:name w:val="reader-word-layer reader-word-s1-34"/>
    <w:basedOn w:val="1"/>
    <w:qFormat/>
    <w:uiPriority w:val="0"/>
    <w:pPr>
      <w:widowControl/>
      <w:spacing w:before="100" w:beforeAutospacing="1" w:after="100" w:afterAutospacing="1"/>
    </w:pPr>
    <w:rPr>
      <w:rFonts w:ascii="宋体" w:hAnsi="宋体" w:cs="宋体"/>
      <w:bCs/>
      <w:color w:val="000000"/>
      <w:kern w:val="0"/>
    </w:rPr>
  </w:style>
  <w:style w:type="paragraph" w:customStyle="1" w:styleId="1344">
    <w:name w:val="zxl正文首行缩进  2 字符 行距: Char"/>
    <w:basedOn w:val="1"/>
    <w:qFormat/>
    <w:uiPriority w:val="0"/>
    <w:pPr>
      <w:widowControl/>
      <w:tabs>
        <w:tab w:val="left" w:pos="-1843"/>
        <w:tab w:val="left" w:pos="1727"/>
        <w:tab w:val="left" w:pos="1884"/>
      </w:tabs>
      <w:spacing w:line="336" w:lineRule="auto"/>
      <w:ind w:firstLine="560"/>
      <w:outlineLvl w:val="0"/>
    </w:pPr>
    <w:rPr>
      <w:rFonts w:ascii="Sim Sun" w:hAnsi="Sim Sun" w:cs="Vladimir Script"/>
      <w:bCs/>
      <w:color w:val="000000"/>
      <w:kern w:val="24"/>
      <w:sz w:val="28"/>
      <w:szCs w:val="28"/>
    </w:rPr>
  </w:style>
  <w:style w:type="paragraph" w:customStyle="1" w:styleId="1345">
    <w:name w:val="样式 表格文字居中 + 行距: 单倍行距"/>
    <w:basedOn w:val="1"/>
    <w:qFormat/>
    <w:uiPriority w:val="0"/>
    <w:pPr>
      <w:keepNext/>
      <w:tabs>
        <w:tab w:val="left" w:pos="628"/>
        <w:tab w:val="left" w:pos="1727"/>
        <w:tab w:val="left" w:pos="1884"/>
      </w:tabs>
      <w:adjustRightInd w:val="0"/>
      <w:snapToGrid w:val="0"/>
      <w:spacing w:beforeLines="10" w:line="440" w:lineRule="exact"/>
      <w:ind w:firstLine="200"/>
      <w:jc w:val="center"/>
    </w:pPr>
    <w:rPr>
      <w:rFonts w:ascii="Sim Sun" w:hAnsi="Sim Sun" w:cs="Sim Sun"/>
      <w:bCs/>
      <w:color w:val="FF0000"/>
      <w:kern w:val="0"/>
      <w:szCs w:val="21"/>
    </w:rPr>
  </w:style>
  <w:style w:type="paragraph" w:customStyle="1" w:styleId="1346">
    <w:name w:val="样式 标题 1 + 宋体 小四 加粗 行距: 1.5 倍行距"/>
    <w:basedOn w:val="4"/>
    <w:qFormat/>
    <w:uiPriority w:val="0"/>
    <w:pPr>
      <w:overflowPunct/>
      <w:snapToGrid/>
      <w:spacing w:before="180" w:after="180" w:line="360" w:lineRule="auto"/>
      <w:ind w:left="0" w:firstLine="0"/>
    </w:pPr>
    <w:rPr>
      <w:rFonts w:ascii="黑体" w:cs="宋体"/>
      <w:kern w:val="2"/>
      <w:szCs w:val="28"/>
    </w:rPr>
  </w:style>
  <w:style w:type="paragraph" w:customStyle="1" w:styleId="1347">
    <w:name w:val="标题1样式"/>
    <w:basedOn w:val="4"/>
    <w:qFormat/>
    <w:uiPriority w:val="0"/>
    <w:pPr>
      <w:keepLines/>
      <w:overflowPunct/>
      <w:snapToGrid/>
      <w:spacing w:before="180" w:after="180" w:line="500" w:lineRule="exact"/>
      <w:ind w:left="0" w:firstLine="0"/>
    </w:pPr>
    <w:rPr>
      <w:rFonts w:ascii="黑体" w:eastAsia="宋体-方正超大字符集"/>
      <w:color w:val="0000FF"/>
      <w:kern w:val="2"/>
      <w:sz w:val="24"/>
    </w:rPr>
  </w:style>
  <w:style w:type="paragraph" w:customStyle="1" w:styleId="1348">
    <w:name w:val="样式 标题 2标题2H2h2第一层条 + 段前: 7.8 磅"/>
    <w:basedOn w:val="5"/>
    <w:qFormat/>
    <w:uiPriority w:val="0"/>
    <w:pPr>
      <w:keepNext w:val="0"/>
      <w:keepLines w:val="0"/>
      <w:adjustRightInd w:val="0"/>
      <w:spacing w:before="240" w:after="240" w:line="360" w:lineRule="exact"/>
      <w:ind w:left="578" w:hanging="578"/>
      <w:textAlignment w:val="baseline"/>
    </w:pPr>
    <w:rPr>
      <w:rFonts w:ascii="Arial Unicode MS" w:hAnsi="Arial Unicode MS" w:eastAsia="Garamond" w:cs="Vladimir Script"/>
      <w:color w:val="000000"/>
      <w:kern w:val="0"/>
      <w:sz w:val="24"/>
      <w:szCs w:val="20"/>
    </w:rPr>
  </w:style>
  <w:style w:type="paragraph" w:customStyle="1" w:styleId="1349">
    <w:name w:val="Char Char Char Char Char Char12"/>
    <w:basedOn w:val="1"/>
    <w:qFormat/>
    <w:uiPriority w:val="0"/>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1350">
    <w:name w:val="Company Name"/>
    <w:basedOn w:val="1"/>
    <w:next w:val="1"/>
    <w:qFormat/>
    <w:uiPriority w:val="0"/>
    <w:pPr>
      <w:widowControl/>
      <w:tabs>
        <w:tab w:val="left" w:pos="2160"/>
        <w:tab w:val="right" w:pos="6480"/>
      </w:tabs>
      <w:spacing w:before="220" w:after="40" w:line="220" w:lineRule="atLeast"/>
      <w:ind w:right="-360" w:firstLine="200"/>
    </w:pPr>
    <w:rPr>
      <w:rFonts w:ascii="Arial Unicode MS" w:hAnsi="Arial Unicode MS" w:cs="Vladimir Script"/>
      <w:bCs/>
      <w:color w:val="000000"/>
      <w:kern w:val="0"/>
      <w:sz w:val="20"/>
      <w:szCs w:val="20"/>
    </w:rPr>
  </w:style>
  <w:style w:type="paragraph" w:customStyle="1" w:styleId="1351">
    <w:name w:val="首页脚注"/>
    <w:qFormat/>
    <w:uiPriority w:val="0"/>
    <w:pPr>
      <w:keepLines/>
      <w:tabs>
        <w:tab w:val="center" w:pos="4320"/>
      </w:tabs>
      <w:overflowPunct w:val="0"/>
      <w:autoSpaceDE w:val="0"/>
      <w:autoSpaceDN w:val="0"/>
      <w:adjustRightInd w:val="0"/>
      <w:spacing w:line="360" w:lineRule="auto"/>
      <w:ind w:firstLine="200" w:firstLineChars="200"/>
      <w:jc w:val="center"/>
      <w:textAlignment w:val="baseline"/>
    </w:pPr>
    <w:rPr>
      <w:rFonts w:ascii="Times New Roman" w:hAnsi="Times New Roman" w:eastAsia="Sim Sun" w:cs="Vladimir Script"/>
      <w:bCs/>
      <w:color w:val="000000"/>
      <w:sz w:val="28"/>
      <w:lang w:val="en-US" w:eastAsia="zh-CN" w:bidi="ar-SA"/>
    </w:rPr>
  </w:style>
  <w:style w:type="paragraph" w:customStyle="1" w:styleId="1352">
    <w:name w:val="标题样式2"/>
    <w:basedOn w:val="5"/>
    <w:qFormat/>
    <w:uiPriority w:val="0"/>
    <w:pPr>
      <w:keepNext w:val="0"/>
      <w:keepLines w:val="0"/>
      <w:tabs>
        <w:tab w:val="left" w:pos="4142"/>
        <w:tab w:val="left" w:pos="6833"/>
        <w:tab w:val="left" w:pos="9287"/>
      </w:tabs>
      <w:overflowPunct w:val="0"/>
      <w:topLinePunct/>
      <w:autoSpaceDE w:val="0"/>
      <w:autoSpaceDN w:val="0"/>
      <w:adjustRightInd w:val="0"/>
      <w:snapToGrid w:val="0"/>
      <w:spacing w:beforeLines="5" w:afterLines="5" w:line="0" w:lineRule="atLeast"/>
      <w:ind w:firstLine="630" w:firstLineChars="300"/>
      <w:outlineLvl w:val="9"/>
    </w:pPr>
    <w:rPr>
      <w:rFonts w:ascii="Arial Unicode MS" w:hAnsi="Arial Unicode MS" w:eastAsia="宋体-方正超大字符集" w:cs="Vladimir Script"/>
      <w:b w:val="0"/>
      <w:bCs w:val="0"/>
      <w:color w:val="000000"/>
      <w:kern w:val="0"/>
      <w:sz w:val="21"/>
      <w:szCs w:val="20"/>
    </w:rPr>
  </w:style>
  <w:style w:type="paragraph" w:customStyle="1" w:styleId="1353">
    <w:name w:val="Char Char Char Char1"/>
    <w:basedOn w:val="1"/>
    <w:qFormat/>
    <w:uiPriority w:val="0"/>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1354">
    <w:name w:val="样式 表格文字居中 + 左 首行缩进:  0 厘米"/>
    <w:basedOn w:val="615"/>
    <w:qFormat/>
    <w:uiPriority w:val="0"/>
    <w:pPr>
      <w:keepNext/>
      <w:widowControl w:val="0"/>
      <w:tabs>
        <w:tab w:val="left" w:pos="628"/>
        <w:tab w:val="clear" w:pos="-1843"/>
        <w:tab w:val="clear" w:pos="1458"/>
        <w:tab w:val="clear" w:pos="1727"/>
        <w:tab w:val="clear" w:pos="1884"/>
      </w:tabs>
      <w:adjustRightInd w:val="0"/>
      <w:spacing w:line="240" w:lineRule="auto"/>
      <w:jc w:val="left"/>
      <w:textAlignment w:val="auto"/>
      <w:outlineLvl w:val="9"/>
    </w:pPr>
    <w:rPr>
      <w:rFonts w:ascii="Sim Sun" w:hAnsi="Sim Sun" w:cs="Sim Sun"/>
      <w:bCs/>
      <w:szCs w:val="20"/>
    </w:rPr>
  </w:style>
  <w:style w:type="paragraph" w:customStyle="1" w:styleId="1355">
    <w:name w:val="样式 样式 标题 2标题2二级 标题 2H2h2第一层条标题 2 Char节标题节11 Char标题 2 Cha... +"/>
    <w:basedOn w:val="925"/>
    <w:qFormat/>
    <w:uiPriority w:val="0"/>
    <w:pPr>
      <w:ind w:left="180"/>
    </w:pPr>
    <w:rPr>
      <w:b/>
    </w:rPr>
  </w:style>
  <w:style w:type="paragraph" w:customStyle="1" w:styleId="1356">
    <w:name w:val="样式 (中文) 仿宋_GB2312 段前: 0 磅"/>
    <w:basedOn w:val="1"/>
    <w:qFormat/>
    <w:uiPriority w:val="0"/>
    <w:pPr>
      <w:adjustRightInd w:val="0"/>
      <w:spacing w:line="440" w:lineRule="exact"/>
      <w:ind w:firstLine="200"/>
      <w:textAlignment w:val="baseline"/>
    </w:pPr>
    <w:rPr>
      <w:rFonts w:ascii="Arial Unicode MS" w:hAnsi="Arial Unicode MS" w:eastAsia="Garamond" w:cs="Vladimir Script"/>
      <w:bCs/>
      <w:color w:val="000000"/>
      <w:kern w:val="24"/>
      <w:szCs w:val="20"/>
    </w:rPr>
  </w:style>
  <w:style w:type="paragraph" w:customStyle="1" w:styleId="1357">
    <w:name w:val="表内小4"/>
    <w:basedOn w:val="1358"/>
    <w:qFormat/>
    <w:uiPriority w:val="0"/>
    <w:pPr>
      <w:ind w:left="240" w:hanging="240"/>
    </w:pPr>
    <w:rPr>
      <w:sz w:val="18"/>
      <w:szCs w:val="18"/>
    </w:rPr>
  </w:style>
  <w:style w:type="paragraph" w:customStyle="1" w:styleId="1358">
    <w:name w:val="表内文字大"/>
    <w:basedOn w:val="1"/>
    <w:qFormat/>
    <w:uiPriority w:val="0"/>
    <w:pPr>
      <w:adjustRightInd w:val="0"/>
      <w:snapToGrid w:val="0"/>
      <w:spacing w:line="320" w:lineRule="exact"/>
      <w:ind w:firstLine="200"/>
      <w:jc w:val="center"/>
    </w:pPr>
    <w:rPr>
      <w:rFonts w:ascii="Arial Unicode MS" w:hAnsi="Arial Unicode MS" w:cs="Vladimir Script"/>
      <w:bCs/>
      <w:color w:val="000000"/>
      <w:kern w:val="24"/>
      <w:szCs w:val="21"/>
    </w:rPr>
  </w:style>
  <w:style w:type="paragraph" w:customStyle="1" w:styleId="1359">
    <w:name w:val="Char Char1 Char Char Char Char1"/>
    <w:basedOn w:val="1"/>
    <w:qFormat/>
    <w:uiPriority w:val="0"/>
    <w:pPr>
      <w:spacing w:line="440" w:lineRule="exact"/>
      <w:ind w:firstLine="200"/>
    </w:pPr>
    <w:rPr>
      <w:rFonts w:ascii="Arial Unicode MS" w:hAnsi="Arial Unicode MS" w:cs="Vladimir Script"/>
      <w:bCs/>
      <w:color w:val="000000"/>
      <w:kern w:val="24"/>
    </w:rPr>
  </w:style>
  <w:style w:type="paragraph" w:customStyle="1" w:styleId="1360">
    <w:name w:val="Section Subtitle"/>
    <w:basedOn w:val="1121"/>
    <w:next w:val="1"/>
    <w:qFormat/>
    <w:uiPriority w:val="0"/>
    <w:pPr>
      <w:pBdr>
        <w:top w:val="none" w:color="auto" w:sz="0" w:space="0"/>
      </w:pBdr>
    </w:pPr>
    <w:rPr>
      <w:b w:val="0"/>
      <w:spacing w:val="0"/>
      <w:position w:val="6"/>
    </w:rPr>
  </w:style>
  <w:style w:type="paragraph" w:customStyle="1" w:styleId="1361">
    <w:name w:val="表格小四"/>
    <w:basedOn w:val="1"/>
    <w:qFormat/>
    <w:uiPriority w:val="0"/>
    <w:pPr>
      <w:spacing w:line="440" w:lineRule="exact"/>
      <w:ind w:firstLine="200"/>
      <w:jc w:val="center"/>
    </w:pPr>
    <w:rPr>
      <w:rFonts w:ascii="Garamond" w:hAnsi="Arial Unicode MS" w:eastAsia="Garamond" w:cs="Vladimir Script"/>
      <w:bCs/>
      <w:color w:val="000000"/>
      <w:kern w:val="24"/>
      <w:szCs w:val="20"/>
    </w:rPr>
  </w:style>
  <w:style w:type="paragraph" w:customStyle="1" w:styleId="1362">
    <w:name w:val="Char2 Char Char Char1"/>
    <w:basedOn w:val="1"/>
    <w:qFormat/>
    <w:uiPriority w:val="0"/>
    <w:pPr>
      <w:adjustRightInd w:val="0"/>
      <w:snapToGrid w:val="0"/>
      <w:spacing w:line="440" w:lineRule="exact"/>
      <w:ind w:firstLine="200"/>
    </w:pPr>
    <w:rPr>
      <w:rFonts w:ascii="Arial Unicode MS" w:hAnsi="Arial Unicode MS" w:eastAsia="仿宋体" w:cs="Vladimir Script"/>
      <w:bCs/>
      <w:snapToGrid w:val="0"/>
      <w:color w:val="000000"/>
      <w:kern w:val="24"/>
    </w:rPr>
  </w:style>
  <w:style w:type="paragraph" w:customStyle="1" w:styleId="1363">
    <w:name w:val="Char Char Char Char Char Char Char Char Char Char Char Char Char Char Char Char Char Char Char11"/>
    <w:basedOn w:val="1"/>
    <w:qFormat/>
    <w:uiPriority w:val="0"/>
    <w:pPr>
      <w:ind w:firstLine="200"/>
    </w:pPr>
    <w:rPr>
      <w:rFonts w:ascii="Sim Sun" w:hAnsi="Sim Sun" w:cs="Sim Sun"/>
      <w:bCs/>
      <w:color w:val="000000"/>
      <w:kern w:val="24"/>
    </w:rPr>
  </w:style>
  <w:style w:type="paragraph" w:customStyle="1" w:styleId="1364">
    <w:name w:val="ch中文正文"/>
    <w:qFormat/>
    <w:uiPriority w:val="0"/>
    <w:pPr>
      <w:spacing w:beforeLines="50" w:afterLines="50" w:line="360" w:lineRule="auto"/>
      <w:ind w:firstLine="200" w:firstLineChars="200"/>
    </w:pPr>
    <w:rPr>
      <w:rFonts w:ascii="Arial Unicode MS" w:hAnsi="Arial Unicode MS" w:eastAsia="宋体" w:cs="Vladimir Script"/>
      <w:bCs/>
      <w:color w:val="000000"/>
      <w:sz w:val="24"/>
      <w:szCs w:val="24"/>
      <w:lang w:val="en-US" w:eastAsia="zh-CN" w:bidi="ar-SA"/>
    </w:rPr>
  </w:style>
  <w:style w:type="paragraph" w:customStyle="1" w:styleId="1365">
    <w:name w:val="样式 表格 + 五号1"/>
    <w:basedOn w:val="1"/>
    <w:qFormat/>
    <w:uiPriority w:val="0"/>
    <w:pPr>
      <w:spacing w:line="400" w:lineRule="exact"/>
      <w:ind w:firstLine="200"/>
      <w:jc w:val="center"/>
    </w:pPr>
    <w:rPr>
      <w:rFonts w:ascii="Arial Unicode MS" w:hAnsi="Arial Unicode MS" w:cs="Vladimir Script"/>
      <w:bCs/>
      <w:color w:val="000000"/>
      <w:kern w:val="24"/>
      <w:szCs w:val="21"/>
    </w:rPr>
  </w:style>
  <w:style w:type="paragraph" w:customStyle="1" w:styleId="1366">
    <w:name w:val="图表目录1"/>
    <w:basedOn w:val="1"/>
    <w:next w:val="1"/>
    <w:qFormat/>
    <w:uiPriority w:val="0"/>
    <w:pPr>
      <w:spacing w:line="440" w:lineRule="exact"/>
      <w:ind w:left="840" w:leftChars="200" w:hanging="420" w:hangingChars="200"/>
    </w:pPr>
    <w:rPr>
      <w:rFonts w:ascii="Arial Unicode MS" w:hAnsi="Arial Unicode MS" w:cs="Vladimir Script"/>
      <w:bCs/>
      <w:color w:val="000000"/>
      <w:kern w:val="24"/>
    </w:rPr>
  </w:style>
  <w:style w:type="paragraph" w:customStyle="1" w:styleId="1367">
    <w:name w:val="Plain Text2"/>
    <w:basedOn w:val="1"/>
    <w:qFormat/>
    <w:uiPriority w:val="0"/>
    <w:pPr>
      <w:adjustRightInd w:val="0"/>
      <w:spacing w:line="440" w:lineRule="exact"/>
      <w:ind w:firstLine="200"/>
      <w:textAlignment w:val="baseline"/>
    </w:pPr>
    <w:rPr>
      <w:rFonts w:ascii="Sim Sun" w:hAnsi="DFKai-SB" w:cs="Vladimir Script"/>
      <w:bCs/>
      <w:color w:val="000000"/>
      <w:kern w:val="24"/>
      <w:szCs w:val="20"/>
    </w:rPr>
  </w:style>
  <w:style w:type="paragraph" w:customStyle="1" w:styleId="1368">
    <w:name w:val="小表格"/>
    <w:basedOn w:val="1"/>
    <w:qFormat/>
    <w:uiPriority w:val="0"/>
    <w:pPr>
      <w:autoSpaceDE w:val="0"/>
      <w:autoSpaceDN w:val="0"/>
      <w:adjustRightInd w:val="0"/>
      <w:snapToGrid w:val="0"/>
      <w:spacing w:line="440" w:lineRule="exact"/>
      <w:ind w:firstLine="200"/>
      <w:jc w:val="center"/>
    </w:pPr>
    <w:rPr>
      <w:rFonts w:ascii="Garamond" w:hAnsi="ˎ̥" w:cs="Garamond"/>
      <w:bCs/>
      <w:color w:val="000000"/>
      <w:kern w:val="0"/>
      <w:szCs w:val="21"/>
    </w:rPr>
  </w:style>
  <w:style w:type="paragraph" w:customStyle="1" w:styleId="1369">
    <w:name w:val="表格内"/>
    <w:basedOn w:val="1"/>
    <w:qFormat/>
    <w:uiPriority w:val="0"/>
    <w:pPr>
      <w:adjustRightInd w:val="0"/>
      <w:spacing w:line="240" w:lineRule="atLeast"/>
      <w:ind w:firstLine="200"/>
      <w:jc w:val="center"/>
      <w:textAlignment w:val="baseline"/>
    </w:pPr>
    <w:rPr>
      <w:rFonts w:ascii="Sim Sun" w:hAnsi="Arial Unicode MS" w:cs="Vladimir Script"/>
      <w:bCs/>
      <w:color w:val="000000"/>
      <w:kern w:val="0"/>
      <w:sz w:val="28"/>
      <w:szCs w:val="20"/>
    </w:rPr>
  </w:style>
  <w:style w:type="paragraph" w:customStyle="1" w:styleId="1370">
    <w:name w:val="91"/>
    <w:basedOn w:val="1"/>
    <w:qFormat/>
    <w:uiPriority w:val="0"/>
    <w:pPr>
      <w:keepNext/>
      <w:spacing w:beforeLines="30" w:afterLines="30"/>
      <w:ind w:firstLine="200"/>
    </w:pPr>
    <w:rPr>
      <w:rFonts w:ascii="Arial Unicode MS" w:hAnsi="Arial Unicode MS" w:cs="Vladimir Script"/>
      <w:bCs/>
      <w:color w:val="000000"/>
      <w:kern w:val="24"/>
    </w:rPr>
  </w:style>
  <w:style w:type="paragraph" w:customStyle="1" w:styleId="1371">
    <w:name w:val="In Table (II)"/>
    <w:basedOn w:val="782"/>
    <w:qFormat/>
    <w:uiPriority w:val="0"/>
    <w:pPr>
      <w:spacing w:before="60" w:after="60"/>
      <w:ind w:left="52" w:firstLine="200"/>
      <w:jc w:val="left"/>
    </w:pPr>
    <w:rPr>
      <w:rFonts w:ascii="@幼圆" w:hAnsi="@幼圆" w:eastAsia="仿宋_GB2312" w:cs="Vladimir Script"/>
    </w:rPr>
  </w:style>
  <w:style w:type="paragraph" w:customStyle="1" w:styleId="1372">
    <w:name w:val="样式 段后: 6 磅 行距: 多倍行距 1.2 字行"/>
    <w:basedOn w:val="1"/>
    <w:qFormat/>
    <w:uiPriority w:val="0"/>
    <w:pPr>
      <w:tabs>
        <w:tab w:val="left" w:pos="272"/>
      </w:tabs>
      <w:spacing w:after="120" w:line="288" w:lineRule="auto"/>
      <w:ind w:left="-227" w:firstLine="227"/>
    </w:pPr>
    <w:rPr>
      <w:rFonts w:ascii="Arial Unicode MS" w:hAnsi="Arial Unicode MS" w:eastAsia="Garamond" w:cs="Vladimir Script"/>
      <w:bCs/>
      <w:color w:val="000000"/>
      <w:kern w:val="24"/>
      <w:szCs w:val="20"/>
    </w:rPr>
  </w:style>
  <w:style w:type="paragraph" w:customStyle="1" w:styleId="1373">
    <w:name w:val="样式 标题 3标题3H3h33rd level第二层条头标题 3 Char Char小标题小节标题标题 3 ...3"/>
    <w:basedOn w:val="6"/>
    <w:qFormat/>
    <w:uiPriority w:val="0"/>
    <w:pPr>
      <w:tabs>
        <w:tab w:val="left" w:pos="709"/>
      </w:tabs>
      <w:spacing w:beforeLines="50" w:after="240" w:line="240" w:lineRule="exact"/>
      <w:ind w:left="709" w:hanging="709"/>
    </w:pPr>
    <w:rPr>
      <w:rFonts w:ascii="Sim Sun" w:hAnsi="Sim Sun" w:eastAsia="宋体-方正超大字符集" w:cs="Vladimir Script"/>
      <w:bCs w:val="0"/>
      <w:color w:val="000000"/>
      <w:kern w:val="0"/>
      <w:sz w:val="30"/>
    </w:rPr>
  </w:style>
  <w:style w:type="paragraph" w:customStyle="1" w:styleId="1374">
    <w:name w:val="段标"/>
    <w:basedOn w:val="1"/>
    <w:qFormat/>
    <w:uiPriority w:val="0"/>
    <w:pPr>
      <w:adjustRightInd w:val="0"/>
      <w:ind w:firstLine="567"/>
      <w:textAlignment w:val="baseline"/>
    </w:pPr>
    <w:rPr>
      <w:rFonts w:ascii="Arial Unicode MS" w:hAnsi="Arial Unicode MS" w:cs="Vladimir Script"/>
      <w:bCs/>
      <w:color w:val="000000"/>
      <w:kern w:val="0"/>
      <w:sz w:val="28"/>
      <w:szCs w:val="20"/>
    </w:rPr>
  </w:style>
  <w:style w:type="paragraph" w:customStyle="1" w:styleId="1375">
    <w:name w:val="±í"/>
    <w:basedOn w:val="1"/>
    <w:qFormat/>
    <w:uiPriority w:val="0"/>
    <w:pPr>
      <w:tabs>
        <w:tab w:val="left" w:pos="480"/>
      </w:tabs>
      <w:autoSpaceDE w:val="0"/>
      <w:autoSpaceDN w:val="0"/>
      <w:spacing w:line="440" w:lineRule="exact"/>
      <w:ind w:firstLine="200"/>
    </w:pPr>
    <w:rPr>
      <w:rFonts w:ascii="Arial Unicode MS" w:hAnsi="Arial Unicode MS" w:eastAsia="Garamond" w:cs="Vladimir Script"/>
      <w:bCs/>
      <w:color w:val="000000"/>
      <w:kern w:val="24"/>
      <w:szCs w:val="20"/>
    </w:rPr>
  </w:style>
  <w:style w:type="paragraph" w:customStyle="1" w:styleId="1376">
    <w:name w:val="样式 标题 2 + 两端对齐 段前: 12 磅 段后: 12 磅 行距: 多倍行距 1.3 字行"/>
    <w:basedOn w:val="5"/>
    <w:qFormat/>
    <w:uiPriority w:val="0"/>
    <w:pPr>
      <w:adjustRightInd w:val="0"/>
      <w:spacing w:before="120" w:after="120" w:line="312" w:lineRule="auto"/>
      <w:ind w:firstLine="200"/>
      <w:textAlignment w:val="baseline"/>
    </w:pPr>
    <w:rPr>
      <w:rFonts w:ascii="Arial Unicode MS" w:hAnsi="Arial Unicode MS" w:eastAsia="宋体-方正超大字符集" w:cs="Vladimir Script"/>
      <w:color w:val="000000"/>
      <w:kern w:val="24"/>
      <w:sz w:val="28"/>
      <w:szCs w:val="20"/>
    </w:rPr>
  </w:style>
  <w:style w:type="paragraph" w:customStyle="1" w:styleId="1377">
    <w:name w:val="Char Char Char Char Char Char Char Char Char Char Char Char Char Char Char Char Char Char Char12"/>
    <w:basedOn w:val="1"/>
    <w:qFormat/>
    <w:uiPriority w:val="0"/>
    <w:pPr>
      <w:ind w:firstLine="200"/>
    </w:pPr>
    <w:rPr>
      <w:rFonts w:ascii="Sim Sun" w:hAnsi="Sim Sun" w:cs="Vladimir Script"/>
      <w:bCs/>
      <w:color w:val="000000"/>
      <w:kern w:val="24"/>
      <w:szCs w:val="20"/>
    </w:rPr>
  </w:style>
  <w:style w:type="paragraph" w:customStyle="1" w:styleId="1378">
    <w:name w:val="City/State"/>
    <w:basedOn w:val="28"/>
    <w:next w:val="28"/>
    <w:qFormat/>
    <w:uiPriority w:val="0"/>
    <w:pPr>
      <w:keepNext/>
      <w:snapToGrid/>
      <w:spacing w:before="0" w:after="220" w:line="220" w:lineRule="atLeast"/>
      <w:ind w:right="-360" w:firstLine="200"/>
    </w:pPr>
    <w:rPr>
      <w:rFonts w:ascii="Arial Unicode MS" w:hAnsi="Arial Unicode MS" w:eastAsia="Vladimir Script" w:cs="Vladimir Script"/>
      <w:bCs/>
      <w:color w:val="000000"/>
      <w:sz w:val="20"/>
    </w:rPr>
  </w:style>
  <w:style w:type="paragraph" w:customStyle="1" w:styleId="1379">
    <w:name w:val="样式 标题 21.1标题 21.1_Heading 2标题 2 Char1节标2节标题 1.11.1标题2h..."/>
    <w:basedOn w:val="5"/>
    <w:qFormat/>
    <w:uiPriority w:val="0"/>
    <w:pPr>
      <w:keepNext w:val="0"/>
      <w:keepLines w:val="0"/>
      <w:tabs>
        <w:tab w:val="left" w:pos="1320"/>
      </w:tabs>
      <w:adjustRightInd w:val="0"/>
      <w:spacing w:before="0" w:after="0" w:line="360" w:lineRule="auto"/>
      <w:ind w:left="1320" w:hanging="420"/>
    </w:pPr>
    <w:rPr>
      <w:rFonts w:ascii="Arial Unicode MS" w:hAnsi="Arial Unicode MS" w:eastAsia="仿宋体" w:cs="Vladimir Script"/>
      <w:b w:val="0"/>
      <w:color w:val="0000FF"/>
      <w:kern w:val="24"/>
      <w:sz w:val="28"/>
      <w:szCs w:val="28"/>
    </w:rPr>
  </w:style>
  <w:style w:type="paragraph" w:customStyle="1" w:styleId="1380">
    <w:name w:val="Char2 Char Char Char Char Char Char2"/>
    <w:basedOn w:val="1"/>
    <w:qFormat/>
    <w:uiPriority w:val="0"/>
    <w:pPr>
      <w:spacing w:line="440" w:lineRule="exact"/>
      <w:ind w:firstLine="200"/>
    </w:pPr>
    <w:rPr>
      <w:rFonts w:ascii="Arial Unicode MS" w:hAnsi="Arial Unicode MS" w:cs="Vladimir Script"/>
      <w:bCs/>
      <w:color w:val="000000"/>
      <w:kern w:val="24"/>
    </w:rPr>
  </w:style>
  <w:style w:type="paragraph" w:customStyle="1" w:styleId="1381">
    <w:name w:val="样式 标题 3一标题3H3h33rd level第二层条头标题 3 Char Char标题 3 Char2标...1"/>
    <w:basedOn w:val="6"/>
    <w:qFormat/>
    <w:uiPriority w:val="0"/>
    <w:pPr>
      <w:tabs>
        <w:tab w:val="left" w:pos="720"/>
      </w:tabs>
      <w:spacing w:beforeLines="50" w:afterLines="20" w:line="288" w:lineRule="auto"/>
      <w:ind w:left="720" w:hanging="720"/>
    </w:pPr>
    <w:rPr>
      <w:rFonts w:ascii="Sim Sun" w:hAnsi="Sim Sun" w:eastAsia="Garamond" w:cs="Vladimir Script"/>
      <w:b w:val="0"/>
      <w:bCs w:val="0"/>
      <w:color w:val="000000"/>
      <w:kern w:val="24"/>
      <w:sz w:val="30"/>
    </w:rPr>
  </w:style>
  <w:style w:type="paragraph" w:customStyle="1" w:styleId="1382">
    <w:name w:val="Char Char5 Char Char Char Char Char Char Char Char Char2 Char1"/>
    <w:basedOn w:val="6"/>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383">
    <w:name w:val="新标题1"/>
    <w:basedOn w:val="4"/>
    <w:qFormat/>
    <w:uiPriority w:val="0"/>
    <w:pPr>
      <w:keepLines/>
      <w:tabs>
        <w:tab w:val="left" w:pos="845"/>
      </w:tabs>
      <w:topLinePunct/>
      <w:autoSpaceDE w:val="0"/>
      <w:autoSpaceDN w:val="0"/>
      <w:adjustRightInd w:val="0"/>
      <w:spacing w:after="120" w:line="440" w:lineRule="exact"/>
      <w:ind w:left="845" w:hanging="425"/>
      <w:textAlignment w:val="baseline"/>
    </w:pPr>
    <w:rPr>
      <w:rFonts w:ascii="Arial Unicode MS" w:hAnsi="Arial Unicode MS" w:eastAsia="Sim Sun" w:cs="Sim Sun"/>
      <w:szCs w:val="20"/>
    </w:rPr>
  </w:style>
  <w:style w:type="paragraph" w:customStyle="1" w:styleId="1384">
    <w:name w:val="区划正文"/>
    <w:basedOn w:val="1"/>
    <w:qFormat/>
    <w:uiPriority w:val="0"/>
    <w:pPr>
      <w:snapToGrid w:val="0"/>
      <w:spacing w:line="440" w:lineRule="exact"/>
      <w:ind w:firstLine="200"/>
    </w:pPr>
    <w:rPr>
      <w:rFonts w:ascii="Arial Unicode MS" w:hAnsi="Arial Unicode MS" w:cs="Sim Sun"/>
      <w:bCs/>
      <w:color w:val="000000"/>
      <w:kern w:val="24"/>
      <w:szCs w:val="20"/>
    </w:rPr>
  </w:style>
  <w:style w:type="paragraph" w:customStyle="1" w:styleId="1385">
    <w:name w:val="样式 标题 4款标题1.1.1.1标题 4 Char标题 4 Char CharL4 + 宋体 小四 非加粗"/>
    <w:basedOn w:val="3"/>
    <w:qFormat/>
    <w:uiPriority w:val="0"/>
    <w:pPr>
      <w:spacing w:before="120" w:after="120" w:line="377" w:lineRule="auto"/>
      <w:ind w:firstLine="200"/>
    </w:pPr>
    <w:rPr>
      <w:rFonts w:ascii="Sim Sun" w:hAnsi="Sim Sun" w:eastAsia="宋体" w:cs="Vladimir Script"/>
      <w:b w:val="0"/>
      <w:bCs w:val="0"/>
      <w:color w:val="000000"/>
      <w:kern w:val="24"/>
      <w:sz w:val="24"/>
      <w:szCs w:val="24"/>
    </w:rPr>
  </w:style>
  <w:style w:type="paragraph" w:customStyle="1" w:styleId="1386">
    <w:name w:val="样式 标题 3标题3H3h33rd level第二层条头小标题小节标题标题 3 Char Char一海港标...1"/>
    <w:basedOn w:val="6"/>
    <w:qFormat/>
    <w:uiPriority w:val="0"/>
    <w:pPr>
      <w:keepLines w:val="0"/>
      <w:adjustRightInd w:val="0"/>
      <w:spacing w:before="120" w:after="120" w:line="360" w:lineRule="exact"/>
      <w:ind w:left="720" w:hanging="720"/>
      <w:textAlignment w:val="baseline"/>
    </w:pPr>
    <w:rPr>
      <w:rFonts w:ascii="Sim Sun" w:hAnsi="Sim Sun" w:eastAsia="Garamond" w:cs="Vladimir Script"/>
      <w:b w:val="0"/>
      <w:bCs w:val="0"/>
      <w:color w:val="000000"/>
      <w:kern w:val="24"/>
      <w:sz w:val="30"/>
    </w:rPr>
  </w:style>
  <w:style w:type="paragraph" w:customStyle="1" w:styleId="1387">
    <w:name w:val="表格文字gh"/>
    <w:basedOn w:val="1"/>
    <w:qFormat/>
    <w:uiPriority w:val="0"/>
    <w:pPr>
      <w:spacing w:line="280" w:lineRule="exact"/>
      <w:ind w:firstLine="200"/>
      <w:jc w:val="center"/>
    </w:pPr>
    <w:rPr>
      <w:rFonts w:ascii="Garamond" w:hAnsi="Arial Unicode MS" w:eastAsia="Garamond" w:cs="Vladimir Script"/>
      <w:bCs/>
      <w:color w:val="000000"/>
      <w:kern w:val="24"/>
      <w:szCs w:val="20"/>
    </w:rPr>
  </w:style>
  <w:style w:type="paragraph" w:customStyle="1" w:styleId="1388">
    <w:name w:val="样式 宋体 小四 首行缩进:  1.59 厘米 段后: 2.5 磅 行距: 固定值 20 磅"/>
    <w:basedOn w:val="1"/>
    <w:qFormat/>
    <w:uiPriority w:val="0"/>
    <w:pPr>
      <w:spacing w:after="50" w:line="400" w:lineRule="exact"/>
      <w:ind w:firstLine="900"/>
    </w:pPr>
    <w:rPr>
      <w:rFonts w:ascii="Sim Sun" w:hAnsi="Sim Sun" w:eastAsia="Garamond" w:cs="Vladimir Script"/>
      <w:bCs/>
      <w:color w:val="000000"/>
      <w:kern w:val="24"/>
      <w:szCs w:val="20"/>
    </w:rPr>
  </w:style>
  <w:style w:type="paragraph" w:customStyle="1" w:styleId="1389">
    <w:name w:val="T表格"/>
    <w:qFormat/>
    <w:uiPriority w:val="0"/>
    <w:pPr>
      <w:jc w:val="center"/>
    </w:pPr>
    <w:rPr>
      <w:rFonts w:ascii="Arial Unicode MS" w:hAnsi="Arial Unicode MS" w:eastAsia="宋体" w:cs="Vladimir Script"/>
      <w:bCs/>
      <w:color w:val="000000"/>
      <w:sz w:val="21"/>
      <w:szCs w:val="24"/>
      <w:lang w:val="en-US" w:eastAsia="zh-CN" w:bidi="ar-SA"/>
    </w:rPr>
  </w:style>
  <w:style w:type="paragraph" w:customStyle="1" w:styleId="1390">
    <w:name w:val="样式 样式 标题 2标题2二级 标题 2H2h2第一层条标题 2 Char节标题节11 Char标题 2 Cha... +1"/>
    <w:basedOn w:val="1"/>
    <w:qFormat/>
    <w:uiPriority w:val="0"/>
    <w:pPr>
      <w:tabs>
        <w:tab w:val="left" w:pos="720"/>
      </w:tabs>
      <w:adjustRightInd w:val="0"/>
      <w:spacing w:before="240" w:after="160" w:line="312" w:lineRule="auto"/>
      <w:ind w:firstLine="200"/>
      <w:textAlignment w:val="baseline"/>
      <w:outlineLvl w:val="1"/>
    </w:pPr>
    <w:rPr>
      <w:rFonts w:ascii="Arial Unicode MS" w:hAnsi="Arial Unicode MS" w:eastAsia="Garamond" w:cs="Vladimir Script"/>
      <w:b/>
      <w:bCs/>
      <w:color w:val="000000"/>
      <w:kern w:val="24"/>
      <w:szCs w:val="20"/>
    </w:rPr>
  </w:style>
  <w:style w:type="paragraph" w:customStyle="1" w:styleId="1391">
    <w:name w:val="No Title"/>
    <w:basedOn w:val="1"/>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ind w:firstLine="200"/>
    </w:pPr>
    <w:rPr>
      <w:rFonts w:ascii="ˎ̥" w:hAnsi="ˎ̥" w:cs="Vladimir Script"/>
      <w:b/>
      <w:bCs/>
      <w:color w:val="000000"/>
      <w:spacing w:val="-10"/>
      <w:kern w:val="0"/>
      <w:position w:val="7"/>
      <w:sz w:val="20"/>
      <w:szCs w:val="20"/>
    </w:rPr>
  </w:style>
  <w:style w:type="paragraph" w:customStyle="1" w:styleId="1392">
    <w:name w:val="样式 首行缩进:  2 字符 行距: 1.5 倍行距"/>
    <w:basedOn w:val="1"/>
    <w:qFormat/>
    <w:uiPriority w:val="0"/>
    <w:pPr>
      <w:spacing w:line="440" w:lineRule="exact"/>
      <w:ind w:firstLine="200"/>
    </w:pPr>
    <w:rPr>
      <w:rFonts w:ascii="Arial Unicode MS" w:hAnsi="Arial Unicode MS" w:cs="Sim Sun"/>
      <w:bCs/>
      <w:color w:val="000000"/>
      <w:kern w:val="24"/>
      <w:szCs w:val="20"/>
    </w:rPr>
  </w:style>
  <w:style w:type="paragraph" w:customStyle="1" w:styleId="1393">
    <w:name w:val="样式 表格文字统一样式 + Arial 小五 非加粗 自动设置 行距: 单倍行距"/>
    <w:basedOn w:val="264"/>
    <w:qFormat/>
    <w:uiPriority w:val="0"/>
    <w:rPr>
      <w:rFonts w:ascii="ˎ̥" w:hAnsi="ˎ̥"/>
      <w:b/>
    </w:rPr>
  </w:style>
  <w:style w:type="paragraph" w:customStyle="1" w:styleId="1394">
    <w:name w:val="标题1（新）"/>
    <w:basedOn w:val="1"/>
    <w:next w:val="1"/>
    <w:qFormat/>
    <w:uiPriority w:val="0"/>
    <w:pPr>
      <w:widowControl/>
      <w:tabs>
        <w:tab w:val="left" w:pos="1200"/>
      </w:tabs>
      <w:spacing w:beforeLines="50" w:afterLines="50" w:line="440" w:lineRule="exact"/>
      <w:ind w:left="1200" w:hanging="720"/>
    </w:pPr>
    <w:rPr>
      <w:rFonts w:ascii="Arial Unicode MS" w:hAnsi="Arial Unicode MS" w:eastAsia="仿宋体" w:cs="Vladimir Script"/>
      <w:bCs/>
      <w:color w:val="000000"/>
      <w:kern w:val="0"/>
      <w:szCs w:val="28"/>
    </w:rPr>
  </w:style>
  <w:style w:type="paragraph" w:customStyle="1" w:styleId="1395">
    <w:name w:val="jiu1"/>
    <w:basedOn w:val="1"/>
    <w:qFormat/>
    <w:uiPriority w:val="0"/>
    <w:pPr>
      <w:widowControl/>
      <w:spacing w:before="100" w:beforeAutospacing="1" w:after="100" w:afterAutospacing="1" w:line="440" w:lineRule="exact"/>
      <w:ind w:firstLine="200"/>
    </w:pPr>
    <w:rPr>
      <w:rFonts w:ascii="Sim Sun" w:hAnsi="Sim Sun" w:cs="Sim Sun"/>
      <w:bCs/>
      <w:color w:val="000000"/>
      <w:kern w:val="0"/>
    </w:rPr>
  </w:style>
  <w:style w:type="paragraph" w:customStyle="1" w:styleId="1396">
    <w:name w:val="列表编号 31"/>
    <w:basedOn w:val="1"/>
    <w:qFormat/>
    <w:uiPriority w:val="0"/>
    <w:pPr>
      <w:tabs>
        <w:tab w:val="left" w:pos="1200"/>
      </w:tabs>
      <w:spacing w:line="480" w:lineRule="exact"/>
      <w:ind w:left="1200" w:leftChars="400" w:hanging="360" w:hangingChars="200"/>
    </w:pPr>
    <w:rPr>
      <w:rFonts w:ascii="Arial Unicode MS" w:hAnsi="Arial Unicode MS" w:cs="Vladimir Script"/>
      <w:bCs/>
      <w:color w:val="000000"/>
      <w:kern w:val="24"/>
    </w:rPr>
  </w:style>
  <w:style w:type="paragraph" w:customStyle="1" w:styleId="1397">
    <w:name w:val="样式 标题 3 + 段前: 1 行"/>
    <w:basedOn w:val="6"/>
    <w:qFormat/>
    <w:uiPriority w:val="0"/>
    <w:pPr>
      <w:tabs>
        <w:tab w:val="left" w:pos="720"/>
      </w:tabs>
      <w:spacing w:beforeLines="50" w:after="0" w:line="440" w:lineRule="atLeast"/>
      <w:ind w:left="720" w:hanging="720"/>
    </w:pPr>
    <w:rPr>
      <w:rFonts w:ascii="Sim Sun" w:hAnsi="Sim Sun" w:eastAsia="Garamond" w:cs="Vladimir Script"/>
      <w:b w:val="0"/>
      <w:bCs w:val="0"/>
      <w:color w:val="000000"/>
      <w:kern w:val="24"/>
      <w:sz w:val="30"/>
    </w:rPr>
  </w:style>
  <w:style w:type="paragraph" w:customStyle="1" w:styleId="1398">
    <w:name w:val="样式 样式 标题 4款标题1.1.1.1标题 4 Char标题 4 Char CharL4 + 宋体 小四 非加粗1 + 段前:..."/>
    <w:basedOn w:val="1399"/>
    <w:qFormat/>
    <w:uiPriority w:val="0"/>
    <w:rPr>
      <w:rFonts w:cs="Sim Sun"/>
    </w:rPr>
  </w:style>
  <w:style w:type="paragraph" w:customStyle="1" w:styleId="1399">
    <w:name w:val="样式 标题 4款标题1.1.1.1标题 4 Char标题 4 Char CharL4 + 宋体 小四 非加粗1"/>
    <w:basedOn w:val="3"/>
    <w:qFormat/>
    <w:uiPriority w:val="0"/>
    <w:pPr>
      <w:spacing w:beforeLines="50" w:afterLines="50" w:line="377" w:lineRule="auto"/>
      <w:ind w:firstLine="200"/>
    </w:pPr>
    <w:rPr>
      <w:rFonts w:ascii="Sim Sun" w:hAnsi="Sim Sun" w:eastAsia="宋体" w:cs="Vladimir Script"/>
      <w:b w:val="0"/>
      <w:bCs w:val="0"/>
      <w:color w:val="000000"/>
      <w:kern w:val="24"/>
      <w:sz w:val="24"/>
      <w:szCs w:val="20"/>
    </w:rPr>
  </w:style>
  <w:style w:type="paragraph" w:customStyle="1" w:styleId="1400">
    <w:name w:val="Name"/>
    <w:basedOn w:val="1"/>
    <w:next w:val="1"/>
    <w:qFormat/>
    <w:uiPriority w:val="0"/>
    <w:pPr>
      <w:widowControl/>
      <w:spacing w:after="440" w:line="240" w:lineRule="atLeast"/>
      <w:ind w:left="2160" w:firstLine="200"/>
    </w:pPr>
    <w:rPr>
      <w:rFonts w:ascii="Arial Unicode MS" w:hAnsi="Arial Unicode MS" w:cs="Vladimir Script"/>
      <w:bCs/>
      <w:color w:val="000000"/>
      <w:spacing w:val="-20"/>
      <w:kern w:val="0"/>
      <w:sz w:val="48"/>
      <w:szCs w:val="20"/>
    </w:rPr>
  </w:style>
  <w:style w:type="paragraph" w:customStyle="1" w:styleId="1401">
    <w:name w:val="2 级样式"/>
    <w:basedOn w:val="5"/>
    <w:qFormat/>
    <w:uiPriority w:val="0"/>
    <w:pPr>
      <w:tabs>
        <w:tab w:val="left" w:pos="425"/>
      </w:tabs>
      <w:adjustRightInd w:val="0"/>
      <w:spacing w:beforeLines="30" w:afterLines="30" w:line="360" w:lineRule="auto"/>
      <w:ind w:left="425" w:hanging="425"/>
    </w:pPr>
    <w:rPr>
      <w:rFonts w:ascii="Arial Unicode MS" w:hAnsi="Arial Unicode MS" w:eastAsia="仿宋体" w:cs="Sim Sun"/>
      <w:b w:val="0"/>
      <w:color w:val="003300"/>
      <w:kern w:val="24"/>
      <w:sz w:val="30"/>
      <w:szCs w:val="30"/>
    </w:rPr>
  </w:style>
  <w:style w:type="paragraph" w:customStyle="1" w:styleId="1402">
    <w:name w:val="样式 桔黄 首行缩进:  1 厘米 行距: 固定值 25 磅"/>
    <w:basedOn w:val="1"/>
    <w:qFormat/>
    <w:uiPriority w:val="0"/>
    <w:pPr>
      <w:adjustRightInd w:val="0"/>
      <w:spacing w:line="500" w:lineRule="exact"/>
      <w:ind w:firstLine="560"/>
    </w:pPr>
    <w:rPr>
      <w:rFonts w:ascii="Sim Sun" w:hAnsi="Sim Sun" w:cs="Sim Sun"/>
      <w:bCs/>
      <w:color w:val="000000"/>
      <w:kern w:val="0"/>
      <w:sz w:val="28"/>
      <w:szCs w:val="20"/>
    </w:rPr>
  </w:style>
  <w:style w:type="paragraph" w:customStyle="1" w:styleId="1403">
    <w:name w:val="图题"/>
    <w:basedOn w:val="186"/>
    <w:qFormat/>
    <w:uiPriority w:val="0"/>
    <w:pPr>
      <w:widowControl/>
      <w:tabs>
        <w:tab w:val="clear" w:pos="0"/>
      </w:tabs>
      <w:adjustRightInd w:val="0"/>
      <w:snapToGrid w:val="0"/>
      <w:spacing w:line="240" w:lineRule="auto"/>
      <w:ind w:firstLine="0"/>
      <w:jc w:val="center"/>
    </w:pPr>
    <w:rPr>
      <w:rFonts w:ascii="ӗԲ" w:eastAsia="ӗԲ"/>
      <w:color w:val="auto"/>
      <w:szCs w:val="24"/>
    </w:rPr>
  </w:style>
  <w:style w:type="paragraph" w:customStyle="1" w:styleId="1404">
    <w:name w:val="索引 91"/>
    <w:basedOn w:val="1"/>
    <w:next w:val="1"/>
    <w:qFormat/>
    <w:uiPriority w:val="0"/>
    <w:pPr>
      <w:spacing w:line="440" w:lineRule="exact"/>
      <w:ind w:left="2250" w:hanging="250"/>
    </w:pPr>
    <w:rPr>
      <w:rFonts w:ascii="ˎ̥" w:hAnsi="ˎ̥" w:eastAsia="仿宋体" w:cs="ˎ̥"/>
      <w:bCs/>
      <w:color w:val="000000"/>
      <w:spacing w:val="5"/>
      <w:kern w:val="24"/>
      <w:sz w:val="20"/>
      <w:szCs w:val="20"/>
    </w:rPr>
  </w:style>
  <w:style w:type="paragraph" w:customStyle="1" w:styleId="1405">
    <w:name w:val="首选正文"/>
    <w:basedOn w:val="1"/>
    <w:qFormat/>
    <w:uiPriority w:val="0"/>
    <w:pPr>
      <w:widowControl/>
      <w:spacing w:line="460" w:lineRule="exact"/>
      <w:ind w:firstLine="480"/>
    </w:pPr>
    <w:rPr>
      <w:rFonts w:ascii="Arial Unicode MS" w:hAnsi="Arial Unicode MS" w:cs="Sim Sun"/>
      <w:bCs/>
      <w:color w:val="000000"/>
      <w:kern w:val="0"/>
    </w:rPr>
  </w:style>
  <w:style w:type="paragraph" w:customStyle="1" w:styleId="1406">
    <w:name w:val="列表 51"/>
    <w:basedOn w:val="1"/>
    <w:qFormat/>
    <w:uiPriority w:val="0"/>
    <w:pPr>
      <w:ind w:left="100" w:leftChars="800" w:hanging="200" w:hangingChars="200"/>
    </w:pPr>
    <w:rPr>
      <w:rFonts w:ascii="Arial Unicode MS" w:hAnsi="Arial Unicode MS" w:cs="Vladimir Script"/>
      <w:bCs/>
      <w:color w:val="000000"/>
      <w:kern w:val="24"/>
    </w:rPr>
  </w:style>
  <w:style w:type="paragraph" w:customStyle="1" w:styleId="1407">
    <w:name w:val="样式 标题 2 + Times New Roman 段前: 0.5 行 段后: 0.5 行"/>
    <w:basedOn w:val="5"/>
    <w:qFormat/>
    <w:uiPriority w:val="0"/>
    <w:pPr>
      <w:tabs>
        <w:tab w:val="left" w:pos="4500"/>
      </w:tabs>
      <w:adjustRightInd w:val="0"/>
      <w:snapToGrid w:val="0"/>
      <w:spacing w:beforeLines="50" w:afterLines="50" w:line="460" w:lineRule="exact"/>
      <w:ind w:firstLine="200"/>
      <w:textAlignment w:val="baseline"/>
    </w:pPr>
    <w:rPr>
      <w:rFonts w:ascii="Arial Unicode MS" w:hAnsi="Arial Unicode MS" w:eastAsia="宋体-方正超大字符集" w:cs="Vladimir Script"/>
      <w:color w:val="000000"/>
      <w:kern w:val="0"/>
      <w:sz w:val="28"/>
      <w:szCs w:val="20"/>
    </w:rPr>
  </w:style>
  <w:style w:type="paragraph" w:customStyle="1" w:styleId="1408">
    <w:name w:val="样式 首行缩进:  2 字符7"/>
    <w:basedOn w:val="1"/>
    <w:qFormat/>
    <w:uiPriority w:val="0"/>
    <w:pPr>
      <w:spacing w:line="520" w:lineRule="exact"/>
      <w:ind w:firstLine="560"/>
    </w:pPr>
    <w:rPr>
      <w:rFonts w:cs="宋体"/>
      <w:bCs/>
      <w:color w:val="000000"/>
      <w:kern w:val="24"/>
      <w:szCs w:val="20"/>
    </w:rPr>
  </w:style>
  <w:style w:type="paragraph" w:customStyle="1" w:styleId="1409">
    <w:name w:val="Char Char5 Char Char Char Char Char Char Char Char Char Char Char Char Char Char Char1 Char2"/>
    <w:basedOn w:val="6"/>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1410">
    <w:name w:val="样式 样式 左侧:  2 字符 + 首行缩进:  2 字符"/>
    <w:basedOn w:val="1"/>
    <w:qFormat/>
    <w:uiPriority w:val="0"/>
    <w:pPr>
      <w:spacing w:line="440" w:lineRule="exact"/>
      <w:ind w:firstLine="200"/>
    </w:pPr>
    <w:rPr>
      <w:rFonts w:ascii="Arial Unicode MS" w:hAnsi="Arial Unicode MS" w:cs="Sim Sun"/>
      <w:bCs/>
      <w:color w:val="000000"/>
      <w:kern w:val="24"/>
      <w:szCs w:val="20"/>
    </w:rPr>
  </w:style>
  <w:style w:type="paragraph" w:customStyle="1" w:styleId="1411">
    <w:name w:val="正文4"/>
    <w:qFormat/>
    <w:uiPriority w:val="0"/>
    <w:pPr>
      <w:widowControl w:val="0"/>
      <w:adjustRightInd w:val="0"/>
      <w:spacing w:line="315" w:lineRule="atLeast"/>
      <w:jc w:val="both"/>
      <w:textAlignment w:val="baseline"/>
    </w:pPr>
    <w:rPr>
      <w:rFonts w:ascii="Sim Sun" w:hAnsi="Arial Unicode MS" w:eastAsia="宋体" w:cs="Vladimir Script"/>
      <w:bCs/>
      <w:color w:val="000000"/>
      <w:sz w:val="24"/>
      <w:szCs w:val="24"/>
      <w:lang w:val="en-US" w:eastAsia="zh-CN" w:bidi="ar-SA"/>
    </w:rPr>
  </w:style>
  <w:style w:type="paragraph" w:customStyle="1" w:styleId="1412">
    <w:name w:val="样式 正文文字 +"/>
    <w:basedOn w:val="28"/>
    <w:qFormat/>
    <w:uiPriority w:val="0"/>
    <w:pPr>
      <w:widowControl w:val="0"/>
      <w:adjustRightInd w:val="0"/>
      <w:snapToGrid/>
      <w:spacing w:after="60" w:line="264" w:lineRule="auto"/>
      <w:ind w:right="0" w:firstLine="110" w:firstLineChars="110"/>
      <w:textAlignment w:val="baseline"/>
    </w:pPr>
    <w:rPr>
      <w:rFonts w:ascii="Arial Unicode MS" w:hAnsi="Arial Unicode MS" w:eastAsia="Garamond" w:cs="Vladimir Script"/>
      <w:bCs/>
      <w:color w:val="000000"/>
      <w:sz w:val="24"/>
    </w:rPr>
  </w:style>
  <w:style w:type="paragraph" w:customStyle="1" w:styleId="1413">
    <w:name w:val="Address 1"/>
    <w:basedOn w:val="1"/>
    <w:qFormat/>
    <w:uiPriority w:val="0"/>
    <w:pPr>
      <w:widowControl/>
      <w:spacing w:line="200" w:lineRule="atLeast"/>
      <w:ind w:firstLine="200"/>
    </w:pPr>
    <w:rPr>
      <w:rFonts w:ascii="Arial Unicode MS" w:hAnsi="Arial Unicode MS" w:cs="Vladimir Script"/>
      <w:bCs/>
      <w:color w:val="000000"/>
      <w:kern w:val="0"/>
      <w:sz w:val="16"/>
      <w:szCs w:val="20"/>
    </w:rPr>
  </w:style>
  <w:style w:type="paragraph" w:customStyle="1" w:styleId="1414">
    <w:name w:val="样式 宋体 小四 首行缩进:  1.59 厘米 段后: 6 磅 行距: 固定值 20 磅"/>
    <w:basedOn w:val="1"/>
    <w:qFormat/>
    <w:uiPriority w:val="0"/>
    <w:pPr>
      <w:spacing w:after="120" w:line="400" w:lineRule="exact"/>
      <w:ind w:firstLine="900"/>
    </w:pPr>
    <w:rPr>
      <w:rFonts w:ascii="Sim Sun" w:hAnsi="Sim Sun" w:eastAsia="Garamond" w:cs="Vladimir Script"/>
      <w:bCs/>
      <w:color w:val="000000"/>
      <w:kern w:val="24"/>
      <w:szCs w:val="20"/>
    </w:rPr>
  </w:style>
  <w:style w:type="paragraph" w:customStyle="1" w:styleId="1415">
    <w:name w:val="题注+"/>
    <w:basedOn w:val="19"/>
    <w:next w:val="1"/>
    <w:qFormat/>
    <w:uiPriority w:val="0"/>
    <w:pPr>
      <w:widowControl/>
      <w:tabs>
        <w:tab w:val="clear" w:pos="2445"/>
        <w:tab w:val="clear" w:pos="4156"/>
      </w:tabs>
      <w:spacing w:beforeLines="0" w:line="336" w:lineRule="auto"/>
      <w:ind w:firstLine="200"/>
      <w:outlineLvl w:val="6"/>
    </w:pPr>
    <w:rPr>
      <w:rFonts w:ascii="仿宋体" w:hAnsi="ˎ̥" w:eastAsia="仿宋体" w:cs="Vladimir Script"/>
      <w:b w:val="0"/>
      <w:bCs/>
      <w:snapToGrid/>
      <w:color w:val="000000"/>
    </w:rPr>
  </w:style>
  <w:style w:type="paragraph" w:customStyle="1" w:styleId="1416">
    <w:name w:val="Char Char1 Char Char Char Char Char Char Char11"/>
    <w:basedOn w:val="1"/>
    <w:qFormat/>
    <w:uiPriority w:val="0"/>
    <w:rPr>
      <w:rFonts w:ascii="Batang" w:hAnsi="Batang" w:cs="Batang"/>
      <w:bCs/>
      <w:color w:val="000000"/>
      <w:kern w:val="24"/>
    </w:rPr>
  </w:style>
  <w:style w:type="paragraph" w:customStyle="1" w:styleId="1417">
    <w:name w:val="样式 标题 1 + 宋体 小四 加粗 左1"/>
    <w:basedOn w:val="4"/>
    <w:qFormat/>
    <w:uiPriority w:val="0"/>
    <w:pPr>
      <w:keepNext w:val="0"/>
      <w:pageBreakBefore/>
      <w:overflowPunct/>
      <w:snapToGrid/>
      <w:spacing w:before="180" w:after="180" w:line="440" w:lineRule="exact"/>
      <w:ind w:left="0" w:firstLine="0"/>
    </w:pPr>
    <w:rPr>
      <w:rFonts w:eastAsia="宋体-方正超大字符集" w:cs="宋体"/>
      <w:kern w:val="2"/>
      <w:sz w:val="24"/>
      <w:szCs w:val="20"/>
    </w:rPr>
  </w:style>
  <w:style w:type="paragraph" w:customStyle="1" w:styleId="1418">
    <w:name w:val="样式 标题 22级样式 + 段前: 0.3 行 段后: 0.3 行1"/>
    <w:basedOn w:val="5"/>
    <w:qFormat/>
    <w:uiPriority w:val="0"/>
    <w:pPr>
      <w:adjustRightInd w:val="0"/>
      <w:spacing w:beforeLines="30" w:afterLines="30" w:line="360" w:lineRule="auto"/>
      <w:ind w:firstLine="200"/>
    </w:pPr>
    <w:rPr>
      <w:rFonts w:ascii="Arial Unicode MS" w:hAnsi="Arial Unicode MS" w:eastAsia="仿宋体" w:cs="Sim Sun"/>
      <w:b w:val="0"/>
      <w:color w:val="003300"/>
      <w:kern w:val="24"/>
      <w:sz w:val="28"/>
      <w:szCs w:val="20"/>
    </w:rPr>
  </w:style>
  <w:style w:type="paragraph" w:customStyle="1" w:styleId="1419">
    <w:name w:val="Char Char Char Char Char Char Char Char Char Char Char Char Char Char Char Char Char Char Char3"/>
    <w:basedOn w:val="1"/>
    <w:semiHidden/>
    <w:qFormat/>
    <w:uiPriority w:val="0"/>
    <w:pPr>
      <w:ind w:firstLine="560"/>
    </w:pPr>
    <w:rPr>
      <w:szCs w:val="20"/>
    </w:rPr>
  </w:style>
  <w:style w:type="paragraph" w:customStyle="1" w:styleId="1420">
    <w:name w:val="Char6 Char Char Char Char Char Char Char Char Char2"/>
    <w:basedOn w:val="1"/>
    <w:qFormat/>
    <w:uiPriority w:val="0"/>
    <w:pPr>
      <w:spacing w:line="440" w:lineRule="exact"/>
      <w:ind w:firstLine="200"/>
    </w:pPr>
    <w:rPr>
      <w:rFonts w:ascii="Sim Sun" w:hAnsi="Sim Sun" w:cs="Vladimir Script"/>
      <w:bCs/>
      <w:color w:val="000000"/>
      <w:kern w:val="24"/>
      <w:sz w:val="28"/>
      <w:szCs w:val="20"/>
    </w:rPr>
  </w:style>
  <w:style w:type="paragraph" w:customStyle="1" w:styleId="1421">
    <w:name w:val="Char Char8 Char"/>
    <w:basedOn w:val="6"/>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22">
    <w:name w:val="Char Char Char Char Char Char Char2"/>
    <w:basedOn w:val="1"/>
    <w:qFormat/>
    <w:uiPriority w:val="0"/>
    <w:pPr>
      <w:spacing w:line="440" w:lineRule="exact"/>
      <w:ind w:firstLine="200"/>
    </w:pPr>
    <w:rPr>
      <w:rFonts w:ascii="Arial Unicode MS" w:hAnsi="Arial Unicode MS" w:cs="Vladimir Script"/>
      <w:bCs/>
      <w:color w:val="000000"/>
      <w:kern w:val="24"/>
    </w:rPr>
  </w:style>
  <w:style w:type="paragraph" w:customStyle="1" w:styleId="1423">
    <w:name w:val="font13"/>
    <w:basedOn w:val="1"/>
    <w:qFormat/>
    <w:uiPriority w:val="0"/>
    <w:pPr>
      <w:widowControl/>
      <w:spacing w:before="100" w:beforeAutospacing="1" w:after="100" w:afterAutospacing="1" w:line="440" w:lineRule="exact"/>
      <w:ind w:firstLine="200"/>
    </w:pPr>
    <w:rPr>
      <w:rFonts w:ascii="ˎ̥" w:hAnsi="ˎ̥" w:cs="Vladimir Script"/>
      <w:bCs/>
      <w:color w:val="000000"/>
      <w:kern w:val="0"/>
      <w:sz w:val="18"/>
      <w:szCs w:val="18"/>
    </w:rPr>
  </w:style>
  <w:style w:type="paragraph" w:customStyle="1" w:styleId="1424">
    <w:name w:val="样式 标题 4 + 段前: 7.8 磅"/>
    <w:basedOn w:val="3"/>
    <w:qFormat/>
    <w:uiPriority w:val="0"/>
    <w:pPr>
      <w:tabs>
        <w:tab w:val="left" w:pos="360"/>
        <w:tab w:val="left" w:pos="1865"/>
      </w:tabs>
      <w:spacing w:before="156" w:line="240" w:lineRule="exact"/>
      <w:ind w:firstLine="200"/>
    </w:pPr>
    <w:rPr>
      <w:rFonts w:ascii="Arial Unicode MS" w:hAnsi="Arial Unicode MS" w:eastAsia="Garamond" w:cs="Vladimir Script"/>
      <w:color w:val="000000"/>
      <w:kern w:val="0"/>
      <w:sz w:val="21"/>
      <w:szCs w:val="20"/>
    </w:rPr>
  </w:style>
  <w:style w:type="paragraph" w:customStyle="1" w:styleId="1425">
    <w:name w:val="Char Char7 Char Char Char Char Char Char2"/>
    <w:basedOn w:val="6"/>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26">
    <w:name w:val="表格统一样式 小五 局中"/>
    <w:basedOn w:val="1"/>
    <w:qFormat/>
    <w:uiPriority w:val="0"/>
    <w:pPr>
      <w:autoSpaceDE w:val="0"/>
      <w:autoSpaceDN w:val="0"/>
      <w:spacing w:line="440" w:lineRule="exact"/>
      <w:ind w:firstLine="200"/>
      <w:jc w:val="center"/>
    </w:pPr>
    <w:rPr>
      <w:rFonts w:ascii="Arial Unicode MS" w:hAnsi="Arial Unicode MS" w:eastAsia="Garamond" w:cs="Vladimir Script"/>
      <w:bCs/>
      <w:color w:val="000000"/>
      <w:kern w:val="0"/>
      <w:sz w:val="18"/>
      <w:szCs w:val="20"/>
    </w:rPr>
  </w:style>
  <w:style w:type="paragraph" w:customStyle="1" w:styleId="1427">
    <w:name w:val="style1"/>
    <w:basedOn w:val="1"/>
    <w:qFormat/>
    <w:uiPriority w:val="0"/>
    <w:pPr>
      <w:widowControl/>
      <w:spacing w:before="100" w:beforeAutospacing="1" w:after="100" w:afterAutospacing="1" w:line="440" w:lineRule="exact"/>
      <w:ind w:firstLine="200"/>
    </w:pPr>
    <w:rPr>
      <w:rFonts w:ascii="Sim Sun" w:hAnsi="Sim Sun" w:cs="Sim Sun"/>
      <w:bCs/>
      <w:color w:val="000000"/>
      <w:kern w:val="0"/>
      <w:sz w:val="14"/>
      <w:szCs w:val="14"/>
    </w:rPr>
  </w:style>
  <w:style w:type="paragraph" w:customStyle="1" w:styleId="1428">
    <w:name w:val="Char Char5 Char Char Char Char Char Char Char Char Char Char Char Char Char Char Char1 Char1"/>
    <w:basedOn w:val="6"/>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29">
    <w:name w:val="表题"/>
    <w:basedOn w:val="778"/>
    <w:qFormat/>
    <w:uiPriority w:val="0"/>
    <w:pPr>
      <w:tabs>
        <w:tab w:val="left" w:pos="4305"/>
      </w:tabs>
      <w:snapToGrid w:val="0"/>
      <w:spacing w:beforeLines="50" w:afterLines="50" w:line="240" w:lineRule="auto"/>
      <w:ind w:firstLine="0" w:firstLineChars="0"/>
    </w:pPr>
    <w:rPr>
      <w:rFonts w:ascii="Sim Sun" w:hAnsi="Sim Sun" w:eastAsia="Vladimir Script" w:cs="Vladimir Script"/>
      <w:szCs w:val="24"/>
    </w:rPr>
  </w:style>
  <w:style w:type="paragraph" w:customStyle="1" w:styleId="1430">
    <w:name w:val="Char Char7 Char Char Char Char Char Char1"/>
    <w:basedOn w:val="6"/>
    <w:qFormat/>
    <w:uiPriority w:val="0"/>
    <w:pPr>
      <w:tabs>
        <w:tab w:val="left" w:pos="360"/>
        <w:tab w:val="left" w:pos="900"/>
      </w:tabs>
      <w:snapToGrid w:val="0"/>
      <w:spacing w:before="120" w:after="120" w:line="24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31">
    <w:name w:val="Char Char Char Char Char Char Char Char Char Char Char Char Char Char Char Char Char Char Char2"/>
    <w:basedOn w:val="1"/>
    <w:qFormat/>
    <w:uiPriority w:val="0"/>
    <w:pPr>
      <w:ind w:firstLine="200"/>
    </w:pPr>
    <w:rPr>
      <w:rFonts w:ascii="仿宋体" w:hAnsi="仿宋体" w:eastAsia="仿宋体" w:cs="ˎ̥"/>
      <w:bCs/>
      <w:color w:val="000000"/>
      <w:kern w:val="24"/>
      <w:szCs w:val="20"/>
    </w:rPr>
  </w:style>
  <w:style w:type="paragraph" w:customStyle="1" w:styleId="1432">
    <w:name w:val="列表编号 51"/>
    <w:basedOn w:val="1"/>
    <w:qFormat/>
    <w:uiPriority w:val="0"/>
    <w:pPr>
      <w:tabs>
        <w:tab w:val="left" w:pos="2040"/>
      </w:tabs>
      <w:spacing w:line="480" w:lineRule="exact"/>
      <w:ind w:left="2040" w:leftChars="800" w:hanging="360" w:hangingChars="200"/>
    </w:pPr>
    <w:rPr>
      <w:rFonts w:ascii="Arial Unicode MS" w:hAnsi="Arial Unicode MS" w:cs="Vladimir Script"/>
      <w:bCs/>
      <w:color w:val="000000"/>
      <w:kern w:val="24"/>
    </w:rPr>
  </w:style>
  <w:style w:type="paragraph" w:customStyle="1" w:styleId="1433">
    <w:name w:val="Company Name One"/>
    <w:basedOn w:val="1350"/>
    <w:next w:val="1"/>
    <w:qFormat/>
    <w:uiPriority w:val="0"/>
  </w:style>
  <w:style w:type="paragraph" w:customStyle="1" w:styleId="1434">
    <w:name w:val="档案号"/>
    <w:basedOn w:val="47"/>
    <w:qFormat/>
    <w:uiPriority w:val="0"/>
    <w:pPr>
      <w:pBdr>
        <w:bottom w:val="none" w:color="auto" w:sz="0" w:space="0"/>
      </w:pBdr>
      <w:tabs>
        <w:tab w:val="center" w:pos="4320"/>
        <w:tab w:val="right" w:pos="8640"/>
        <w:tab w:val="clear" w:pos="4153"/>
        <w:tab w:val="clear" w:pos="8306"/>
      </w:tabs>
      <w:adjustRightInd w:val="0"/>
      <w:snapToGrid/>
      <w:spacing w:line="460" w:lineRule="exact"/>
      <w:ind w:firstLine="200"/>
      <w:jc w:val="right"/>
      <w:textAlignment w:val="baseline"/>
    </w:pPr>
    <w:rPr>
      <w:rFonts w:ascii="Sim Sun" w:hAnsi="ˎ̥" w:eastAsia="Sim Sun" w:cs="Vladimir Script"/>
      <w:bCs/>
      <w:color w:val="000000"/>
      <w:spacing w:val="3"/>
      <w:kern w:val="24"/>
      <w:sz w:val="24"/>
    </w:rPr>
  </w:style>
  <w:style w:type="paragraph" w:customStyle="1" w:styleId="1435">
    <w:name w:val="样式 标题 4标题 4 Char Char + 两端对齐 左侧:  0 厘米 段前: 0 磅 段后: 0 磅"/>
    <w:basedOn w:val="3"/>
    <w:qFormat/>
    <w:uiPriority w:val="0"/>
    <w:pPr>
      <w:tabs>
        <w:tab w:val="left" w:pos="2160"/>
        <w:tab w:val="left" w:pos="4500"/>
      </w:tabs>
      <w:snapToGrid w:val="0"/>
      <w:spacing w:line="440" w:lineRule="atLeast"/>
      <w:ind w:left="2160" w:hanging="420"/>
    </w:pPr>
    <w:rPr>
      <w:rFonts w:ascii="ˎ̥" w:hAnsi="ˎ̥" w:eastAsia="仿宋体" w:cs="Sim Sun"/>
      <w:b w:val="0"/>
      <w:bCs w:val="0"/>
      <w:color w:val="000000"/>
      <w:kern w:val="24"/>
      <w:sz w:val="24"/>
      <w:szCs w:val="20"/>
    </w:rPr>
  </w:style>
  <w:style w:type="paragraph" w:customStyle="1" w:styleId="1436">
    <w:name w:val="样式 正文（首行缩进两字） Char1标题4 + 宋体 小四 首行缩进:  0.85 厘米"/>
    <w:basedOn w:val="1"/>
    <w:qFormat/>
    <w:uiPriority w:val="0"/>
    <w:pPr>
      <w:adjustRightInd w:val="0"/>
      <w:spacing w:line="440" w:lineRule="atLeast"/>
      <w:ind w:firstLine="482"/>
    </w:pPr>
    <w:rPr>
      <w:rFonts w:ascii="Sim Sun" w:hAnsi="Sim Sun" w:cs="Sim Sun"/>
      <w:bCs/>
      <w:color w:val="000000"/>
      <w:kern w:val="0"/>
      <w:szCs w:val="20"/>
    </w:rPr>
  </w:style>
  <w:style w:type="paragraph" w:customStyle="1" w:styleId="1437">
    <w:name w:val="索引 31"/>
    <w:basedOn w:val="1"/>
    <w:next w:val="1"/>
    <w:qFormat/>
    <w:uiPriority w:val="0"/>
    <w:pPr>
      <w:spacing w:line="440" w:lineRule="exact"/>
      <w:ind w:left="750" w:hanging="250"/>
    </w:pPr>
    <w:rPr>
      <w:rFonts w:ascii="ˎ̥" w:hAnsi="ˎ̥" w:eastAsia="仿宋体" w:cs="ˎ̥"/>
      <w:bCs/>
      <w:color w:val="000000"/>
      <w:spacing w:val="5"/>
      <w:kern w:val="24"/>
      <w:sz w:val="20"/>
      <w:szCs w:val="20"/>
    </w:rPr>
  </w:style>
  <w:style w:type="paragraph" w:customStyle="1" w:styleId="1438">
    <w:name w:val="列图"/>
    <w:basedOn w:val="361"/>
    <w:next w:val="1"/>
    <w:qFormat/>
    <w:uiPriority w:val="0"/>
    <w:pPr>
      <w:keepLines/>
      <w:spacing w:before="120" w:after="120" w:line="300" w:lineRule="atLeast"/>
      <w:jc w:val="both"/>
    </w:pPr>
    <w:rPr>
      <w:rFonts w:ascii="Arial Unicode MS"/>
      <w:snapToGrid/>
      <w:kern w:val="28"/>
      <w:sz w:val="21"/>
    </w:rPr>
  </w:style>
  <w:style w:type="paragraph" w:customStyle="1" w:styleId="1439">
    <w:name w:val="样式 标题 1 + 左侧:  0 厘米 首行缩进:  0 厘米"/>
    <w:basedOn w:val="4"/>
    <w:qFormat/>
    <w:uiPriority w:val="0"/>
    <w:pPr>
      <w:keepLines/>
      <w:tabs>
        <w:tab w:val="left" w:pos="0"/>
        <w:tab w:val="left" w:pos="432"/>
        <w:tab w:val="left" w:pos="1200"/>
      </w:tabs>
      <w:overflowPunct/>
      <w:autoSpaceDE w:val="0"/>
      <w:autoSpaceDN w:val="0"/>
      <w:adjustRightInd w:val="0"/>
      <w:snapToGrid/>
      <w:spacing w:after="120" w:line="440" w:lineRule="exact"/>
      <w:ind w:firstLine="200"/>
      <w:textAlignment w:val="bottom"/>
    </w:pPr>
    <w:rPr>
      <w:rFonts w:ascii="Arial Unicode MS" w:hAnsi="Arial Unicode MS" w:eastAsia="仿宋体" w:cs="Vladimir Script"/>
      <w:sz w:val="28"/>
      <w:szCs w:val="20"/>
    </w:rPr>
  </w:style>
  <w:style w:type="paragraph" w:customStyle="1" w:styleId="1440">
    <w:name w:val="索引 81"/>
    <w:basedOn w:val="1"/>
    <w:next w:val="1"/>
    <w:qFormat/>
    <w:uiPriority w:val="0"/>
    <w:pPr>
      <w:spacing w:line="440" w:lineRule="exact"/>
      <w:ind w:left="2000" w:hanging="250"/>
    </w:pPr>
    <w:rPr>
      <w:rFonts w:ascii="ˎ̥" w:hAnsi="ˎ̥" w:eastAsia="仿宋体" w:cs="ˎ̥"/>
      <w:bCs/>
      <w:color w:val="000000"/>
      <w:spacing w:val="5"/>
      <w:kern w:val="24"/>
      <w:sz w:val="20"/>
      <w:szCs w:val="20"/>
    </w:rPr>
  </w:style>
  <w:style w:type="paragraph" w:customStyle="1" w:styleId="1441">
    <w:name w:val="列表 41"/>
    <w:basedOn w:val="1"/>
    <w:qFormat/>
    <w:uiPriority w:val="0"/>
    <w:pPr>
      <w:ind w:left="100" w:leftChars="600" w:hanging="200" w:hangingChars="200"/>
    </w:pPr>
    <w:rPr>
      <w:rFonts w:ascii="Arial Unicode MS" w:hAnsi="Arial Unicode MS" w:cs="Vladimir Script"/>
      <w:bCs/>
      <w:color w:val="000000"/>
      <w:kern w:val="24"/>
    </w:rPr>
  </w:style>
  <w:style w:type="paragraph" w:customStyle="1" w:styleId="1442">
    <w:name w:val="Char Char Char Char Char Char Char Char Char1"/>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443">
    <w:name w:val="样式 标题 1标题 1 1 + 小二"/>
    <w:basedOn w:val="4"/>
    <w:qFormat/>
    <w:uiPriority w:val="0"/>
    <w:pPr>
      <w:keepLines/>
      <w:tabs>
        <w:tab w:val="left" w:pos="432"/>
      </w:tabs>
      <w:overflowPunct/>
      <w:snapToGrid/>
      <w:spacing w:beforeLines="100" w:afterLines="50" w:line="440" w:lineRule="exact"/>
      <w:ind w:firstLine="200"/>
      <w:textAlignment w:val="baseline"/>
    </w:pPr>
    <w:rPr>
      <w:rFonts w:ascii="仿宋体" w:hAnsi="Arial Unicode MS" w:eastAsia="仿宋体" w:cs="Vladimir Script"/>
      <w:szCs w:val="20"/>
    </w:rPr>
  </w:style>
  <w:style w:type="paragraph" w:customStyle="1" w:styleId="1444">
    <w:name w:val="样式 标题 2标题2.1标题 1.1 + 黑体 四号 非加粗 蓝色 段前: 15.6 磅 段后: 7.8 磅 行..."/>
    <w:basedOn w:val="5"/>
    <w:qFormat/>
    <w:uiPriority w:val="0"/>
    <w:pPr>
      <w:keepNext w:val="0"/>
      <w:keepLines w:val="0"/>
      <w:tabs>
        <w:tab w:val="left" w:pos="576"/>
      </w:tabs>
      <w:adjustRightInd w:val="0"/>
      <w:spacing w:before="312" w:after="240" w:line="360" w:lineRule="exact"/>
      <w:ind w:left="578" w:hanging="578"/>
      <w:textAlignment w:val="baseline"/>
    </w:pPr>
    <w:rPr>
      <w:rFonts w:ascii="仿宋体" w:hAnsi="Arial Unicode MS" w:eastAsia="仿宋体" w:cs="Vladimir Script"/>
      <w:color w:val="0000FF"/>
      <w:kern w:val="24"/>
      <w:sz w:val="28"/>
      <w:szCs w:val="20"/>
    </w:rPr>
  </w:style>
  <w:style w:type="paragraph" w:customStyle="1" w:styleId="1445">
    <w:name w:val="样式 正文文字 + 首行缩进:  2 字符"/>
    <w:basedOn w:val="28"/>
    <w:qFormat/>
    <w:uiPriority w:val="0"/>
    <w:pPr>
      <w:snapToGrid/>
      <w:spacing w:before="0" w:after="0" w:line="420" w:lineRule="atLeast"/>
      <w:ind w:right="0" w:firstLine="200"/>
    </w:pPr>
    <w:rPr>
      <w:rFonts w:ascii="Arial Unicode MS" w:hAnsi="Arial Unicode MS" w:eastAsia="Vladimir Script" w:cs="Vladimir Script"/>
      <w:bCs/>
      <w:color w:val="FF0000"/>
      <w:sz w:val="24"/>
      <w:szCs w:val="24"/>
    </w:rPr>
  </w:style>
  <w:style w:type="paragraph" w:customStyle="1" w:styleId="1446">
    <w:name w:val="Char Char1 Char1"/>
    <w:basedOn w:val="1"/>
    <w:qFormat/>
    <w:uiPriority w:val="0"/>
    <w:rPr>
      <w:rFonts w:ascii="Batang" w:hAnsi="Batang" w:cs="Batang"/>
      <w:bCs/>
      <w:color w:val="000000"/>
      <w:kern w:val="24"/>
    </w:rPr>
  </w:style>
  <w:style w:type="paragraph" w:customStyle="1" w:styleId="1447">
    <w:name w:val="样式 题注 + (西文) Times New Roman (中文) 宋体 小四 加粗 黑色 居中 段前: 3 磅 ..."/>
    <w:basedOn w:val="19"/>
    <w:qFormat/>
    <w:uiPriority w:val="0"/>
    <w:pPr>
      <w:keepNext w:val="0"/>
      <w:tabs>
        <w:tab w:val="clear" w:pos="2445"/>
        <w:tab w:val="clear" w:pos="4156"/>
      </w:tabs>
      <w:adjustRightInd w:val="0"/>
      <w:spacing w:beforeLines="0" w:afterLines="100"/>
      <w:ind w:firstLine="200"/>
    </w:pPr>
    <w:rPr>
      <w:rFonts w:ascii="Vladimir Script" w:hAnsi="Vladimir Script" w:eastAsia="Vladimir Script" w:cs="Sim Sun"/>
      <w:snapToGrid/>
      <w:color w:val="000000"/>
      <w:szCs w:val="20"/>
    </w:rPr>
  </w:style>
  <w:style w:type="paragraph" w:customStyle="1" w:styleId="1448">
    <w:name w:val="Char Char5 Char Char Char Char Char Char Char Char Char2 Char2"/>
    <w:basedOn w:val="6"/>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rPr>
  </w:style>
  <w:style w:type="paragraph" w:customStyle="1" w:styleId="1449">
    <w:name w:val="文章副标题"/>
    <w:basedOn w:val="1"/>
    <w:next w:val="4"/>
    <w:qFormat/>
    <w:uiPriority w:val="0"/>
    <w:pPr>
      <w:spacing w:before="104" w:after="104" w:line="0" w:lineRule="atLeast"/>
      <w:ind w:left="1" w:firstLine="200"/>
      <w:jc w:val="center"/>
      <w:textAlignment w:val="bottom"/>
    </w:pPr>
    <w:rPr>
      <w:rFonts w:ascii="Arial Unicode MS" w:hAnsi="Arial Unicode MS" w:cs="Vladimir Script"/>
      <w:bCs/>
      <w:color w:val="000000"/>
      <w:kern w:val="0"/>
      <w:sz w:val="36"/>
      <w:szCs w:val="20"/>
    </w:rPr>
  </w:style>
  <w:style w:type="paragraph" w:customStyle="1" w:styleId="1450">
    <w:name w:val="正文文本缩进 22"/>
    <w:basedOn w:val="1"/>
    <w:qFormat/>
    <w:uiPriority w:val="0"/>
    <w:pPr>
      <w:adjustRightInd w:val="0"/>
      <w:spacing w:line="312" w:lineRule="atLeast"/>
      <w:ind w:firstLine="540"/>
      <w:textAlignment w:val="baseline"/>
    </w:pPr>
    <w:rPr>
      <w:rFonts w:ascii="Arial Unicode MS" w:hAnsi="Arial Unicode MS" w:cs="Vladimir Script"/>
      <w:bCs/>
      <w:color w:val="000000"/>
      <w:kern w:val="0"/>
      <w:szCs w:val="20"/>
    </w:rPr>
  </w:style>
  <w:style w:type="paragraph" w:customStyle="1" w:styleId="1451">
    <w:name w:val="题图"/>
    <w:basedOn w:val="1"/>
    <w:qFormat/>
    <w:uiPriority w:val="0"/>
    <w:pPr>
      <w:adjustRightInd w:val="0"/>
      <w:snapToGrid w:val="0"/>
      <w:spacing w:line="440" w:lineRule="exact"/>
      <w:ind w:firstLine="200"/>
      <w:jc w:val="center"/>
    </w:pPr>
    <w:rPr>
      <w:rFonts w:ascii="Sim Sun" w:hAnsi="Arial Unicode MS" w:cs="Vladimir Script"/>
      <w:bCs/>
      <w:color w:val="000000"/>
      <w:kern w:val="24"/>
      <w:sz w:val="28"/>
    </w:rPr>
  </w:style>
  <w:style w:type="paragraph" w:customStyle="1" w:styleId="1452">
    <w:name w:val="索引 71"/>
    <w:basedOn w:val="1"/>
    <w:next w:val="1"/>
    <w:qFormat/>
    <w:uiPriority w:val="0"/>
    <w:pPr>
      <w:spacing w:line="440" w:lineRule="exact"/>
      <w:ind w:left="1750" w:hanging="250"/>
    </w:pPr>
    <w:rPr>
      <w:rFonts w:ascii="ˎ̥" w:hAnsi="ˎ̥" w:eastAsia="仿宋体" w:cs="ˎ̥"/>
      <w:bCs/>
      <w:color w:val="000000"/>
      <w:spacing w:val="5"/>
      <w:kern w:val="24"/>
      <w:sz w:val="20"/>
      <w:szCs w:val="20"/>
    </w:rPr>
  </w:style>
  <w:style w:type="paragraph" w:customStyle="1" w:styleId="1453">
    <w:name w:val="Char12"/>
    <w:basedOn w:val="1"/>
    <w:qFormat/>
    <w:uiPriority w:val="0"/>
    <w:pPr>
      <w:ind w:firstLine="200"/>
    </w:pPr>
    <w:rPr>
      <w:rFonts w:ascii="仿宋体" w:hAnsi="仿宋体" w:eastAsia="仿宋体" w:cs="仿宋体"/>
      <w:bCs/>
      <w:color w:val="000000"/>
      <w:kern w:val="24"/>
      <w:szCs w:val="21"/>
    </w:rPr>
  </w:style>
  <w:style w:type="paragraph" w:customStyle="1" w:styleId="1454">
    <w:name w:val="Char2 Char Char Char2"/>
    <w:basedOn w:val="1"/>
    <w:qFormat/>
    <w:uiPriority w:val="0"/>
    <w:pPr>
      <w:adjustRightInd w:val="0"/>
      <w:snapToGrid w:val="0"/>
      <w:spacing w:line="440" w:lineRule="exact"/>
      <w:ind w:firstLine="200"/>
    </w:pPr>
    <w:rPr>
      <w:rFonts w:ascii="Arial Unicode MS" w:hAnsi="Arial Unicode MS" w:eastAsia="仿宋体" w:cs="Vladimir Script"/>
      <w:bCs/>
      <w:snapToGrid w:val="0"/>
      <w:color w:val="000000"/>
      <w:kern w:val="24"/>
    </w:rPr>
  </w:style>
  <w:style w:type="paragraph" w:customStyle="1" w:styleId="1455">
    <w:name w:val="样式 标题 4 + 左侧:  -0 厘米 首行缩进:  0 厘米 段后: 1.8 磅"/>
    <w:basedOn w:val="3"/>
    <w:qFormat/>
    <w:uiPriority w:val="0"/>
    <w:pPr>
      <w:keepLines w:val="0"/>
      <w:widowControl/>
      <w:tabs>
        <w:tab w:val="left" w:pos="360"/>
        <w:tab w:val="left" w:pos="1800"/>
      </w:tabs>
      <w:autoSpaceDE w:val="0"/>
      <w:autoSpaceDN w:val="0"/>
      <w:adjustRightInd w:val="0"/>
      <w:spacing w:before="240" w:after="36" w:line="312" w:lineRule="auto"/>
      <w:ind w:left="360" w:hanging="360" w:hangingChars="200"/>
      <w:textAlignment w:val="bottom"/>
    </w:pPr>
    <w:rPr>
      <w:rFonts w:ascii="Arial Unicode MS" w:hAnsi="Arial Unicode MS" w:eastAsia="Garamond" w:cs="Vladimir Script"/>
      <w:b w:val="0"/>
      <w:color w:val="000000"/>
      <w:kern w:val="0"/>
      <w:sz w:val="24"/>
      <w:szCs w:val="20"/>
    </w:rPr>
  </w:style>
  <w:style w:type="paragraph" w:customStyle="1" w:styleId="1456">
    <w:name w:val="ljw表格"/>
    <w:basedOn w:val="1"/>
    <w:next w:val="1"/>
    <w:qFormat/>
    <w:uiPriority w:val="0"/>
    <w:pPr>
      <w:adjustRightInd w:val="0"/>
      <w:snapToGrid w:val="0"/>
      <w:spacing w:beforeLines="25" w:afterLines="25" w:line="440" w:lineRule="exact"/>
      <w:ind w:firstLine="200"/>
      <w:jc w:val="center"/>
    </w:pPr>
    <w:rPr>
      <w:rFonts w:ascii="Sim Sun" w:hAnsi="Sim Sun" w:cs="Vladimir Script"/>
      <w:color w:val="000000"/>
      <w:kern w:val="24"/>
      <w:sz w:val="22"/>
      <w:szCs w:val="28"/>
    </w:rPr>
  </w:style>
  <w:style w:type="paragraph" w:customStyle="1" w:styleId="1457">
    <w:name w:val="reader-word-layer reader-word-s2-16"/>
    <w:basedOn w:val="1"/>
    <w:qFormat/>
    <w:uiPriority w:val="0"/>
    <w:pPr>
      <w:widowControl/>
      <w:spacing w:before="100" w:beforeAutospacing="1" w:after="100" w:afterAutospacing="1"/>
    </w:pPr>
    <w:rPr>
      <w:rFonts w:ascii="宋体" w:hAnsi="宋体" w:cs="宋体"/>
      <w:bCs/>
      <w:color w:val="000000"/>
      <w:kern w:val="0"/>
    </w:rPr>
  </w:style>
  <w:style w:type="paragraph" w:customStyle="1" w:styleId="1458">
    <w:name w:val="目录 2 Char Char"/>
    <w:basedOn w:val="1"/>
    <w:next w:val="1"/>
    <w:qFormat/>
    <w:uiPriority w:val="0"/>
    <w:pPr>
      <w:spacing w:line="461" w:lineRule="auto"/>
      <w:ind w:left="420" w:firstLine="200"/>
      <w:textAlignment w:val="bottom"/>
    </w:pPr>
    <w:rPr>
      <w:rFonts w:ascii="Arial Unicode MS" w:hAnsi="Arial Unicode MS" w:cs="Vladimir Script"/>
      <w:bCs/>
      <w:color w:val="000000"/>
      <w:kern w:val="0"/>
      <w:szCs w:val="20"/>
    </w:rPr>
  </w:style>
  <w:style w:type="paragraph" w:customStyle="1" w:styleId="1459">
    <w:name w:val="小标题(1)"/>
    <w:basedOn w:val="28"/>
    <w:qFormat/>
    <w:uiPriority w:val="0"/>
    <w:pPr>
      <w:widowControl w:val="0"/>
      <w:adjustRightInd w:val="0"/>
      <w:spacing w:after="60" w:line="264" w:lineRule="auto"/>
      <w:ind w:right="0" w:firstLine="240" w:firstLineChars="100"/>
      <w:textAlignment w:val="baseline"/>
    </w:pPr>
    <w:rPr>
      <w:rFonts w:ascii="Arial Unicode MS" w:hAnsi="Arial Unicode MS" w:eastAsia="Garamond" w:cs="Vladimir Script"/>
      <w:bCs/>
      <w:snapToGrid w:val="0"/>
      <w:color w:val="000000"/>
      <w:sz w:val="24"/>
    </w:rPr>
  </w:style>
  <w:style w:type="paragraph" w:customStyle="1" w:styleId="1460">
    <w:name w:val="Char Char7 Char Char Char1"/>
    <w:basedOn w:val="6"/>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61">
    <w:name w:val="表格文字中"/>
    <w:basedOn w:val="1"/>
    <w:qFormat/>
    <w:uiPriority w:val="0"/>
    <w:pPr>
      <w:keepNext/>
      <w:tabs>
        <w:tab w:val="left" w:pos="628"/>
        <w:tab w:val="left" w:pos="980"/>
        <w:tab w:val="left" w:pos="1727"/>
        <w:tab w:val="left" w:pos="1884"/>
      </w:tabs>
      <w:autoSpaceDE w:val="0"/>
      <w:autoSpaceDN w:val="0"/>
      <w:adjustRightInd w:val="0"/>
      <w:snapToGrid w:val="0"/>
      <w:spacing w:line="440" w:lineRule="exact"/>
      <w:ind w:firstLine="560"/>
      <w:outlineLvl w:val="0"/>
    </w:pPr>
    <w:rPr>
      <w:rFonts w:ascii="Sim Sun" w:hAnsi="Sim Sun" w:cs="Vladimir Script"/>
      <w:bCs/>
      <w:color w:val="000000"/>
      <w:kern w:val="0"/>
      <w:lang w:val="zh-CN"/>
    </w:rPr>
  </w:style>
  <w:style w:type="paragraph" w:customStyle="1" w:styleId="1462">
    <w:name w:val="redtext"/>
    <w:basedOn w:val="1"/>
    <w:qFormat/>
    <w:uiPriority w:val="0"/>
    <w:pPr>
      <w:widowControl/>
      <w:spacing w:before="100" w:beforeAutospacing="1" w:after="100" w:afterAutospacing="1" w:line="400" w:lineRule="atLeast"/>
      <w:ind w:firstLine="200"/>
    </w:pPr>
    <w:rPr>
      <w:rFonts w:ascii="ˎ̥" w:hAnsi="ˎ̥" w:eastAsia="Garamond" w:cs="Vladimir Script"/>
      <w:bCs/>
      <w:color w:val="000000"/>
      <w:kern w:val="0"/>
      <w:sz w:val="20"/>
      <w:szCs w:val="20"/>
    </w:rPr>
  </w:style>
  <w:style w:type="paragraph" w:customStyle="1" w:styleId="1463">
    <w:name w:val="修订11"/>
    <w:qFormat/>
    <w:uiPriority w:val="0"/>
    <w:rPr>
      <w:rFonts w:ascii="ˎ̥" w:hAnsi="ˎ̥" w:eastAsia="仿宋体" w:cs="Vladimir Script"/>
      <w:bCs/>
      <w:color w:val="000000"/>
      <w:kern w:val="2"/>
      <w:sz w:val="24"/>
      <w:szCs w:val="24"/>
      <w:lang w:val="en-US" w:eastAsia="zh-CN" w:bidi="ar-SA"/>
    </w:rPr>
  </w:style>
  <w:style w:type="paragraph" w:customStyle="1" w:styleId="1464">
    <w:name w:val="Char Char Char Char Char Char2"/>
    <w:basedOn w:val="1"/>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1465">
    <w:name w:val="样式 样式 标题 2 + 段后: 0.5 行 + (西文) Times New Roman (中文) 仿宋_GB2312 段..."/>
    <w:basedOn w:val="1466"/>
    <w:qFormat/>
    <w:uiPriority w:val="0"/>
    <w:pPr>
      <w:tabs>
        <w:tab w:val="left" w:pos="567"/>
        <w:tab w:val="left" w:pos="576"/>
      </w:tabs>
      <w:ind w:left="567" w:hanging="567"/>
    </w:pPr>
    <w:rPr>
      <w:rFonts w:ascii="Arial Unicode MS" w:hAnsi="Arial Unicode MS" w:eastAsia="Garamond"/>
    </w:rPr>
  </w:style>
  <w:style w:type="paragraph" w:customStyle="1" w:styleId="1466">
    <w:name w:val="样式 标题 2 + 段后: 0.5 行"/>
    <w:basedOn w:val="5"/>
    <w:qFormat/>
    <w:uiPriority w:val="0"/>
    <w:pPr>
      <w:tabs>
        <w:tab w:val="left" w:pos="576"/>
      </w:tabs>
      <w:snapToGrid w:val="0"/>
      <w:spacing w:before="240" w:afterLines="20" w:line="440" w:lineRule="exact"/>
      <w:ind w:left="576" w:hanging="576"/>
    </w:pPr>
    <w:rPr>
      <w:rFonts w:ascii="ˎ̥" w:hAnsi="ˎ̥" w:eastAsia="仿宋体" w:cs="Vladimir Script"/>
      <w:b w:val="0"/>
      <w:color w:val="000000"/>
      <w:kern w:val="24"/>
      <w:sz w:val="24"/>
      <w:szCs w:val="20"/>
    </w:rPr>
  </w:style>
  <w:style w:type="paragraph" w:customStyle="1" w:styleId="1467">
    <w:name w:val="sms"/>
    <w:basedOn w:val="1"/>
    <w:qFormat/>
    <w:uiPriority w:val="0"/>
    <w:pPr>
      <w:widowControl/>
      <w:overflowPunct w:val="0"/>
      <w:autoSpaceDE w:val="0"/>
      <w:autoSpaceDN w:val="0"/>
      <w:adjustRightInd w:val="0"/>
      <w:ind w:left="2126" w:right="992" w:firstLine="709"/>
      <w:textAlignment w:val="baseline"/>
    </w:pPr>
    <w:rPr>
      <w:rFonts w:ascii="Sim Sun" w:hAnsi="Arial Unicode MS" w:cs="Vladimir Script"/>
      <w:bCs/>
      <w:color w:val="000000"/>
      <w:spacing w:val="20"/>
      <w:kern w:val="0"/>
      <w:sz w:val="26"/>
      <w:szCs w:val="20"/>
    </w:rPr>
  </w:style>
  <w:style w:type="paragraph" w:customStyle="1" w:styleId="1468">
    <w:name w:val="Char Char1 Char Char1 Char Char1 Char Char1 Char Char Char Char Char Char Char1"/>
    <w:basedOn w:val="1"/>
    <w:qFormat/>
    <w:uiPriority w:val="0"/>
    <w:pPr>
      <w:spacing w:line="440" w:lineRule="exact"/>
      <w:ind w:firstLine="200"/>
    </w:pPr>
    <w:rPr>
      <w:rFonts w:ascii="@幼圆" w:hAnsi="@幼圆" w:cs="Vladimir Script"/>
      <w:bCs/>
      <w:color w:val="000000"/>
      <w:kern w:val="24"/>
    </w:rPr>
  </w:style>
  <w:style w:type="paragraph" w:customStyle="1" w:styleId="1469">
    <w:name w:val="正文样式3"/>
    <w:basedOn w:val="1"/>
    <w:qFormat/>
    <w:uiPriority w:val="0"/>
    <w:pPr>
      <w:keepLines/>
      <w:adjustRightInd w:val="0"/>
      <w:spacing w:line="20" w:lineRule="atLeast"/>
      <w:ind w:firstLine="200"/>
      <w:jc w:val="center"/>
    </w:pPr>
    <w:rPr>
      <w:rFonts w:ascii="Arial Unicode MS" w:hAnsi="Arial Unicode MS" w:cs="Vladimir Script"/>
      <w:bCs/>
      <w:color w:val="000000"/>
      <w:kern w:val="0"/>
      <w:szCs w:val="20"/>
    </w:rPr>
  </w:style>
  <w:style w:type="paragraph" w:customStyle="1" w:styleId="1470">
    <w:name w:val="标题40"/>
    <w:basedOn w:val="186"/>
    <w:qFormat/>
    <w:uiPriority w:val="0"/>
    <w:pPr>
      <w:tabs>
        <w:tab w:val="clear" w:pos="0"/>
      </w:tabs>
      <w:spacing w:beforeLines="50" w:line="360" w:lineRule="auto"/>
      <w:ind w:firstLine="0" w:firstLineChars="0"/>
      <w:jc w:val="both"/>
      <w:outlineLvl w:val="3"/>
    </w:pPr>
    <w:rPr>
      <w:rFonts w:ascii="Sim Sun" w:hAnsi="Sim Sun"/>
      <w:bCs/>
      <w:snapToGrid w:val="0"/>
      <w:color w:val="auto"/>
    </w:rPr>
  </w:style>
  <w:style w:type="paragraph" w:customStyle="1" w:styleId="1471">
    <w:name w:val="正文文本缩进 32"/>
    <w:basedOn w:val="1"/>
    <w:qFormat/>
    <w:uiPriority w:val="0"/>
    <w:pPr>
      <w:adjustRightInd w:val="0"/>
      <w:spacing w:line="440" w:lineRule="exact"/>
      <w:ind w:firstLine="640"/>
      <w:textAlignment w:val="baseline"/>
    </w:pPr>
    <w:rPr>
      <w:rFonts w:ascii="Garamond" w:hAnsi="Arial Unicode MS" w:eastAsia="Garamond" w:cs="Vladimir Script"/>
      <w:bCs/>
      <w:color w:val="FF0000"/>
      <w:kern w:val="24"/>
      <w:sz w:val="32"/>
      <w:szCs w:val="20"/>
    </w:rPr>
  </w:style>
  <w:style w:type="paragraph" w:customStyle="1" w:styleId="1472">
    <w:name w:val="表粗"/>
    <w:basedOn w:val="1"/>
    <w:qFormat/>
    <w:uiPriority w:val="0"/>
    <w:pPr>
      <w:spacing w:line="360" w:lineRule="exact"/>
      <w:ind w:firstLine="200"/>
      <w:jc w:val="center"/>
      <w:outlineLvl w:val="8"/>
    </w:pPr>
    <w:rPr>
      <w:rFonts w:ascii="ˎ̥" w:hAnsi="ˎ̥" w:eastAsia="Garamond" w:cs="Vladimir Script"/>
      <w:b/>
      <w:bCs/>
      <w:color w:val="000000"/>
      <w:kern w:val="24"/>
      <w:szCs w:val="20"/>
    </w:rPr>
  </w:style>
  <w:style w:type="paragraph" w:customStyle="1" w:styleId="1473">
    <w:name w:val="w2"/>
    <w:basedOn w:val="1"/>
    <w:qFormat/>
    <w:uiPriority w:val="0"/>
    <w:pPr>
      <w:adjustRightInd w:val="0"/>
      <w:ind w:left="720" w:firstLine="360"/>
      <w:textAlignment w:val="baseline"/>
    </w:pPr>
    <w:rPr>
      <w:rFonts w:ascii="Sim Sun" w:hAnsi="Arial Unicode MS" w:cs="Vladimir Script"/>
      <w:bCs/>
      <w:color w:val="000000"/>
      <w:kern w:val="0"/>
      <w:sz w:val="28"/>
      <w:szCs w:val="20"/>
    </w:rPr>
  </w:style>
  <w:style w:type="paragraph" w:customStyle="1" w:styleId="1474">
    <w:name w:val="样式 标题 3标题3H3h33rd level第二层条头 + 小四 加粗 左侧:  0 厘米 首行缩进:  0..."/>
    <w:basedOn w:val="6"/>
    <w:qFormat/>
    <w:uiPriority w:val="0"/>
    <w:pPr>
      <w:keepLines w:val="0"/>
      <w:tabs>
        <w:tab w:val="left" w:pos="607"/>
      </w:tabs>
      <w:adjustRightInd w:val="0"/>
      <w:spacing w:before="120" w:after="120" w:line="360" w:lineRule="exact"/>
      <w:ind w:left="607" w:hanging="607"/>
      <w:textAlignment w:val="baseline"/>
    </w:pPr>
    <w:rPr>
      <w:rFonts w:ascii="Sim Sun" w:hAnsi="Sim Sun" w:eastAsia="Garamond" w:cs="Vladimir Script"/>
      <w:b w:val="0"/>
      <w:bCs w:val="0"/>
      <w:color w:val="000000"/>
      <w:kern w:val="0"/>
      <w:sz w:val="30"/>
    </w:rPr>
  </w:style>
  <w:style w:type="paragraph" w:customStyle="1" w:styleId="1475">
    <w:name w:val="样式 标题 2 + 段前: 0.3 行 段后: 0.3 行"/>
    <w:basedOn w:val="5"/>
    <w:qFormat/>
    <w:uiPriority w:val="0"/>
    <w:pPr>
      <w:widowControl/>
      <w:adjustRightInd w:val="0"/>
      <w:snapToGrid w:val="0"/>
      <w:spacing w:before="120" w:after="120" w:line="480" w:lineRule="exact"/>
      <w:ind w:firstLine="200"/>
    </w:pPr>
    <w:rPr>
      <w:rFonts w:ascii="Arial Unicode MS" w:hAnsi="Arial Unicode MS" w:eastAsia="仿宋体" w:cs="Sim Sun"/>
      <w:bCs w:val="0"/>
      <w:color w:val="000000"/>
      <w:kern w:val="0"/>
      <w:sz w:val="30"/>
      <w:szCs w:val="20"/>
    </w:rPr>
  </w:style>
  <w:style w:type="paragraph" w:customStyle="1" w:styleId="1476">
    <w:name w:val="样式 标题 3一标题3H3h33rd level第二层条头标题 3 Char Char标题 3 Char2标..."/>
    <w:basedOn w:val="6"/>
    <w:qFormat/>
    <w:uiPriority w:val="0"/>
    <w:pPr>
      <w:tabs>
        <w:tab w:val="left" w:pos="720"/>
      </w:tabs>
      <w:spacing w:beforeLines="50" w:afterLines="20" w:line="360" w:lineRule="exact"/>
      <w:ind w:left="720" w:hanging="720"/>
    </w:pPr>
    <w:rPr>
      <w:rFonts w:ascii="Sim Sun" w:hAnsi="Sim Sun" w:eastAsia="Garamond" w:cs="Vladimir Script"/>
      <w:b w:val="0"/>
      <w:bCs w:val="0"/>
      <w:color w:val="000000"/>
      <w:kern w:val="24"/>
      <w:sz w:val="30"/>
    </w:rPr>
  </w:style>
  <w:style w:type="paragraph" w:customStyle="1" w:styleId="1477">
    <w:name w:val="列表 21"/>
    <w:basedOn w:val="1"/>
    <w:qFormat/>
    <w:uiPriority w:val="0"/>
    <w:pPr>
      <w:spacing w:line="300" w:lineRule="auto"/>
      <w:ind w:left="100" w:leftChars="200" w:hanging="200" w:hangingChars="200"/>
    </w:pPr>
    <w:rPr>
      <w:rFonts w:ascii="Courier New" w:hAnsi="Courier New" w:eastAsia="Garamond" w:cs="Vladimir Script"/>
      <w:bCs/>
      <w:color w:val="000000"/>
      <w:kern w:val="24"/>
      <w:szCs w:val="20"/>
    </w:rPr>
  </w:style>
  <w:style w:type="paragraph" w:customStyle="1" w:styleId="1478">
    <w:name w:val="Objective"/>
    <w:basedOn w:val="1"/>
    <w:next w:val="28"/>
    <w:qFormat/>
    <w:uiPriority w:val="0"/>
    <w:pPr>
      <w:widowControl/>
      <w:spacing w:before="220" w:after="220" w:line="220" w:lineRule="atLeast"/>
      <w:ind w:firstLine="200"/>
    </w:pPr>
    <w:rPr>
      <w:rFonts w:ascii="Arial Unicode MS" w:hAnsi="Arial Unicode MS" w:cs="Vladimir Script"/>
      <w:bCs/>
      <w:color w:val="000000"/>
      <w:kern w:val="0"/>
      <w:sz w:val="20"/>
      <w:szCs w:val="20"/>
    </w:rPr>
  </w:style>
  <w:style w:type="paragraph" w:customStyle="1" w:styleId="1479">
    <w:name w:val="等核实"/>
    <w:basedOn w:val="778"/>
    <w:qFormat/>
    <w:uiPriority w:val="0"/>
    <w:pPr>
      <w:tabs>
        <w:tab w:val="left" w:pos="4305"/>
      </w:tabs>
      <w:snapToGrid w:val="0"/>
      <w:spacing w:line="300" w:lineRule="auto"/>
      <w:ind w:firstLine="567" w:firstLineChars="0"/>
    </w:pPr>
    <w:rPr>
      <w:rFonts w:ascii="Sim Sun" w:hAnsi="Sim Sun" w:eastAsia="Vladimir Script" w:cs="Vladimir Script"/>
      <w:color w:val="0000FF"/>
      <w:sz w:val="28"/>
    </w:rPr>
  </w:style>
  <w:style w:type="paragraph" w:customStyle="1" w:styleId="1480">
    <w:name w:val="Char Char1 Char Char Char Char Char Char Char2"/>
    <w:basedOn w:val="6"/>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1481">
    <w:name w:val="样式 样式 样式 标题 3标题3H3h33rd level第二层条头小标题小节标题标题 3 Char Char一海港标... + +"/>
    <w:basedOn w:val="1245"/>
    <w:qFormat/>
    <w:uiPriority w:val="0"/>
    <w:pPr>
      <w:spacing w:after="120"/>
    </w:pPr>
  </w:style>
  <w:style w:type="paragraph" w:customStyle="1" w:styleId="1482">
    <w:name w:val="ljw正文"/>
    <w:basedOn w:val="1"/>
    <w:qFormat/>
    <w:uiPriority w:val="0"/>
    <w:pPr>
      <w:adjustRightInd w:val="0"/>
      <w:snapToGrid w:val="0"/>
      <w:spacing w:afterLines="50" w:line="300" w:lineRule="auto"/>
      <w:ind w:firstLine="480"/>
    </w:pPr>
    <w:rPr>
      <w:rFonts w:ascii="Sim Sun" w:hAnsi="Sim Sun" w:cs="Vladimir Script"/>
      <w:color w:val="000000"/>
      <w:kern w:val="24"/>
      <w:szCs w:val="28"/>
    </w:rPr>
  </w:style>
  <w:style w:type="paragraph" w:customStyle="1" w:styleId="1483">
    <w:name w:val="正文首行缩进 21"/>
    <w:basedOn w:val="778"/>
    <w:qFormat/>
    <w:uiPriority w:val="0"/>
    <w:pPr>
      <w:spacing w:after="120" w:line="360" w:lineRule="auto"/>
      <w:ind w:left="420" w:leftChars="200" w:firstLine="420"/>
    </w:pPr>
    <w:rPr>
      <w:rFonts w:ascii="Arial Unicode MS" w:hAnsi="Arial Unicode MS" w:eastAsia="Times New Roman"/>
      <w:kern w:val="0"/>
      <w:szCs w:val="24"/>
    </w:rPr>
  </w:style>
  <w:style w:type="paragraph" w:customStyle="1" w:styleId="1484">
    <w:name w:val="王标题3"/>
    <w:basedOn w:val="6"/>
    <w:qFormat/>
    <w:uiPriority w:val="0"/>
    <w:pPr>
      <w:spacing w:beforeLines="30" w:afterLines="30" w:line="560" w:lineRule="exact"/>
      <w:ind w:firstLine="200"/>
    </w:pPr>
    <w:rPr>
      <w:rFonts w:ascii="Sim Sun" w:hAnsi="Sim Sun" w:eastAsia="仿宋体" w:cs="Vladimir Script"/>
      <w:bCs w:val="0"/>
      <w:color w:val="000000"/>
      <w:kern w:val="24"/>
      <w:sz w:val="28"/>
    </w:rPr>
  </w:style>
  <w:style w:type="paragraph" w:customStyle="1" w:styleId="1485">
    <w:name w:val="自定义表格文字居中"/>
    <w:basedOn w:val="1"/>
    <w:qFormat/>
    <w:uiPriority w:val="0"/>
    <w:pPr>
      <w:keepNext/>
      <w:adjustRightInd w:val="0"/>
      <w:snapToGrid w:val="0"/>
      <w:spacing w:line="360" w:lineRule="exact"/>
      <w:ind w:left="5" w:hanging="5"/>
      <w:jc w:val="center"/>
      <w:outlineLvl w:val="0"/>
    </w:pPr>
    <w:rPr>
      <w:rFonts w:ascii="Arial Unicode MS" w:hAnsi="Arial Unicode MS" w:cs="Vladimir Script"/>
      <w:bCs/>
      <w:color w:val="FF0000"/>
      <w:kern w:val="0"/>
      <w:szCs w:val="20"/>
    </w:rPr>
  </w:style>
  <w:style w:type="paragraph" w:customStyle="1" w:styleId="1486">
    <w:name w:val="索引标题1"/>
    <w:basedOn w:val="1"/>
    <w:next w:val="1234"/>
    <w:qFormat/>
    <w:uiPriority w:val="0"/>
    <w:pPr>
      <w:spacing w:line="440" w:lineRule="exact"/>
      <w:ind w:firstLine="200"/>
    </w:pPr>
    <w:rPr>
      <w:rFonts w:ascii="Arial Unicode MS" w:hAnsi="Arial Unicode MS" w:cs="Vladimir Script"/>
      <w:bCs/>
      <w:color w:val="000000"/>
      <w:kern w:val="24"/>
    </w:rPr>
  </w:style>
  <w:style w:type="paragraph" w:customStyle="1" w:styleId="1487">
    <w:name w:val="样式 宋体 小四 段后: 2.5 磅 行距: 固定值 20 磅"/>
    <w:basedOn w:val="1"/>
    <w:qFormat/>
    <w:uiPriority w:val="0"/>
    <w:pPr>
      <w:spacing w:after="50" w:line="400" w:lineRule="exact"/>
      <w:ind w:firstLineChars="300"/>
    </w:pPr>
    <w:rPr>
      <w:rFonts w:ascii="Sim Sun" w:hAnsi="Sim Sun" w:eastAsia="Garamond" w:cs="Vladimir Script"/>
      <w:bCs/>
      <w:color w:val="000000"/>
      <w:kern w:val="24"/>
      <w:szCs w:val="20"/>
    </w:rPr>
  </w:style>
  <w:style w:type="paragraph" w:customStyle="1" w:styleId="1488">
    <w:name w:val="列表编号 21"/>
    <w:basedOn w:val="1"/>
    <w:qFormat/>
    <w:uiPriority w:val="0"/>
    <w:pPr>
      <w:tabs>
        <w:tab w:val="left" w:pos="780"/>
      </w:tabs>
      <w:spacing w:line="480" w:lineRule="exact"/>
      <w:ind w:left="780" w:leftChars="200" w:hanging="360" w:hangingChars="200"/>
    </w:pPr>
    <w:rPr>
      <w:rFonts w:ascii="Arial Unicode MS" w:hAnsi="Arial Unicode MS" w:cs="Vladimir Script"/>
      <w:bCs/>
      <w:color w:val="000000"/>
      <w:kern w:val="24"/>
    </w:rPr>
  </w:style>
  <w:style w:type="paragraph" w:customStyle="1" w:styleId="1489">
    <w:name w:val="msoacetate"/>
    <w:basedOn w:val="1"/>
    <w:qFormat/>
    <w:uiPriority w:val="0"/>
    <w:pPr>
      <w:adjustRightInd w:val="0"/>
      <w:spacing w:line="360" w:lineRule="atLeast"/>
      <w:ind w:firstLine="567"/>
    </w:pPr>
    <w:rPr>
      <w:rFonts w:ascii="Arial Unicode MS" w:hAnsi="Arial Unicode MS" w:cs="Vladimir Script"/>
      <w:bCs/>
      <w:color w:val="000000"/>
      <w:kern w:val="0"/>
      <w:sz w:val="18"/>
      <w:szCs w:val="18"/>
    </w:rPr>
  </w:style>
  <w:style w:type="paragraph" w:customStyle="1" w:styleId="1490">
    <w:name w:val="样式 首行缩进:  2 字符20"/>
    <w:basedOn w:val="1"/>
    <w:qFormat/>
    <w:uiPriority w:val="0"/>
    <w:pPr>
      <w:spacing w:line="520" w:lineRule="exact"/>
      <w:ind w:firstLine="560"/>
    </w:pPr>
    <w:rPr>
      <w:rFonts w:ascii="Arial Unicode MS" w:hAnsi="Arial Unicode MS" w:cs="Sim Sun"/>
      <w:bCs/>
      <w:color w:val="000000"/>
      <w:kern w:val="24"/>
      <w:szCs w:val="20"/>
    </w:rPr>
  </w:style>
  <w:style w:type="paragraph" w:customStyle="1" w:styleId="1491">
    <w:name w:val="样式 样式2 + 首行缩进:  2 字符"/>
    <w:basedOn w:val="1"/>
    <w:qFormat/>
    <w:uiPriority w:val="0"/>
    <w:pPr>
      <w:adjustRightInd w:val="0"/>
      <w:snapToGrid w:val="0"/>
      <w:ind w:firstLine="200"/>
    </w:pPr>
    <w:rPr>
      <w:rFonts w:ascii="Sim Sun" w:hAnsi="Sim Sun" w:cs="Sim Sun"/>
      <w:b/>
      <w:bCs/>
      <w:color w:val="000000"/>
      <w:kern w:val="24"/>
      <w:sz w:val="28"/>
      <w:szCs w:val="28"/>
    </w:rPr>
  </w:style>
  <w:style w:type="paragraph" w:customStyle="1" w:styleId="1492">
    <w:name w:val="表加粗"/>
    <w:basedOn w:val="11"/>
    <w:qFormat/>
    <w:uiPriority w:val="0"/>
    <w:pPr>
      <w:keepNext w:val="0"/>
      <w:keepLines w:val="0"/>
      <w:topLinePunct/>
      <w:snapToGrid w:val="0"/>
      <w:spacing w:before="0" w:after="0" w:line="360" w:lineRule="exact"/>
      <w:ind w:left="0" w:firstLine="0"/>
      <w:jc w:val="center"/>
      <w:textAlignment w:val="baseline"/>
      <w:outlineLvl w:val="9"/>
    </w:pPr>
    <w:rPr>
      <w:rFonts w:ascii="ˎ̥" w:hAnsi="ˎ̥" w:eastAsia="Garamond" w:cs="Vladimir Script"/>
      <w:b/>
      <w:szCs w:val="20"/>
    </w:rPr>
  </w:style>
  <w:style w:type="paragraph" w:customStyle="1" w:styleId="1493">
    <w:name w:val="样式 样式 表格文字统一样式 + Arial 小五 非加粗 自动设置 行距: 单倍行距1 + 段后: 0.5 行"/>
    <w:basedOn w:val="815"/>
    <w:qFormat/>
    <w:uiPriority w:val="0"/>
  </w:style>
  <w:style w:type="paragraph" w:customStyle="1" w:styleId="1494">
    <w:name w:val="小标题@"/>
    <w:basedOn w:val="1"/>
    <w:qFormat/>
    <w:uiPriority w:val="0"/>
    <w:pPr>
      <w:tabs>
        <w:tab w:val="left" w:pos="840"/>
      </w:tabs>
      <w:adjustRightInd w:val="0"/>
      <w:spacing w:before="60" w:after="60" w:line="440" w:lineRule="exact"/>
      <w:ind w:left="828" w:hanging="348"/>
      <w:textAlignment w:val="baseline"/>
    </w:pPr>
    <w:rPr>
      <w:rFonts w:ascii="Arial Unicode MS" w:hAnsi="Arial Unicode MS" w:cs="Vladimir Script"/>
      <w:bCs/>
      <w:color w:val="000000"/>
      <w:kern w:val="24"/>
      <w:szCs w:val="20"/>
    </w:rPr>
  </w:style>
  <w:style w:type="paragraph" w:customStyle="1" w:styleId="1495">
    <w:name w:val="样式 表格1 + 首行缩进:  2 字符1"/>
    <w:basedOn w:val="1026"/>
    <w:qFormat/>
    <w:uiPriority w:val="0"/>
    <w:pPr>
      <w:spacing w:line="400" w:lineRule="exact"/>
      <w:ind w:firstLine="200"/>
      <w:jc w:val="left"/>
    </w:pPr>
    <w:rPr>
      <w:rFonts w:hint="default" w:ascii="Arial Unicode MS" w:hAnsi="Arial Unicode MS" w:cs="Sim Sun"/>
    </w:rPr>
  </w:style>
  <w:style w:type="paragraph" w:customStyle="1" w:styleId="1496">
    <w:name w:val="样式 标题 11.标题 1一、标题 1 Char Char Char Char + 小四"/>
    <w:basedOn w:val="4"/>
    <w:qFormat/>
    <w:uiPriority w:val="0"/>
    <w:pPr>
      <w:keepLines/>
      <w:tabs>
        <w:tab w:val="left" w:pos="432"/>
      </w:tabs>
      <w:overflowPunct/>
      <w:snapToGrid/>
      <w:spacing w:beforeLines="50" w:afterLines="50" w:line="440" w:lineRule="exact"/>
      <w:ind w:firstLine="200"/>
      <w:textAlignment w:val="baseline"/>
    </w:pPr>
    <w:rPr>
      <w:rFonts w:ascii="仿宋体" w:hAnsi="Arial Unicode MS" w:eastAsia="仿宋体" w:cs="Vladimir Script"/>
      <w:sz w:val="28"/>
      <w:szCs w:val="20"/>
    </w:rPr>
  </w:style>
  <w:style w:type="paragraph" w:customStyle="1" w:styleId="1497">
    <w:name w:val="Char2 Char Char Char Char Char Char1"/>
    <w:basedOn w:val="1"/>
    <w:qFormat/>
    <w:uiPriority w:val="0"/>
    <w:pPr>
      <w:spacing w:line="440" w:lineRule="exact"/>
      <w:ind w:firstLine="200"/>
    </w:pPr>
    <w:rPr>
      <w:rFonts w:ascii="ˎ̥" w:hAnsi="ˎ̥" w:eastAsia="仿宋体" w:cs="ˎ̥"/>
      <w:bCs/>
      <w:color w:val="000000"/>
      <w:kern w:val="24"/>
      <w:szCs w:val="20"/>
    </w:rPr>
  </w:style>
  <w:style w:type="paragraph" w:customStyle="1" w:styleId="1498">
    <w:name w:val="Char Char Char Char Char Char Char Char Char2"/>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499">
    <w:name w:val="Address 2"/>
    <w:basedOn w:val="1"/>
    <w:qFormat/>
    <w:uiPriority w:val="0"/>
    <w:pPr>
      <w:widowControl/>
      <w:spacing w:line="200" w:lineRule="atLeast"/>
      <w:ind w:firstLine="200"/>
    </w:pPr>
    <w:rPr>
      <w:rFonts w:ascii="Arial Unicode MS" w:hAnsi="Arial Unicode MS" w:cs="Vladimir Script"/>
      <w:bCs/>
      <w:color w:val="000000"/>
      <w:kern w:val="0"/>
      <w:sz w:val="16"/>
      <w:szCs w:val="20"/>
    </w:rPr>
  </w:style>
  <w:style w:type="paragraph" w:customStyle="1" w:styleId="1500">
    <w:name w:val="样式 正文文本缩进 2正文文字缩进 2 + 四号 蓝色 Char"/>
    <w:basedOn w:val="308"/>
    <w:qFormat/>
    <w:uiPriority w:val="0"/>
    <w:pPr>
      <w:autoSpaceDE/>
      <w:autoSpaceDN/>
      <w:spacing w:after="0" w:line="480" w:lineRule="exact"/>
      <w:ind w:left="0" w:leftChars="0" w:firstLine="709"/>
      <w:jc w:val="both"/>
    </w:pPr>
    <w:rPr>
      <w:rFonts w:ascii="Sim Sun" w:hAnsi="Sim Sun"/>
      <w:color w:val="0000FF"/>
      <w:spacing w:val="8"/>
    </w:rPr>
  </w:style>
  <w:style w:type="paragraph" w:customStyle="1" w:styleId="1501">
    <w:name w:val="1级样式."/>
    <w:basedOn w:val="1"/>
    <w:qFormat/>
    <w:uiPriority w:val="0"/>
    <w:pPr>
      <w:keepNext/>
      <w:keepLines/>
      <w:widowControl/>
      <w:tabs>
        <w:tab w:val="left" w:pos="900"/>
      </w:tabs>
      <w:spacing w:beforeLines="50" w:afterLines="100"/>
      <w:ind w:left="900" w:hanging="420"/>
      <w:outlineLvl w:val="0"/>
    </w:pPr>
    <w:rPr>
      <w:rFonts w:ascii="Arial Unicode MS" w:hAnsi="Arial Unicode MS" w:eastAsia="仿宋体" w:cs="Vladimir Script"/>
      <w:bCs/>
      <w:color w:val="000000"/>
      <w:kern w:val="44"/>
      <w:sz w:val="36"/>
      <w:szCs w:val="36"/>
    </w:rPr>
  </w:style>
  <w:style w:type="paragraph" w:customStyle="1" w:styleId="1502">
    <w:name w:val="Char Char Char Char2"/>
    <w:basedOn w:val="1"/>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1503">
    <w:name w:val="日期2"/>
    <w:basedOn w:val="1"/>
    <w:next w:val="1"/>
    <w:qFormat/>
    <w:uiPriority w:val="0"/>
    <w:pPr>
      <w:adjustRightInd w:val="0"/>
      <w:spacing w:line="312" w:lineRule="atLeast"/>
      <w:ind w:firstLine="200"/>
      <w:jc w:val="right"/>
      <w:textAlignment w:val="baseline"/>
    </w:pPr>
    <w:rPr>
      <w:rFonts w:ascii="Arial Unicode MS" w:hAnsi="Arial Unicode MS" w:cs="Vladimir Script"/>
      <w:bCs/>
      <w:color w:val="000000"/>
      <w:kern w:val="0"/>
      <w:szCs w:val="20"/>
    </w:rPr>
  </w:style>
  <w:style w:type="paragraph" w:customStyle="1" w:styleId="1504">
    <w:name w:val="海港表格文字"/>
    <w:basedOn w:val="164"/>
    <w:qFormat/>
    <w:uiPriority w:val="0"/>
    <w:pPr>
      <w:adjustRightInd w:val="0"/>
      <w:spacing w:line="300" w:lineRule="exact"/>
      <w:ind w:left="-56" w:leftChars="-30" w:right="-63" w:rightChars="-30"/>
      <w:textAlignment w:val="baseline"/>
    </w:pPr>
    <w:rPr>
      <w:rFonts w:ascii="Arial Unicode MS" w:hAnsi="Arial Unicode MS" w:eastAsia="Garamond" w:cs="Vladimir Script"/>
      <w:bCs/>
      <w:color w:val="000000"/>
      <w:spacing w:val="0"/>
      <w:kern w:val="21"/>
      <w:szCs w:val="20"/>
    </w:rPr>
  </w:style>
  <w:style w:type="paragraph" w:customStyle="1" w:styleId="1505">
    <w:name w:val="框图文字1"/>
    <w:basedOn w:val="1"/>
    <w:qFormat/>
    <w:uiPriority w:val="0"/>
    <w:pPr>
      <w:adjustRightInd w:val="0"/>
      <w:snapToGrid w:val="0"/>
      <w:spacing w:beforeLines="25" w:line="440" w:lineRule="exact"/>
      <w:ind w:firstLine="200"/>
      <w:jc w:val="center"/>
      <w:textAlignment w:val="baseline"/>
    </w:pPr>
    <w:rPr>
      <w:rFonts w:ascii="Arial Unicode MS" w:hAnsi="Arial Unicode MS" w:cs="Vladimir Script"/>
      <w:bCs/>
      <w:color w:val="000000"/>
      <w:kern w:val="24"/>
      <w:sz w:val="18"/>
      <w:szCs w:val="20"/>
    </w:rPr>
  </w:style>
  <w:style w:type="paragraph" w:customStyle="1" w:styleId="1506">
    <w:name w:val="节标"/>
    <w:basedOn w:val="1"/>
    <w:qFormat/>
    <w:uiPriority w:val="0"/>
    <w:pPr>
      <w:widowControl/>
      <w:autoSpaceDE w:val="0"/>
      <w:autoSpaceDN w:val="0"/>
      <w:adjustRightInd w:val="0"/>
      <w:spacing w:line="480" w:lineRule="exact"/>
      <w:ind w:firstLine="567"/>
      <w:jc w:val="center"/>
      <w:textAlignment w:val="bottom"/>
    </w:pPr>
    <w:rPr>
      <w:rFonts w:ascii="Arial Unicode MS" w:hAnsi="Arial Unicode MS" w:cs="Vladimir Script"/>
      <w:b/>
      <w:bCs/>
      <w:color w:val="000000"/>
      <w:kern w:val="0"/>
      <w:sz w:val="30"/>
      <w:szCs w:val="20"/>
    </w:rPr>
  </w:style>
  <w:style w:type="paragraph" w:customStyle="1" w:styleId="1507">
    <w:name w:val="列出段落1"/>
    <w:basedOn w:val="1"/>
    <w:qFormat/>
    <w:uiPriority w:val="0"/>
    <w:pPr>
      <w:spacing w:line="440" w:lineRule="exact"/>
      <w:ind w:firstLine="420"/>
    </w:pPr>
    <w:rPr>
      <w:rFonts w:cs="Vladimir Script"/>
      <w:bCs/>
      <w:color w:val="000000"/>
      <w:kern w:val="24"/>
      <w:szCs w:val="22"/>
    </w:rPr>
  </w:style>
  <w:style w:type="paragraph" w:customStyle="1" w:styleId="1508">
    <w:name w:val="正文缩近"/>
    <w:basedOn w:val="1"/>
    <w:qFormat/>
    <w:uiPriority w:val="0"/>
    <w:pPr>
      <w:ind w:firstLine="560"/>
    </w:pPr>
    <w:rPr>
      <w:rFonts w:ascii="Arial Unicode MS" w:hAnsi="Arial Unicode MS" w:cs="Vladimir Script"/>
      <w:bCs/>
      <w:color w:val="000000"/>
      <w:kern w:val="24"/>
      <w:sz w:val="28"/>
      <w:szCs w:val="28"/>
    </w:rPr>
  </w:style>
  <w:style w:type="paragraph" w:customStyle="1" w:styleId="1509">
    <w:name w:val="样式 宋体 小四 左 首行缩进:  0.85 厘米 段后: 2.5 磅 行距: 固定值 20 磅"/>
    <w:basedOn w:val="1"/>
    <w:qFormat/>
    <w:uiPriority w:val="0"/>
    <w:pPr>
      <w:spacing w:after="50" w:line="400" w:lineRule="exact"/>
      <w:ind w:firstLine="480"/>
    </w:pPr>
    <w:rPr>
      <w:rFonts w:ascii="Sim Sun" w:hAnsi="Sim Sun" w:eastAsia="Garamond" w:cs="Vladimir Script"/>
      <w:bCs/>
      <w:color w:val="000000"/>
      <w:kern w:val="24"/>
      <w:szCs w:val="20"/>
    </w:rPr>
  </w:style>
  <w:style w:type="paragraph" w:customStyle="1" w:styleId="1510">
    <w:name w:val="样式 样式 首行缩进:  2 字符 + 首行缩进:  2 字符"/>
    <w:basedOn w:val="1"/>
    <w:qFormat/>
    <w:uiPriority w:val="0"/>
    <w:pPr>
      <w:adjustRightInd w:val="0"/>
      <w:snapToGrid w:val="0"/>
      <w:spacing w:line="420" w:lineRule="atLeast"/>
      <w:ind w:firstLine="200"/>
    </w:pPr>
    <w:rPr>
      <w:rFonts w:ascii="Arial Unicode MS" w:hAnsi="Arial Unicode MS" w:cs="Vladimir Script"/>
      <w:bCs/>
      <w:color w:val="000000"/>
      <w:kern w:val="0"/>
      <w:szCs w:val="20"/>
    </w:rPr>
  </w:style>
  <w:style w:type="paragraph" w:customStyle="1" w:styleId="1511">
    <w:name w:val="Char Char Char1 Char11"/>
    <w:basedOn w:val="1"/>
    <w:qFormat/>
    <w:uiPriority w:val="0"/>
    <w:pPr>
      <w:adjustRightInd w:val="0"/>
      <w:snapToGrid w:val="0"/>
      <w:spacing w:line="440" w:lineRule="exact"/>
      <w:ind w:left="-45" w:firstLine="200"/>
    </w:pPr>
    <w:rPr>
      <w:rFonts w:ascii="Arial Unicode MS" w:hAnsi="Arial Unicode MS" w:cs="Vladimir Script"/>
      <w:bCs/>
      <w:color w:val="000000"/>
      <w:kern w:val="24"/>
    </w:rPr>
  </w:style>
  <w:style w:type="paragraph" w:customStyle="1" w:styleId="1512">
    <w:name w:val="标题 2 + 段前: 0.3 行 段后: 0.3 行1"/>
    <w:basedOn w:val="5"/>
    <w:next w:val="1"/>
    <w:qFormat/>
    <w:uiPriority w:val="0"/>
    <w:pPr>
      <w:widowControl/>
      <w:adjustRightInd w:val="0"/>
      <w:snapToGrid w:val="0"/>
      <w:spacing w:before="120" w:after="120" w:line="480" w:lineRule="exact"/>
      <w:ind w:left="1" w:firstLine="1"/>
    </w:pPr>
    <w:rPr>
      <w:rFonts w:ascii="Arial Unicode MS" w:hAnsi="Arial Unicode MS" w:eastAsia="仿宋体" w:cs="Sim Sun"/>
      <w:b w:val="0"/>
      <w:bCs w:val="0"/>
      <w:color w:val="000000"/>
      <w:kern w:val="0"/>
      <w:sz w:val="30"/>
      <w:szCs w:val="20"/>
    </w:rPr>
  </w:style>
  <w:style w:type="paragraph" w:customStyle="1" w:styleId="1513">
    <w:name w:val="reader-word-layer reader-word-s5-30"/>
    <w:basedOn w:val="1"/>
    <w:qFormat/>
    <w:uiPriority w:val="0"/>
    <w:pPr>
      <w:widowControl/>
      <w:spacing w:before="100" w:beforeAutospacing="1" w:after="100" w:afterAutospacing="1"/>
    </w:pPr>
    <w:rPr>
      <w:rFonts w:ascii="宋体" w:hAnsi="宋体" w:cs="宋体"/>
      <w:bCs/>
      <w:color w:val="000000"/>
      <w:kern w:val="0"/>
    </w:rPr>
  </w:style>
  <w:style w:type="paragraph" w:customStyle="1" w:styleId="1514">
    <w:name w:val="p0"/>
    <w:basedOn w:val="1"/>
    <w:qFormat/>
    <w:uiPriority w:val="0"/>
    <w:pPr>
      <w:widowControl/>
    </w:pPr>
    <w:rPr>
      <w:rFonts w:ascii="Batang" w:hAnsi="Batang" w:cs="Batang"/>
      <w:bCs/>
      <w:color w:val="000000"/>
      <w:kern w:val="0"/>
      <w:szCs w:val="21"/>
    </w:rPr>
  </w:style>
  <w:style w:type="paragraph" w:customStyle="1" w:styleId="1515">
    <w:name w:val="p15"/>
    <w:basedOn w:val="1"/>
    <w:qFormat/>
    <w:uiPriority w:val="0"/>
    <w:pPr>
      <w:widowControl/>
      <w:spacing w:line="360" w:lineRule="atLeast"/>
      <w:jc w:val="center"/>
    </w:pPr>
    <w:rPr>
      <w:rFonts w:ascii="Vladimir Script" w:hAnsi="Vladimir Script" w:cs="Vladimir Script"/>
      <w:bCs/>
      <w:color w:val="000000"/>
      <w:spacing w:val="4"/>
      <w:kern w:val="0"/>
      <w:szCs w:val="21"/>
    </w:rPr>
  </w:style>
  <w:style w:type="paragraph" w:customStyle="1" w:styleId="1516">
    <w:name w:val="样式 小四"/>
    <w:basedOn w:val="1"/>
    <w:qFormat/>
    <w:uiPriority w:val="0"/>
    <w:pPr>
      <w:adjustRightInd w:val="0"/>
      <w:spacing w:line="480" w:lineRule="atLeast"/>
      <w:ind w:firstLine="510"/>
      <w:textAlignment w:val="baseline"/>
    </w:pPr>
    <w:rPr>
      <w:rFonts w:ascii="Cambria" w:hAnsi="Cambria" w:cs="Cambria"/>
      <w:bCs/>
      <w:color w:val="000000"/>
      <w:kern w:val="0"/>
      <w:szCs w:val="20"/>
    </w:rPr>
  </w:style>
  <w:style w:type="paragraph" w:customStyle="1" w:styleId="1517">
    <w:name w:val="正文样式11"/>
    <w:basedOn w:val="1"/>
    <w:qFormat/>
    <w:uiPriority w:val="0"/>
    <w:pPr>
      <w:ind w:firstLine="480"/>
    </w:pPr>
    <w:rPr>
      <w:rFonts w:ascii="宋体" w:hAnsi="宋体" w:cs="Arial"/>
      <w:color w:val="000000"/>
      <w:kern w:val="24"/>
    </w:rPr>
  </w:style>
  <w:style w:type="paragraph" w:customStyle="1" w:styleId="1518">
    <w:name w:val="Char Char7 Char Char Char Char Char Char Char Char Char Char Char Char Char"/>
    <w:basedOn w:val="1"/>
    <w:qFormat/>
    <w:uiPriority w:val="0"/>
    <w:rPr>
      <w:bCs/>
      <w:color w:val="000000"/>
      <w:kern w:val="24"/>
      <w:sz w:val="28"/>
    </w:rPr>
  </w:style>
  <w:style w:type="paragraph" w:customStyle="1" w:styleId="1519">
    <w:name w:val="f14"/>
    <w:basedOn w:val="1"/>
    <w:qFormat/>
    <w:uiPriority w:val="0"/>
    <w:pPr>
      <w:widowControl/>
      <w:wordWrap w:val="0"/>
      <w:spacing w:before="100" w:beforeAutospacing="1" w:after="100" w:afterAutospacing="1"/>
    </w:pPr>
    <w:rPr>
      <w:rFonts w:ascii="宋体" w:hAnsi="宋体" w:cs="宋体"/>
      <w:bCs/>
      <w:color w:val="333333"/>
      <w:kern w:val="0"/>
      <w:szCs w:val="21"/>
    </w:rPr>
  </w:style>
  <w:style w:type="paragraph" w:customStyle="1" w:styleId="1520">
    <w:name w:val="二级标题"/>
    <w:basedOn w:val="1"/>
    <w:qFormat/>
    <w:uiPriority w:val="0"/>
    <w:pPr>
      <w:spacing w:before="120" w:after="120" w:line="440" w:lineRule="exact"/>
      <w:ind w:firstLine="560"/>
    </w:pPr>
    <w:rPr>
      <w:bCs/>
      <w:color w:val="000000"/>
      <w:kern w:val="24"/>
      <w:sz w:val="28"/>
    </w:rPr>
  </w:style>
  <w:style w:type="paragraph" w:customStyle="1" w:styleId="1521">
    <w:name w:val="yyp"/>
    <w:basedOn w:val="1"/>
    <w:next w:val="1"/>
    <w:qFormat/>
    <w:uiPriority w:val="0"/>
    <w:pPr>
      <w:spacing w:after="120"/>
      <w:ind w:firstLine="480"/>
    </w:pPr>
    <w:rPr>
      <w:bCs/>
      <w:color w:val="000000"/>
      <w:kern w:val="24"/>
    </w:rPr>
  </w:style>
  <w:style w:type="paragraph" w:customStyle="1" w:styleId="1522">
    <w:name w:val="dxj正文"/>
    <w:basedOn w:val="1"/>
    <w:qFormat/>
    <w:uiPriority w:val="0"/>
    <w:pPr>
      <w:ind w:firstLine="200"/>
    </w:pPr>
    <w:rPr>
      <w:bCs/>
      <w:color w:val="000000"/>
      <w:kern w:val="24"/>
    </w:rPr>
  </w:style>
  <w:style w:type="paragraph" w:customStyle="1" w:styleId="1523">
    <w:name w:val="样式 表格图文 + 五号 行距: 固定值 18 磅"/>
    <w:basedOn w:val="128"/>
    <w:qFormat/>
    <w:uiPriority w:val="0"/>
    <w:pPr>
      <w:widowControl/>
      <w:snapToGrid/>
      <w:spacing w:beforeLines="0" w:afterLines="0" w:line="360" w:lineRule="exact"/>
      <w:textAlignment w:val="baseline"/>
    </w:pPr>
    <w:rPr>
      <w:rFonts w:ascii="Times New Roman" w:cs="宋体"/>
      <w:bCs/>
      <w:color w:val="000000"/>
    </w:rPr>
  </w:style>
  <w:style w:type="paragraph" w:customStyle="1" w:styleId="1524">
    <w:name w:val="reader-word-layer reader-word-s1-16"/>
    <w:basedOn w:val="1"/>
    <w:qFormat/>
    <w:uiPriority w:val="0"/>
    <w:pPr>
      <w:widowControl/>
      <w:spacing w:before="100" w:beforeAutospacing="1" w:after="100" w:afterAutospacing="1"/>
    </w:pPr>
    <w:rPr>
      <w:rFonts w:ascii="宋体" w:hAnsi="宋体" w:cs="宋体"/>
      <w:bCs/>
      <w:color w:val="000000"/>
      <w:kern w:val="0"/>
    </w:rPr>
  </w:style>
  <w:style w:type="paragraph" w:customStyle="1" w:styleId="1525">
    <w:name w:val="reader-word-layer reader-word-s1-19"/>
    <w:basedOn w:val="1"/>
    <w:qFormat/>
    <w:uiPriority w:val="0"/>
    <w:pPr>
      <w:widowControl/>
      <w:spacing w:before="100" w:beforeAutospacing="1" w:after="100" w:afterAutospacing="1"/>
    </w:pPr>
    <w:rPr>
      <w:rFonts w:ascii="宋体" w:hAnsi="宋体" w:cs="宋体"/>
      <w:bCs/>
      <w:color w:val="000000"/>
      <w:kern w:val="0"/>
    </w:rPr>
  </w:style>
  <w:style w:type="paragraph" w:customStyle="1" w:styleId="1526">
    <w:name w:val="reader-word-layer reader-word-s1-18"/>
    <w:basedOn w:val="1"/>
    <w:qFormat/>
    <w:uiPriority w:val="0"/>
    <w:pPr>
      <w:widowControl/>
      <w:spacing w:before="100" w:beforeAutospacing="1" w:after="100" w:afterAutospacing="1"/>
    </w:pPr>
    <w:rPr>
      <w:rFonts w:ascii="宋体" w:hAnsi="宋体" w:cs="宋体"/>
      <w:bCs/>
      <w:color w:val="000000"/>
      <w:kern w:val="0"/>
    </w:rPr>
  </w:style>
  <w:style w:type="paragraph" w:customStyle="1" w:styleId="1527">
    <w:name w:val="reader-word-layer reader-word-s1-23"/>
    <w:basedOn w:val="1"/>
    <w:qFormat/>
    <w:uiPriority w:val="0"/>
    <w:pPr>
      <w:widowControl/>
      <w:spacing w:before="100" w:beforeAutospacing="1" w:after="100" w:afterAutospacing="1"/>
    </w:pPr>
    <w:rPr>
      <w:rFonts w:ascii="宋体" w:hAnsi="宋体" w:cs="宋体"/>
      <w:bCs/>
      <w:color w:val="000000"/>
      <w:kern w:val="0"/>
    </w:rPr>
  </w:style>
  <w:style w:type="paragraph" w:customStyle="1" w:styleId="1528">
    <w:name w:val="表格标题"/>
    <w:basedOn w:val="28"/>
    <w:semiHidden/>
    <w:qFormat/>
    <w:uiPriority w:val="0"/>
    <w:pPr>
      <w:widowControl w:val="0"/>
      <w:snapToGrid/>
      <w:spacing w:before="0" w:after="0" w:line="440" w:lineRule="exact"/>
      <w:ind w:right="0" w:firstLine="482"/>
    </w:pPr>
    <w:rPr>
      <w:rFonts w:ascii="Batang" w:hAnsi="Batang" w:cs="Batang"/>
      <w:b/>
      <w:bCs/>
      <w:color w:val="000000"/>
      <w:kern w:val="24"/>
      <w:sz w:val="24"/>
      <w:szCs w:val="24"/>
    </w:rPr>
  </w:style>
  <w:style w:type="paragraph" w:customStyle="1" w:styleId="1529">
    <w:name w:val="正文正文"/>
    <w:basedOn w:val="1"/>
    <w:qFormat/>
    <w:uiPriority w:val="0"/>
    <w:pPr>
      <w:spacing w:before="156" w:after="156"/>
      <w:ind w:firstLine="480"/>
    </w:pPr>
    <w:rPr>
      <w:rFonts w:ascii="Batang" w:hAnsi="Batang" w:cs="宋体"/>
      <w:bCs/>
      <w:color w:val="000000"/>
      <w:kern w:val="24"/>
      <w:szCs w:val="20"/>
    </w:rPr>
  </w:style>
  <w:style w:type="paragraph" w:customStyle="1" w:styleId="1530">
    <w:name w:val="表内容"/>
    <w:qFormat/>
    <w:uiPriority w:val="0"/>
    <w:pPr>
      <w:jc w:val="center"/>
    </w:pPr>
    <w:rPr>
      <w:rFonts w:ascii="Vladimir Script" w:hAnsi="Vladimir Script" w:eastAsia="宋体" w:cs="Times New Roman"/>
      <w:bCs/>
      <w:color w:val="000000"/>
      <w:sz w:val="21"/>
      <w:szCs w:val="24"/>
      <w:lang w:val="en-US" w:eastAsia="zh-CN" w:bidi="ar-SA"/>
    </w:rPr>
  </w:style>
  <w:style w:type="paragraph" w:customStyle="1" w:styleId="1531">
    <w:name w:val="新标题样式"/>
    <w:basedOn w:val="1"/>
    <w:qFormat/>
    <w:uiPriority w:val="0"/>
    <w:pPr>
      <w:tabs>
        <w:tab w:val="left" w:pos="567"/>
      </w:tabs>
    </w:pPr>
    <w:rPr>
      <w:rFonts w:eastAsia="黑体"/>
      <w:b/>
      <w:bCs/>
      <w:color w:val="000000"/>
      <w:spacing w:val="20"/>
      <w:kern w:val="24"/>
      <w:szCs w:val="20"/>
    </w:rPr>
  </w:style>
  <w:style w:type="paragraph" w:customStyle="1" w:styleId="1532">
    <w:name w:val="样式 Times New Roman 两端对齐 首行缩进:  0.85 厘米 行距: 固定值 22 磅"/>
    <w:basedOn w:val="1"/>
    <w:qFormat/>
    <w:uiPriority w:val="0"/>
    <w:pPr>
      <w:widowControl/>
      <w:spacing w:line="440" w:lineRule="exact"/>
      <w:ind w:firstLine="200"/>
    </w:pPr>
    <w:rPr>
      <w:rFonts w:cs="宋体"/>
      <w:bCs/>
      <w:color w:val="000000"/>
      <w:kern w:val="0"/>
      <w:szCs w:val="20"/>
    </w:rPr>
  </w:style>
  <w:style w:type="paragraph" w:customStyle="1" w:styleId="1533">
    <w:name w:val="proposal"/>
    <w:basedOn w:val="1"/>
    <w:qFormat/>
    <w:uiPriority w:val="0"/>
    <w:pPr>
      <w:widowControl/>
      <w:spacing w:line="300" w:lineRule="auto"/>
      <w:ind w:left="1440" w:hanging="1440"/>
    </w:pPr>
    <w:rPr>
      <w:bCs/>
      <w:color w:val="000000"/>
      <w:kern w:val="0"/>
      <w:szCs w:val="20"/>
      <w:lang w:val="en-GB" w:eastAsia="en-GB"/>
    </w:rPr>
  </w:style>
  <w:style w:type="paragraph" w:customStyle="1" w:styleId="1534">
    <w:name w:val="pic-info"/>
    <w:basedOn w:val="1"/>
    <w:qFormat/>
    <w:uiPriority w:val="0"/>
    <w:pPr>
      <w:widowControl/>
      <w:spacing w:before="100" w:beforeAutospacing="1" w:after="100" w:afterAutospacing="1"/>
    </w:pPr>
    <w:rPr>
      <w:rFonts w:ascii="宋体" w:hAnsi="宋体" w:cs="宋体"/>
      <w:bCs/>
      <w:color w:val="000000"/>
      <w:kern w:val="0"/>
    </w:rPr>
  </w:style>
  <w:style w:type="paragraph" w:customStyle="1" w:styleId="1535">
    <w:name w:val="样式 正文首行缩进 + 首行缩进:  0 字符"/>
    <w:basedOn w:val="77"/>
    <w:qFormat/>
    <w:uiPriority w:val="0"/>
    <w:pPr>
      <w:snapToGrid w:val="0"/>
      <w:spacing w:line="360" w:lineRule="auto"/>
      <w:textAlignment w:val="auto"/>
    </w:pPr>
    <w:rPr>
      <w:rFonts w:eastAsia="宋体-方正超大字符集"/>
      <w:color w:val="0000FF"/>
      <w:kern w:val="2"/>
      <w:szCs w:val="28"/>
    </w:rPr>
  </w:style>
  <w:style w:type="paragraph" w:customStyle="1" w:styleId="1536">
    <w:name w:val="样式4 Char Char"/>
    <w:basedOn w:val="2"/>
    <w:qFormat/>
    <w:uiPriority w:val="0"/>
    <w:pPr>
      <w:spacing w:line="460" w:lineRule="exact"/>
      <w:ind w:firstLine="0"/>
    </w:pPr>
    <w:rPr>
      <w:rFonts w:ascii="Arial" w:hAnsi="Arial" w:eastAsia="宋体-方正超大字符集"/>
      <w:bCs/>
      <w:color w:val="000000"/>
      <w:kern w:val="0"/>
      <w:sz w:val="24"/>
      <w:szCs w:val="24"/>
    </w:rPr>
  </w:style>
  <w:style w:type="paragraph" w:customStyle="1" w:styleId="1537">
    <w:name w:val="安评 标题 2 + 宋体 四号 黑色 段前: 7.8 磅 段后: 0 磅 行距: 单倍行距"/>
    <w:basedOn w:val="5"/>
    <w:qFormat/>
    <w:uiPriority w:val="0"/>
    <w:pPr>
      <w:spacing w:before="156" w:after="0" w:line="240" w:lineRule="auto"/>
    </w:pPr>
    <w:rPr>
      <w:rFonts w:ascii="宋体" w:hAnsi="宋体"/>
      <w:smallCaps/>
      <w:color w:val="000000"/>
      <w:kern w:val="24"/>
      <w:sz w:val="28"/>
      <w:szCs w:val="21"/>
    </w:rPr>
  </w:style>
  <w:style w:type="paragraph" w:customStyle="1" w:styleId="1538">
    <w:name w:val="Char Char1 Char Char Char Char Char Char Char Char Char Char Char Char Char Char Char Char Char Char Char Char1 Char"/>
    <w:basedOn w:val="1"/>
    <w:qFormat/>
    <w:uiPriority w:val="0"/>
    <w:pPr>
      <w:ind w:firstLine="200"/>
    </w:pPr>
    <w:rPr>
      <w:bCs/>
      <w:color w:val="000000"/>
      <w:kern w:val="24"/>
      <w:szCs w:val="20"/>
    </w:rPr>
  </w:style>
  <w:style w:type="paragraph" w:customStyle="1" w:styleId="1539">
    <w:name w:val="表格名称"/>
    <w:basedOn w:val="1"/>
    <w:next w:val="1"/>
    <w:qFormat/>
    <w:uiPriority w:val="0"/>
    <w:pPr>
      <w:jc w:val="center"/>
    </w:pPr>
    <w:rPr>
      <w:rFonts w:eastAsia="黑体"/>
      <w:color w:val="000000"/>
      <w:kern w:val="24"/>
    </w:rPr>
  </w:style>
  <w:style w:type="paragraph" w:customStyle="1" w:styleId="1540">
    <w:name w:val="样式 样式 标题 2 + 左侧:  2 字符 + 首行缩进:  2 字符1"/>
    <w:basedOn w:val="1"/>
    <w:qFormat/>
    <w:uiPriority w:val="0"/>
    <w:pPr>
      <w:keepNext/>
      <w:keepLines/>
      <w:spacing w:before="260" w:after="260" w:line="416" w:lineRule="atLeast"/>
      <w:ind w:firstLine="640"/>
      <w:outlineLvl w:val="1"/>
    </w:pPr>
    <w:rPr>
      <w:rFonts w:ascii="Arial" w:hAnsi="Arial" w:eastAsia="黑体" w:cs="宋体"/>
      <w:b/>
      <w:color w:val="000000"/>
      <w:kern w:val="24"/>
      <w:sz w:val="28"/>
      <w:szCs w:val="20"/>
    </w:rPr>
  </w:style>
  <w:style w:type="paragraph" w:customStyle="1" w:styleId="1541">
    <w:name w:val="样式 样式7 + 小四"/>
    <w:basedOn w:val="337"/>
    <w:qFormat/>
    <w:uiPriority w:val="0"/>
    <w:pPr>
      <w:tabs>
        <w:tab w:val="left" w:pos="560"/>
        <w:tab w:val="clear" w:pos="900"/>
        <w:tab w:val="clear" w:pos="1260"/>
        <w:tab w:val="clear" w:pos="1800"/>
      </w:tabs>
      <w:adjustRightInd w:val="0"/>
      <w:snapToGrid w:val="0"/>
      <w:spacing w:before="120" w:line="480" w:lineRule="atLeast"/>
      <w:textAlignment w:val="baseline"/>
    </w:pPr>
    <w:rPr>
      <w:rFonts w:ascii="Times New Roman" w:hAnsi="Times New Roman" w:eastAsia="黑体"/>
      <w:bCs/>
      <w:kern w:val="0"/>
      <w:sz w:val="24"/>
      <w:szCs w:val="20"/>
    </w:rPr>
  </w:style>
  <w:style w:type="paragraph" w:customStyle="1" w:styleId="1542">
    <w:name w:val="Char Char Char Char Char1 Char"/>
    <w:basedOn w:val="6"/>
    <w:semiHidden/>
    <w:qFormat/>
    <w:uiPriority w:val="0"/>
    <w:pPr>
      <w:tabs>
        <w:tab w:val="left" w:pos="360"/>
        <w:tab w:val="left" w:pos="900"/>
      </w:tabs>
      <w:snapToGrid w:val="0"/>
      <w:spacing w:before="120" w:after="120" w:line="360" w:lineRule="auto"/>
      <w:ind w:left="542" w:leftChars="-12" w:firstLine="200"/>
    </w:pPr>
    <w:rPr>
      <w:snapToGrid w:val="0"/>
      <w:color w:val="000000"/>
      <w:kern w:val="24"/>
      <w:sz w:val="24"/>
      <w:szCs w:val="24"/>
    </w:rPr>
  </w:style>
  <w:style w:type="paragraph" w:customStyle="1" w:styleId="1543">
    <w:name w:val="LT表头表头表头表头表头表头"/>
    <w:basedOn w:val="1"/>
    <w:qFormat/>
    <w:uiPriority w:val="0"/>
    <w:pPr>
      <w:spacing w:beforeLines="50" w:afterLines="50"/>
      <w:jc w:val="center"/>
    </w:pPr>
    <w:rPr>
      <w:bCs/>
      <w:snapToGrid w:val="0"/>
      <w:color w:val="000000"/>
      <w:kern w:val="28"/>
    </w:rPr>
  </w:style>
  <w:style w:type="paragraph" w:customStyle="1" w:styleId="1544">
    <w:name w:val="Char Char Char Char Char Char Char Char Char1 Char"/>
    <w:basedOn w:val="1"/>
    <w:qFormat/>
    <w:uiPriority w:val="0"/>
    <w:pPr>
      <w:ind w:firstLine="200"/>
    </w:pPr>
    <w:rPr>
      <w:rFonts w:ascii="宋体" w:hAnsi="宋体" w:cs="宋体"/>
      <w:bCs/>
      <w:color w:val="000000"/>
      <w:kern w:val="24"/>
    </w:rPr>
  </w:style>
  <w:style w:type="paragraph" w:customStyle="1" w:styleId="1545">
    <w:name w:val="Char Char Char Char Char Char Char Char Char Char1"/>
    <w:basedOn w:val="1"/>
    <w:qFormat/>
    <w:uiPriority w:val="0"/>
    <w:pPr>
      <w:ind w:firstLine="200"/>
    </w:pPr>
    <w:rPr>
      <w:rFonts w:ascii="宋体" w:hAnsi="宋体" w:cs="宋体"/>
      <w:bCs/>
      <w:color w:val="000000"/>
      <w:kern w:val="24"/>
    </w:rPr>
  </w:style>
  <w:style w:type="paragraph" w:customStyle="1" w:styleId="1546">
    <w:name w:val="Body Single"/>
    <w:qFormat/>
    <w:uiPriority w:val="0"/>
    <w:pPr>
      <w:widowControl w:val="0"/>
      <w:autoSpaceDE w:val="0"/>
      <w:autoSpaceDN w:val="0"/>
      <w:adjustRightInd w:val="0"/>
    </w:pPr>
    <w:rPr>
      <w:rFonts w:ascii="MingLiU" w:hAnsi="Times New Roman" w:eastAsia="MingLiU" w:cs="Times New Roman"/>
      <w:bCs/>
      <w:color w:val="000000"/>
      <w:sz w:val="24"/>
      <w:szCs w:val="24"/>
      <w:lang w:val="en-US" w:eastAsia="zh-TW" w:bidi="ar-SA"/>
    </w:rPr>
  </w:style>
  <w:style w:type="paragraph" w:customStyle="1" w:styleId="1547">
    <w:name w:val="样式 小五 居中 首行缩进:  2 字符"/>
    <w:basedOn w:val="1"/>
    <w:qFormat/>
    <w:uiPriority w:val="0"/>
    <w:pPr>
      <w:jc w:val="center"/>
    </w:pPr>
    <w:rPr>
      <w:rFonts w:cs="宋体"/>
      <w:bCs/>
      <w:color w:val="000000"/>
      <w:kern w:val="24"/>
      <w:sz w:val="18"/>
      <w:szCs w:val="20"/>
    </w:rPr>
  </w:style>
  <w:style w:type="paragraph" w:customStyle="1" w:styleId="1548">
    <w:name w:val="样式 标题 1 + 黑体 加粗 两端对齐 行距: 固定值 28 磅"/>
    <w:basedOn w:val="4"/>
    <w:qFormat/>
    <w:uiPriority w:val="0"/>
    <w:pPr>
      <w:overflowPunct/>
      <w:snapToGrid/>
      <w:spacing w:before="180" w:after="180" w:line="240" w:lineRule="auto"/>
      <w:ind w:left="0" w:firstLine="0"/>
    </w:pPr>
    <w:rPr>
      <w:rFonts w:ascii="黑体" w:eastAsia="宋体-方正超大字符集" w:cs="宋体"/>
      <w:kern w:val="2"/>
    </w:rPr>
  </w:style>
  <w:style w:type="paragraph" w:customStyle="1" w:styleId="1549">
    <w:name w:val="中文报告书样式 Char"/>
    <w:basedOn w:val="1"/>
    <w:qFormat/>
    <w:uiPriority w:val="0"/>
    <w:pPr>
      <w:adjustRightInd w:val="0"/>
      <w:spacing w:line="480" w:lineRule="atLeast"/>
      <w:ind w:firstLine="482"/>
      <w:textAlignment w:val="baseline"/>
    </w:pPr>
    <w:rPr>
      <w:bCs/>
      <w:color w:val="000000"/>
      <w:kern w:val="24"/>
      <w:szCs w:val="20"/>
    </w:rPr>
  </w:style>
  <w:style w:type="paragraph" w:customStyle="1" w:styleId="1550">
    <w:name w:val="样式 标题 1 + 宋体 小四 加粗 行距: 固定值 28 磅"/>
    <w:basedOn w:val="4"/>
    <w:qFormat/>
    <w:uiPriority w:val="0"/>
    <w:pPr>
      <w:keepNext w:val="0"/>
      <w:pageBreakBefore/>
      <w:overflowPunct/>
      <w:snapToGrid/>
      <w:spacing w:before="180" w:after="180" w:line="560" w:lineRule="exact"/>
      <w:ind w:left="0" w:firstLine="0"/>
    </w:pPr>
    <w:rPr>
      <w:rFonts w:eastAsia="宋体-方正超大字符集" w:cs="宋体"/>
      <w:kern w:val="2"/>
      <w:sz w:val="24"/>
      <w:szCs w:val="24"/>
    </w:rPr>
  </w:style>
  <w:style w:type="paragraph" w:customStyle="1" w:styleId="1551">
    <w:name w:val="样式 样式 标题 2 + 宋体 行距: 固定值 30 磅 + 行距: 固定值 28 磅"/>
    <w:basedOn w:val="779"/>
    <w:qFormat/>
    <w:uiPriority w:val="0"/>
    <w:pPr>
      <w:snapToGrid/>
      <w:spacing w:line="560" w:lineRule="exact"/>
    </w:pPr>
    <w:rPr>
      <w:rFonts w:eastAsia="黑体"/>
      <w:sz w:val="28"/>
    </w:rPr>
  </w:style>
  <w:style w:type="paragraph" w:customStyle="1" w:styleId="1552">
    <w:name w:val="样式 标题 1 + 宋体 小四 加粗 左"/>
    <w:basedOn w:val="4"/>
    <w:qFormat/>
    <w:uiPriority w:val="0"/>
    <w:pPr>
      <w:keepNext w:val="0"/>
      <w:pageBreakBefore/>
      <w:overflowPunct/>
      <w:snapToGrid/>
      <w:spacing w:before="180" w:after="180" w:line="440" w:lineRule="exact"/>
      <w:ind w:left="0" w:firstLine="0"/>
    </w:pPr>
    <w:rPr>
      <w:rFonts w:eastAsia="宋体-方正超大字符集" w:cs="宋体"/>
      <w:kern w:val="2"/>
      <w:sz w:val="24"/>
      <w:szCs w:val="20"/>
    </w:rPr>
  </w:style>
  <w:style w:type="paragraph" w:customStyle="1" w:styleId="1553">
    <w:name w:val="样式 标题 1 + 非加粗 紧缩量  0.3 磅 行距: 单倍行距"/>
    <w:basedOn w:val="4"/>
    <w:qFormat/>
    <w:uiPriority w:val="0"/>
    <w:pPr>
      <w:keepNext w:val="0"/>
      <w:pageBreakBefore/>
      <w:overflowPunct/>
      <w:snapToGrid/>
      <w:spacing w:before="180" w:after="180" w:line="440" w:lineRule="exact"/>
      <w:ind w:left="0" w:firstLine="0"/>
    </w:pPr>
    <w:rPr>
      <w:rFonts w:eastAsia="宋体-方正超大字符集" w:cs="宋体"/>
      <w:spacing w:val="-6"/>
      <w:kern w:val="2"/>
      <w:sz w:val="24"/>
      <w:szCs w:val="24"/>
    </w:rPr>
  </w:style>
  <w:style w:type="paragraph" w:customStyle="1" w:styleId="1554">
    <w:name w:val="样式 标题 1 + 非加粗 行距: 固定值 28 磅"/>
    <w:basedOn w:val="4"/>
    <w:qFormat/>
    <w:uiPriority w:val="0"/>
    <w:pPr>
      <w:keepNext w:val="0"/>
      <w:pageBreakBefore/>
      <w:overflowPunct/>
      <w:snapToGrid/>
      <w:spacing w:before="180" w:after="180" w:line="440" w:lineRule="exact"/>
      <w:ind w:left="0" w:firstLine="0"/>
    </w:pPr>
    <w:rPr>
      <w:rFonts w:eastAsia="宋体-方正超大字符集" w:cs="宋体"/>
      <w:kern w:val="2"/>
      <w:sz w:val="24"/>
      <w:szCs w:val="24"/>
    </w:rPr>
  </w:style>
  <w:style w:type="paragraph" w:customStyle="1" w:styleId="1555">
    <w:name w:val="表题 Char"/>
    <w:basedOn w:val="1"/>
    <w:qFormat/>
    <w:uiPriority w:val="0"/>
    <w:pPr>
      <w:jc w:val="center"/>
    </w:pPr>
    <w:rPr>
      <w:rFonts w:ascii="黑体" w:hAnsi="宋体" w:eastAsia="黑体"/>
      <w:b/>
      <w:color w:val="000000"/>
      <w:kern w:val="24"/>
    </w:rPr>
  </w:style>
  <w:style w:type="paragraph" w:customStyle="1" w:styleId="1556">
    <w:name w:val="标题样式3"/>
    <w:basedOn w:val="6"/>
    <w:qFormat/>
    <w:uiPriority w:val="0"/>
    <w:pPr>
      <w:spacing w:before="120" w:after="120" w:line="360" w:lineRule="auto"/>
    </w:pPr>
    <w:rPr>
      <w:rFonts w:ascii="黑体"/>
      <w:bCs w:val="0"/>
      <w:color w:val="0000FF"/>
      <w:kern w:val="24"/>
      <w:sz w:val="24"/>
      <w:szCs w:val="24"/>
    </w:rPr>
  </w:style>
  <w:style w:type="paragraph" w:customStyle="1" w:styleId="1557">
    <w:name w:val="正文样式2"/>
    <w:basedOn w:val="952"/>
    <w:qFormat/>
    <w:uiPriority w:val="0"/>
    <w:pPr>
      <w:widowControl/>
      <w:adjustRightInd/>
      <w:snapToGrid/>
      <w:spacing w:line="240" w:lineRule="auto"/>
      <w:ind w:firstLine="420"/>
      <w:textAlignment w:val="auto"/>
    </w:pPr>
    <w:rPr>
      <w:rFonts w:ascii="宋体" w:hAnsi="Courier New" w:cs="Courier New"/>
      <w:kern w:val="0"/>
      <w:sz w:val="21"/>
      <w:szCs w:val="21"/>
    </w:rPr>
  </w:style>
  <w:style w:type="paragraph" w:customStyle="1" w:styleId="1558">
    <w:name w:val="奇页页眉样式"/>
    <w:basedOn w:val="1"/>
    <w:qFormat/>
    <w:uiPriority w:val="0"/>
    <w:pPr>
      <w:keepLines/>
      <w:widowControl/>
      <w:tabs>
        <w:tab w:val="center" w:pos="-18551"/>
        <w:tab w:val="right" w:pos="4320"/>
      </w:tabs>
      <w:spacing w:after="480" w:line="240" w:lineRule="atLeast"/>
      <w:jc w:val="center"/>
    </w:pPr>
    <w:rPr>
      <w:rFonts w:ascii="Garamond" w:hAnsi="Garamond" w:cs="Garamond"/>
      <w:bCs/>
      <w:smallCaps/>
      <w:color w:val="000000"/>
      <w:spacing w:val="15"/>
      <w:kern w:val="0"/>
      <w:szCs w:val="21"/>
    </w:rPr>
  </w:style>
  <w:style w:type="paragraph" w:customStyle="1" w:styleId="1559">
    <w:name w:val="s16qcsl240slmult0nowidct"/>
    <w:qFormat/>
    <w:uiPriority w:val="0"/>
    <w:pPr>
      <w:widowControl w:val="0"/>
      <w:adjustRightInd w:val="0"/>
      <w:textAlignment w:val="baseline"/>
    </w:pPr>
    <w:rPr>
      <w:rFonts w:ascii="Times New Roman" w:hAnsi="Times New Roman" w:eastAsia="宋体" w:cs="Times New Roman"/>
      <w:bCs/>
      <w:color w:val="000000"/>
      <w:sz w:val="21"/>
      <w:szCs w:val="24"/>
      <w:lang w:val="en-US" w:eastAsia="zh-CN" w:bidi="ar-SA"/>
    </w:rPr>
  </w:style>
  <w:style w:type="paragraph" w:customStyle="1" w:styleId="1560">
    <w:name w:val="奉读大示，心折殊深。"/>
    <w:qFormat/>
    <w:uiPriority w:val="0"/>
    <w:pPr>
      <w:widowControl w:val="0"/>
      <w:jc w:val="both"/>
    </w:pPr>
    <w:rPr>
      <w:rFonts w:ascii="Times New Roman" w:hAnsi="Times New Roman" w:eastAsia="宋体" w:cs="Times New Roman"/>
      <w:bCs/>
      <w:color w:val="000000"/>
      <w:kern w:val="2"/>
      <w:sz w:val="21"/>
      <w:szCs w:val="24"/>
      <w:lang w:val="en-US" w:eastAsia="zh-CN" w:bidi="ar-SA"/>
    </w:rPr>
  </w:style>
  <w:style w:type="paragraph" w:customStyle="1" w:styleId="1561">
    <w:name w:val="标题样式1"/>
    <w:basedOn w:val="28"/>
    <w:qFormat/>
    <w:uiPriority w:val="0"/>
    <w:pPr>
      <w:widowControl w:val="0"/>
      <w:adjustRightInd w:val="0"/>
      <w:spacing w:before="0" w:after="0" w:line="0" w:lineRule="atLeast"/>
      <w:ind w:right="0"/>
      <w:jc w:val="center"/>
      <w:textAlignment w:val="baseline"/>
    </w:pPr>
    <w:rPr>
      <w:rFonts w:eastAsia="宋体-方正超大字符集"/>
      <w:b/>
      <w:snapToGrid w:val="0"/>
      <w:color w:val="000000"/>
      <w:sz w:val="24"/>
    </w:rPr>
  </w:style>
  <w:style w:type="paragraph" w:customStyle="1" w:styleId="1562">
    <w:name w:val="注×："/>
    <w:qFormat/>
    <w:uiPriority w:val="0"/>
    <w:pPr>
      <w:widowControl w:val="0"/>
      <w:tabs>
        <w:tab w:val="left" w:pos="630"/>
      </w:tabs>
      <w:autoSpaceDE w:val="0"/>
      <w:autoSpaceDN w:val="0"/>
      <w:jc w:val="both"/>
    </w:pPr>
    <w:rPr>
      <w:rFonts w:ascii="宋体" w:hAnsi="Times New Roman" w:eastAsia="宋体" w:cs="Times New Roman"/>
      <w:bCs/>
      <w:color w:val="000000"/>
      <w:sz w:val="18"/>
      <w:szCs w:val="24"/>
      <w:lang w:val="en-US" w:eastAsia="zh-CN" w:bidi="ar-SA"/>
    </w:rPr>
  </w:style>
  <w:style w:type="paragraph" w:customStyle="1" w:styleId="1563">
    <w:name w:val="reader-word-layer reader-word-s5-23"/>
    <w:basedOn w:val="1"/>
    <w:qFormat/>
    <w:uiPriority w:val="0"/>
    <w:pPr>
      <w:widowControl/>
      <w:spacing w:before="100" w:beforeAutospacing="1" w:after="100" w:afterAutospacing="1"/>
    </w:pPr>
    <w:rPr>
      <w:rFonts w:ascii="宋体" w:hAnsi="宋体" w:cs="宋体"/>
      <w:bCs/>
      <w:color w:val="000000"/>
      <w:kern w:val="0"/>
    </w:rPr>
  </w:style>
  <w:style w:type="paragraph" w:customStyle="1" w:styleId="1564">
    <w:name w:val="样式 左侧:  -0.52 厘米 悬挂缩进: 3.42 字符"/>
    <w:basedOn w:val="1"/>
    <w:qFormat/>
    <w:uiPriority w:val="0"/>
    <w:pPr>
      <w:adjustRightInd w:val="0"/>
      <w:snapToGrid w:val="0"/>
      <w:spacing w:line="240" w:lineRule="atLeast"/>
      <w:textAlignment w:val="baseline"/>
    </w:pPr>
    <w:rPr>
      <w:bCs/>
      <w:color w:val="000000"/>
      <w:kern w:val="0"/>
      <w:szCs w:val="21"/>
    </w:rPr>
  </w:style>
  <w:style w:type="paragraph" w:customStyle="1" w:styleId="1565">
    <w:name w:val="评价样式1"/>
    <w:basedOn w:val="1"/>
    <w:next w:val="28"/>
    <w:qFormat/>
    <w:uiPriority w:val="0"/>
    <w:rPr>
      <w:rFonts w:ascii="Times" w:hAnsi="Times"/>
      <w:color w:val="000000"/>
      <w:kern w:val="24"/>
    </w:rPr>
  </w:style>
  <w:style w:type="paragraph" w:customStyle="1" w:styleId="1566">
    <w:name w:val="晓丹"/>
    <w:basedOn w:val="77"/>
    <w:qFormat/>
    <w:uiPriority w:val="0"/>
    <w:pPr>
      <w:snapToGrid w:val="0"/>
      <w:spacing w:line="360" w:lineRule="auto"/>
      <w:ind w:firstLine="200"/>
    </w:pPr>
    <w:rPr>
      <w:rFonts w:ascii="宋体" w:hAnsi="宋体" w:eastAsia="宋体-方正超大字符集"/>
      <w:spacing w:val="6"/>
    </w:rPr>
  </w:style>
  <w:style w:type="paragraph" w:customStyle="1" w:styleId="1567">
    <w:name w:val="样式 标题 3 + 行距: 1.5 倍行距"/>
    <w:basedOn w:val="6"/>
    <w:qFormat/>
    <w:uiPriority w:val="0"/>
    <w:pPr>
      <w:adjustRightInd w:val="0"/>
      <w:spacing w:before="120" w:after="120" w:line="520" w:lineRule="exact"/>
    </w:pPr>
    <w:rPr>
      <w:rFonts w:ascii="Gungsuh" w:hAnsi="Gungsuh" w:cs="宋体"/>
      <w:bCs w:val="0"/>
      <w:color w:val="000000"/>
      <w:kern w:val="24"/>
      <w:sz w:val="24"/>
      <w:szCs w:val="20"/>
    </w:rPr>
  </w:style>
  <w:style w:type="paragraph" w:customStyle="1" w:styleId="1568">
    <w:name w:val="Char1 Char Char Char Char Char Char Char Char Char Char Char Char1"/>
    <w:basedOn w:val="1"/>
    <w:qFormat/>
    <w:uiPriority w:val="0"/>
    <w:rPr>
      <w:bCs/>
      <w:color w:val="000000"/>
      <w:kern w:val="24"/>
      <w:szCs w:val="20"/>
    </w:rPr>
  </w:style>
  <w:style w:type="paragraph" w:customStyle="1" w:styleId="1569">
    <w:name w:val="Char Char9 Char Char Char Char Char Char Char Char Char1 Char Char Char Char Char Char Char1"/>
    <w:basedOn w:val="6"/>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1570">
    <w:name w:val="Char Char1 Char Char1 Char Char1 Char Char1 Char Char Char Char Char Char Char2"/>
    <w:basedOn w:val="1"/>
    <w:qFormat/>
    <w:uiPriority w:val="0"/>
    <w:rPr>
      <w:bCs/>
      <w:color w:val="000000"/>
      <w:kern w:val="24"/>
      <w:szCs w:val="20"/>
    </w:rPr>
  </w:style>
  <w:style w:type="paragraph" w:customStyle="1" w:styleId="1571">
    <w:name w:val="正文文字缩进A"/>
    <w:basedOn w:val="1"/>
    <w:qFormat/>
    <w:uiPriority w:val="0"/>
    <w:pPr>
      <w:ind w:firstLine="480"/>
    </w:pPr>
    <w:rPr>
      <w:rFonts w:ascii="黑体" w:hAnsi="黑体" w:eastAsia="黑体"/>
      <w:b/>
      <w:bCs/>
      <w:color w:val="000000"/>
      <w:kern w:val="0"/>
      <w:szCs w:val="20"/>
    </w:rPr>
  </w:style>
  <w:style w:type="paragraph" w:customStyle="1" w:styleId="1572">
    <w:name w:val="表格方案样式2"/>
    <w:basedOn w:val="1"/>
    <w:qFormat/>
    <w:uiPriority w:val="0"/>
    <w:pPr>
      <w:tabs>
        <w:tab w:val="left" w:pos="567"/>
      </w:tabs>
      <w:jc w:val="center"/>
    </w:pPr>
    <w:rPr>
      <w:rFonts w:eastAsia="华文中宋"/>
      <w:bCs/>
      <w:color w:val="000000"/>
      <w:kern w:val="24"/>
      <w:szCs w:val="20"/>
    </w:rPr>
  </w:style>
  <w:style w:type="paragraph" w:customStyle="1" w:styleId="1573">
    <w:name w:val="图文框"/>
    <w:basedOn w:val="1"/>
    <w:qFormat/>
    <w:uiPriority w:val="0"/>
    <w:pPr>
      <w:adjustRightInd w:val="0"/>
      <w:snapToGrid w:val="0"/>
      <w:ind w:left="-111" w:leftChars="-53" w:right="-48" w:rightChars="-48"/>
      <w:jc w:val="center"/>
    </w:pPr>
    <w:rPr>
      <w:bCs/>
      <w:snapToGrid w:val="0"/>
      <w:color w:val="000000"/>
      <w:kern w:val="0"/>
      <w:szCs w:val="20"/>
    </w:rPr>
  </w:style>
  <w:style w:type="paragraph" w:customStyle="1" w:styleId="1574">
    <w:name w:val="90v"/>
    <w:basedOn w:val="1"/>
    <w:qFormat/>
    <w:uiPriority w:val="0"/>
    <w:pPr>
      <w:widowControl/>
      <w:spacing w:before="100" w:beforeAutospacing="1" w:after="100" w:afterAutospacing="1"/>
    </w:pPr>
    <w:rPr>
      <w:rFonts w:ascii="宋体" w:hAnsi="宋体"/>
      <w:bCs/>
      <w:color w:val="000000"/>
      <w:kern w:val="0"/>
      <w:szCs w:val="20"/>
    </w:rPr>
  </w:style>
  <w:style w:type="paragraph" w:customStyle="1" w:styleId="1575">
    <w:name w:val="表、图名宋旭峰"/>
    <w:basedOn w:val="1"/>
    <w:qFormat/>
    <w:uiPriority w:val="0"/>
    <w:pPr>
      <w:spacing w:beforeLines="50"/>
      <w:jc w:val="center"/>
    </w:pPr>
    <w:rPr>
      <w:rFonts w:ascii="黑体" w:hAnsi="宋体" w:eastAsia="黑体"/>
      <w:bCs/>
      <w:color w:val="000000"/>
      <w:kern w:val="0"/>
      <w:szCs w:val="20"/>
    </w:rPr>
  </w:style>
  <w:style w:type="paragraph" w:customStyle="1" w:styleId="1576">
    <w:name w:val="表体宋旭峰"/>
    <w:basedOn w:val="1"/>
    <w:qFormat/>
    <w:uiPriority w:val="0"/>
    <w:pPr>
      <w:overflowPunct w:val="0"/>
      <w:spacing w:line="280" w:lineRule="atLeast"/>
      <w:jc w:val="center"/>
      <w:textAlignment w:val="baseline"/>
    </w:pPr>
    <w:rPr>
      <w:rFonts w:ascii="宋体" w:hAnsi="Courier New"/>
      <w:bCs/>
      <w:snapToGrid w:val="0"/>
      <w:color w:val="000000"/>
      <w:kern w:val="24"/>
      <w:sz w:val="18"/>
      <w:szCs w:val="20"/>
    </w:rPr>
  </w:style>
  <w:style w:type="paragraph" w:customStyle="1" w:styleId="1577">
    <w:name w:val="wg"/>
    <w:basedOn w:val="1"/>
    <w:qFormat/>
    <w:uiPriority w:val="0"/>
    <w:rPr>
      <w:bCs/>
      <w:color w:val="000000"/>
      <w:kern w:val="24"/>
      <w:sz w:val="28"/>
      <w:szCs w:val="20"/>
    </w:rPr>
  </w:style>
  <w:style w:type="paragraph" w:customStyle="1" w:styleId="1578">
    <w:name w:val="正文文字9"/>
    <w:next w:val="71"/>
    <w:qFormat/>
    <w:uiPriority w:val="0"/>
    <w:pPr>
      <w:widowControl w:val="0"/>
      <w:autoSpaceDE w:val="0"/>
      <w:autoSpaceDN w:val="0"/>
      <w:spacing w:line="300" w:lineRule="auto"/>
      <w:jc w:val="center"/>
    </w:pPr>
    <w:rPr>
      <w:rFonts w:ascii="Times New Roman" w:hAnsi="Times New Roman" w:eastAsia="宋体" w:cs="Times New Roman"/>
      <w:bCs/>
      <w:color w:val="000000"/>
      <w:kern w:val="2"/>
      <w:sz w:val="24"/>
      <w:szCs w:val="24"/>
      <w:lang w:val="en-US" w:eastAsia="zh-CN" w:bidi="ar-SA"/>
    </w:rPr>
  </w:style>
  <w:style w:type="paragraph" w:customStyle="1" w:styleId="1579">
    <w:name w:val="默认段落字体 Para Char Char Char1 Char"/>
    <w:basedOn w:val="1"/>
    <w:qFormat/>
    <w:uiPriority w:val="0"/>
    <w:pPr>
      <w:spacing w:line="240" w:lineRule="atLeast"/>
      <w:ind w:left="420" w:firstLine="420"/>
    </w:pPr>
    <w:rPr>
      <w:bCs/>
      <w:color w:val="000000"/>
      <w:kern w:val="0"/>
      <w:szCs w:val="21"/>
    </w:rPr>
  </w:style>
  <w:style w:type="paragraph" w:customStyle="1" w:styleId="1580">
    <w:name w:val="样式 Times New Roman 行距: 固定值 22 磅"/>
    <w:basedOn w:val="1"/>
    <w:qFormat/>
    <w:uiPriority w:val="0"/>
    <w:pPr>
      <w:widowControl/>
      <w:spacing w:line="440" w:lineRule="exact"/>
      <w:ind w:firstLine="480"/>
    </w:pPr>
    <w:rPr>
      <w:bCs/>
      <w:color w:val="000000"/>
      <w:kern w:val="0"/>
      <w:szCs w:val="20"/>
    </w:rPr>
  </w:style>
  <w:style w:type="paragraph" w:customStyle="1" w:styleId="1581">
    <w:name w:val="reader-word-layer"/>
    <w:basedOn w:val="1"/>
    <w:qFormat/>
    <w:uiPriority w:val="0"/>
    <w:pPr>
      <w:widowControl/>
      <w:spacing w:before="100" w:beforeAutospacing="1" w:after="100" w:afterAutospacing="1"/>
    </w:pPr>
    <w:rPr>
      <w:rFonts w:ascii="宋体" w:hAnsi="宋体" w:cs="宋体"/>
      <w:bCs/>
      <w:color w:val="000000"/>
      <w:kern w:val="0"/>
    </w:rPr>
  </w:style>
  <w:style w:type="paragraph" w:customStyle="1" w:styleId="1582">
    <w:name w:val="reader-word-layer reader-word-s2-15"/>
    <w:basedOn w:val="1"/>
    <w:qFormat/>
    <w:uiPriority w:val="0"/>
    <w:pPr>
      <w:widowControl/>
      <w:spacing w:before="100" w:beforeAutospacing="1" w:after="100" w:afterAutospacing="1"/>
    </w:pPr>
    <w:rPr>
      <w:rFonts w:ascii="宋体" w:hAnsi="宋体" w:cs="宋体"/>
      <w:bCs/>
      <w:color w:val="000000"/>
      <w:kern w:val="0"/>
    </w:rPr>
  </w:style>
  <w:style w:type="paragraph" w:customStyle="1" w:styleId="1583">
    <w:name w:val="reader-word-layer reader-word-s2-0"/>
    <w:basedOn w:val="1"/>
    <w:qFormat/>
    <w:uiPriority w:val="0"/>
    <w:pPr>
      <w:widowControl/>
      <w:spacing w:before="100" w:beforeAutospacing="1" w:after="100" w:afterAutospacing="1"/>
    </w:pPr>
    <w:rPr>
      <w:rFonts w:ascii="宋体" w:hAnsi="宋体" w:cs="宋体"/>
      <w:bCs/>
      <w:color w:val="000000"/>
      <w:kern w:val="0"/>
    </w:rPr>
  </w:style>
  <w:style w:type="paragraph" w:customStyle="1" w:styleId="1584">
    <w:name w:val="reader-word-layer reader-word-s2-3"/>
    <w:basedOn w:val="1"/>
    <w:qFormat/>
    <w:uiPriority w:val="0"/>
    <w:pPr>
      <w:widowControl/>
      <w:spacing w:before="100" w:beforeAutospacing="1" w:after="100" w:afterAutospacing="1"/>
    </w:pPr>
    <w:rPr>
      <w:rFonts w:ascii="宋体" w:hAnsi="宋体" w:cs="宋体"/>
      <w:bCs/>
      <w:color w:val="000000"/>
      <w:kern w:val="0"/>
    </w:rPr>
  </w:style>
  <w:style w:type="paragraph" w:customStyle="1" w:styleId="1585">
    <w:name w:val="reader-word-layer reader-word-s2-7"/>
    <w:basedOn w:val="1"/>
    <w:qFormat/>
    <w:uiPriority w:val="0"/>
    <w:pPr>
      <w:widowControl/>
      <w:spacing w:before="100" w:beforeAutospacing="1" w:after="100" w:afterAutospacing="1"/>
    </w:pPr>
    <w:rPr>
      <w:rFonts w:ascii="宋体" w:hAnsi="宋体" w:cs="宋体"/>
      <w:bCs/>
      <w:color w:val="000000"/>
      <w:kern w:val="0"/>
    </w:rPr>
  </w:style>
  <w:style w:type="paragraph" w:customStyle="1" w:styleId="1586">
    <w:name w:val="reader-word-layer reader-word-s2-9"/>
    <w:basedOn w:val="1"/>
    <w:qFormat/>
    <w:uiPriority w:val="0"/>
    <w:pPr>
      <w:widowControl/>
      <w:spacing w:before="100" w:beforeAutospacing="1" w:after="100" w:afterAutospacing="1"/>
    </w:pPr>
    <w:rPr>
      <w:rFonts w:ascii="宋体" w:hAnsi="宋体" w:cs="宋体"/>
      <w:bCs/>
      <w:color w:val="000000"/>
      <w:kern w:val="0"/>
    </w:rPr>
  </w:style>
  <w:style w:type="paragraph" w:customStyle="1" w:styleId="1587">
    <w:name w:val="reader-word-layer reader-word-s5-24"/>
    <w:basedOn w:val="1"/>
    <w:qFormat/>
    <w:uiPriority w:val="0"/>
    <w:pPr>
      <w:widowControl/>
      <w:spacing w:before="100" w:beforeAutospacing="1" w:after="100" w:afterAutospacing="1"/>
    </w:pPr>
    <w:rPr>
      <w:rFonts w:ascii="宋体" w:hAnsi="宋体" w:cs="宋体"/>
      <w:bCs/>
      <w:color w:val="000000"/>
      <w:kern w:val="0"/>
    </w:rPr>
  </w:style>
  <w:style w:type="paragraph" w:customStyle="1" w:styleId="1588">
    <w:name w:val="蓝森正文"/>
    <w:basedOn w:val="1"/>
    <w:qFormat/>
    <w:uiPriority w:val="0"/>
    <w:pPr>
      <w:spacing w:line="520" w:lineRule="exact"/>
      <w:ind w:firstLine="200"/>
    </w:pPr>
    <w:rPr>
      <w:bCs/>
      <w:color w:val="000000"/>
      <w:kern w:val="24"/>
    </w:rPr>
  </w:style>
  <w:style w:type="paragraph" w:customStyle="1" w:styleId="1589">
    <w:name w:val="样式 J2级标题 + (西文) Times New Roman 段前: 0.5 行"/>
    <w:basedOn w:val="1"/>
    <w:qFormat/>
    <w:uiPriority w:val="0"/>
    <w:pPr>
      <w:keepNext/>
      <w:keepLines/>
      <w:snapToGrid w:val="0"/>
      <w:spacing w:beforeLines="50"/>
      <w:outlineLvl w:val="1"/>
    </w:pPr>
    <w:rPr>
      <w:rFonts w:cs="宋体"/>
      <w:b/>
      <w:bCs/>
      <w:color w:val="000000"/>
      <w:kern w:val="0"/>
      <w:sz w:val="32"/>
      <w:szCs w:val="20"/>
    </w:rPr>
  </w:style>
  <w:style w:type="paragraph" w:customStyle="1" w:styleId="1590">
    <w:name w:val="样式 宋体 四号"/>
    <w:basedOn w:val="1"/>
    <w:qFormat/>
    <w:uiPriority w:val="0"/>
    <w:pPr>
      <w:ind w:firstLine="480"/>
    </w:pPr>
    <w:rPr>
      <w:bCs/>
      <w:color w:val="000000"/>
    </w:rPr>
  </w:style>
  <w:style w:type="paragraph" w:customStyle="1" w:styleId="1591">
    <w:name w:val="Char Char1 Char Char Char Char Char Char1"/>
    <w:basedOn w:val="1"/>
    <w:qFormat/>
    <w:uiPriority w:val="0"/>
    <w:rPr>
      <w:rFonts w:ascii="Batang" w:hAnsi="Batang" w:cs="Batang"/>
      <w:bCs/>
      <w:color w:val="000000"/>
      <w:kern w:val="24"/>
    </w:rPr>
  </w:style>
  <w:style w:type="paragraph" w:customStyle="1" w:styleId="1592">
    <w:name w:val="Char1 Char Char1"/>
    <w:basedOn w:val="1"/>
    <w:qFormat/>
    <w:uiPriority w:val="0"/>
    <w:rPr>
      <w:rFonts w:ascii="Batang" w:hAnsi="Batang" w:cs="Batang"/>
      <w:bCs/>
      <w:color w:val="000000"/>
      <w:kern w:val="24"/>
    </w:rPr>
  </w:style>
  <w:style w:type="paragraph" w:customStyle="1" w:styleId="1593">
    <w:name w:val="Char Char Char Char Char Char Char Char Char Char Char1 Char Char Char Char Char Char Char1"/>
    <w:basedOn w:val="1"/>
    <w:qFormat/>
    <w:uiPriority w:val="0"/>
    <w:rPr>
      <w:rFonts w:ascii="Batang" w:hAnsi="Batang" w:cs="Batang"/>
      <w:bCs/>
      <w:color w:val="000000"/>
      <w:kern w:val="24"/>
    </w:rPr>
  </w:style>
  <w:style w:type="paragraph" w:customStyle="1" w:styleId="1594">
    <w:name w:val="Char Char Char Char Char Char Char Char Char Char Char2"/>
    <w:basedOn w:val="1"/>
    <w:qFormat/>
    <w:uiPriority w:val="0"/>
    <w:rPr>
      <w:rFonts w:ascii="Batang" w:hAnsi="Batang" w:cs="Batang"/>
      <w:bCs/>
      <w:color w:val="000000"/>
      <w:kern w:val="24"/>
    </w:rPr>
  </w:style>
  <w:style w:type="paragraph" w:customStyle="1" w:styleId="1595">
    <w:name w:val="Char Char Char Char Char Char Char Char Char Char Char11"/>
    <w:basedOn w:val="1"/>
    <w:qFormat/>
    <w:uiPriority w:val="0"/>
    <w:rPr>
      <w:rFonts w:ascii="Batang" w:hAnsi="Batang" w:cs="Batang"/>
      <w:bCs/>
      <w:color w:val="000000"/>
      <w:kern w:val="24"/>
    </w:rPr>
  </w:style>
  <w:style w:type="paragraph" w:customStyle="1" w:styleId="1596">
    <w:name w:val="Char Char Char Char Char Char Char Char Char Char Char Char Char Char Char1"/>
    <w:basedOn w:val="1"/>
    <w:qFormat/>
    <w:uiPriority w:val="0"/>
    <w:rPr>
      <w:rFonts w:ascii="Batang" w:hAnsi="Batang" w:cs="Batang"/>
      <w:bCs/>
      <w:color w:val="000000"/>
      <w:kern w:val="24"/>
    </w:rPr>
  </w:style>
  <w:style w:type="paragraph" w:customStyle="1" w:styleId="1597">
    <w:name w:val="Char Char Char Char Char Char Char Char Char Char Char Char Char Char Char Char Char1"/>
    <w:basedOn w:val="1"/>
    <w:qFormat/>
    <w:uiPriority w:val="0"/>
    <w:rPr>
      <w:rFonts w:ascii="Batang" w:hAnsi="Batang" w:cs="Batang"/>
      <w:bCs/>
      <w:color w:val="000000"/>
      <w:kern w:val="24"/>
    </w:rPr>
  </w:style>
  <w:style w:type="paragraph" w:customStyle="1" w:styleId="1598">
    <w:name w:val="Char Char Char Char Char Char Char Char Char Char Char1 Char Char Char Char1"/>
    <w:basedOn w:val="1"/>
    <w:qFormat/>
    <w:uiPriority w:val="0"/>
    <w:rPr>
      <w:rFonts w:ascii="Batang" w:hAnsi="Batang" w:cs="Batang"/>
      <w:bCs/>
      <w:color w:val="000000"/>
      <w:kern w:val="24"/>
    </w:rPr>
  </w:style>
  <w:style w:type="paragraph" w:customStyle="1" w:styleId="1599">
    <w:name w:val="Char12 Char Char Char1"/>
    <w:basedOn w:val="1"/>
    <w:qFormat/>
    <w:uiPriority w:val="0"/>
    <w:pPr>
      <w:spacing w:after="160" w:line="240" w:lineRule="exact"/>
    </w:pPr>
    <w:rPr>
      <w:rFonts w:ascii="ˎ̥" w:hAnsi="ˎ̥" w:eastAsia="Batang" w:cs="Wingdings"/>
      <w:b/>
      <w:bCs/>
      <w:color w:val="000000"/>
      <w:kern w:val="0"/>
      <w:lang w:eastAsia="en-US"/>
    </w:rPr>
  </w:style>
  <w:style w:type="paragraph" w:customStyle="1" w:styleId="1600">
    <w:name w:val="Char Char Char Char Char2 Char Char Char Char1"/>
    <w:basedOn w:val="1"/>
    <w:semiHidden/>
    <w:qFormat/>
    <w:uiPriority w:val="0"/>
    <w:pPr>
      <w:adjustRightInd w:val="0"/>
      <w:snapToGrid w:val="0"/>
      <w:ind w:firstLine="200"/>
    </w:pPr>
    <w:rPr>
      <w:rFonts w:ascii="宋体" w:hAnsi="宋体" w:cs="宋体"/>
      <w:bCs/>
      <w:color w:val="000000"/>
      <w:kern w:val="24"/>
      <w:szCs w:val="26"/>
    </w:rPr>
  </w:style>
  <w:style w:type="paragraph" w:customStyle="1" w:styleId="1601">
    <w:name w:val="Char Char1 Char Char Char Char Char Char Char Char Char Char Char Char Char Char Char Char Char Char Char Char1 Char1"/>
    <w:basedOn w:val="1"/>
    <w:qFormat/>
    <w:uiPriority w:val="0"/>
    <w:pPr>
      <w:ind w:firstLine="200"/>
    </w:pPr>
    <w:rPr>
      <w:bCs/>
      <w:color w:val="000000"/>
      <w:kern w:val="24"/>
      <w:szCs w:val="20"/>
    </w:rPr>
  </w:style>
  <w:style w:type="paragraph" w:customStyle="1" w:styleId="1602">
    <w:name w:val="Char Char Char Char Char Char Char Char Char1 Char1"/>
    <w:basedOn w:val="1"/>
    <w:qFormat/>
    <w:uiPriority w:val="0"/>
    <w:pPr>
      <w:ind w:firstLine="200"/>
    </w:pPr>
    <w:rPr>
      <w:rFonts w:ascii="宋体" w:hAnsi="宋体" w:cs="宋体"/>
      <w:bCs/>
      <w:color w:val="000000"/>
      <w:kern w:val="24"/>
    </w:rPr>
  </w:style>
  <w:style w:type="paragraph" w:customStyle="1" w:styleId="1603">
    <w:name w:val="Table Paragraph"/>
    <w:basedOn w:val="1"/>
    <w:qFormat/>
    <w:uiPriority w:val="0"/>
    <w:pPr>
      <w:autoSpaceDE w:val="0"/>
      <w:autoSpaceDN w:val="0"/>
      <w:adjustRightInd w:val="0"/>
    </w:pPr>
    <w:rPr>
      <w:bCs/>
      <w:kern w:val="0"/>
    </w:rPr>
  </w:style>
  <w:style w:type="paragraph" w:customStyle="1" w:styleId="1604">
    <w:name w:val="Char Char Char Char1 Char Char Char Char Char Char Char Char Char"/>
    <w:basedOn w:val="1"/>
    <w:qFormat/>
    <w:uiPriority w:val="0"/>
  </w:style>
  <w:style w:type="paragraph" w:customStyle="1" w:styleId="1605">
    <w:name w:val="Char4"/>
    <w:basedOn w:val="1"/>
    <w:qFormat/>
    <w:uiPriority w:val="0"/>
    <w:pPr>
      <w:ind w:firstLine="200"/>
    </w:pPr>
    <w:rPr>
      <w:rFonts w:ascii="宋体" w:hAnsi="宋体" w:cs="宋体"/>
    </w:rPr>
  </w:style>
  <w:style w:type="paragraph" w:customStyle="1" w:styleId="1606">
    <w:name w:val="Char13"/>
    <w:basedOn w:val="1"/>
    <w:qFormat/>
    <w:uiPriority w:val="0"/>
  </w:style>
  <w:style w:type="paragraph" w:customStyle="1" w:styleId="1607">
    <w:name w:val="【表格】1"/>
    <w:next w:val="77"/>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1608">
    <w:name w:val="表标题的"/>
    <w:basedOn w:val="1"/>
    <w:qFormat/>
    <w:uiPriority w:val="0"/>
    <w:pPr>
      <w:spacing w:line="480" w:lineRule="exact"/>
      <w:ind w:firstLine="200"/>
      <w:jc w:val="center"/>
    </w:pPr>
    <w:rPr>
      <w:b/>
      <w:bCs/>
      <w:color w:val="000000"/>
      <w:kern w:val="24"/>
      <w:lang w:val="zh-CN"/>
    </w:rPr>
  </w:style>
  <w:style w:type="paragraph" w:customStyle="1" w:styleId="1609">
    <w:name w:val="标题四"/>
    <w:basedOn w:val="1610"/>
    <w:qFormat/>
    <w:uiPriority w:val="0"/>
    <w:pPr>
      <w:numPr>
        <w:ilvl w:val="2"/>
        <w:numId w:val="1"/>
      </w:numPr>
      <w:tabs>
        <w:tab w:val="left" w:pos="0"/>
        <w:tab w:val="left" w:pos="360"/>
      </w:tabs>
      <w:outlineLvl w:val="3"/>
    </w:pPr>
    <w:rPr>
      <w:color w:val="auto"/>
    </w:rPr>
  </w:style>
  <w:style w:type="paragraph" w:customStyle="1" w:styleId="1610">
    <w:name w:val="样式 样式11 + 黑色"/>
    <w:basedOn w:val="1"/>
    <w:qFormat/>
    <w:uiPriority w:val="0"/>
    <w:pPr>
      <w:tabs>
        <w:tab w:val="left" w:pos="360"/>
      </w:tabs>
      <w:spacing w:line="480" w:lineRule="exact"/>
      <w:ind w:hanging="432"/>
    </w:pPr>
    <w:rPr>
      <w:bCs/>
      <w:color w:val="000000"/>
      <w:kern w:val="24"/>
    </w:rPr>
  </w:style>
  <w:style w:type="paragraph" w:customStyle="1" w:styleId="1611">
    <w:name w:val="样式 样式18 + 黑色"/>
    <w:basedOn w:val="1"/>
    <w:qFormat/>
    <w:uiPriority w:val="0"/>
    <w:pPr>
      <w:keepNext/>
      <w:keepLines/>
      <w:tabs>
        <w:tab w:val="left" w:pos="420"/>
        <w:tab w:val="left" w:pos="1800"/>
      </w:tabs>
      <w:spacing w:line="480" w:lineRule="exact"/>
      <w:ind w:left="420" w:hanging="420"/>
      <w:outlineLvl w:val="3"/>
    </w:pPr>
    <w:rPr>
      <w:rFonts w:hAnsi="宋体"/>
      <w:bCs/>
      <w:color w:val="000000"/>
      <w:kern w:val="24"/>
    </w:rPr>
  </w:style>
  <w:style w:type="paragraph" w:customStyle="1" w:styleId="1612">
    <w:name w:val="四级目录"/>
    <w:basedOn w:val="106"/>
    <w:qFormat/>
    <w:uiPriority w:val="0"/>
    <w:pPr>
      <w:keepNext w:val="0"/>
      <w:keepLines w:val="0"/>
      <w:spacing w:line="480" w:lineRule="exact"/>
    </w:pPr>
    <w:rPr>
      <w:rFonts w:ascii="Times New Roman" w:hAnsi="Times New Roman" w:eastAsia="宋体" w:cs="Times New Roman"/>
      <w:b/>
      <w:bCs/>
      <w:color w:val="000000"/>
      <w:szCs w:val="24"/>
    </w:rPr>
  </w:style>
  <w:style w:type="table" w:customStyle="1" w:styleId="1613">
    <w:name w:val="斜头6"/>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14">
    <w:name w:val="表格样式15"/>
    <w:basedOn w:val="8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615">
    <w:name w:val="网格型模版15"/>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6">
    <w:name w:val="网格型模版11"/>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7">
    <w:name w:val="报告表格式"/>
    <w:basedOn w:val="80"/>
    <w:qFormat/>
    <w:uiPriority w:val="0"/>
    <w:pPr>
      <w:widowControl w:val="0"/>
      <w:spacing w:line="360" w:lineRule="exact"/>
      <w:jc w:val="center"/>
    </w:pPr>
    <w:rPr>
      <w:rFonts w:ascii="Batang" w:hAnsi="Batang" w:cs="Batang"/>
      <w:sz w:val="21"/>
    </w:rPr>
    <w:tblPr>
      <w:jc w:val="center"/>
      <w:tblBorders>
        <w:top w:val="single" w:color="auto" w:sz="6" w:space="0"/>
        <w:bottom w:val="single" w:color="auto" w:sz="6" w:space="0"/>
        <w:insideH w:val="single" w:color="auto" w:sz="6" w:space="0"/>
        <w:insideV w:val="single" w:color="auto" w:sz="6" w:space="0"/>
      </w:tblBorders>
    </w:tblPr>
    <w:trPr>
      <w:jc w:val="center"/>
    </w:trPr>
    <w:tcPr>
      <w:vAlign w:val="center"/>
    </w:tcPr>
  </w:style>
  <w:style w:type="table" w:customStyle="1" w:styleId="1618">
    <w:name w:val="古典型 11"/>
    <w:basedOn w:val="79"/>
    <w:qFormat/>
    <w:uiPriority w:val="0"/>
    <w:pPr>
      <w:widowControl w:val="0"/>
      <w:jc w:val="both"/>
    </w:pPr>
    <w:rPr>
      <w:rFonts w:ascii="Batang" w:hAnsi="Batang" w:cs="Batang"/>
    </w:r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19">
    <w:name w:val="网格型模版36"/>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网格型模版32"/>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斜头4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2">
    <w:name w:val="网格型模版8"/>
    <w:basedOn w:val="79"/>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3">
    <w:name w:val="斜头111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4">
    <w:name w:val="表格样式113"/>
    <w:basedOn w:val="80"/>
    <w:qFormat/>
    <w:uiPriority w:val="0"/>
    <w:pPr>
      <w:widowControl w:val="0"/>
      <w:spacing w:line="360" w:lineRule="exact"/>
      <w:jc w:val="both"/>
    </w:pPr>
    <w:rPr>
      <w:rFonts w:ascii="Batang" w:hAnsi="Batang" w:cs="Batang"/>
    </w:rPr>
  </w:style>
  <w:style w:type="table" w:customStyle="1" w:styleId="1625">
    <w:name w:val="表格样式18"/>
    <w:basedOn w:val="80"/>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626">
    <w:name w:val="网格型模版35"/>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网格型14"/>
    <w:basedOn w:val="79"/>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网格型模版14"/>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网格型4"/>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0">
    <w:name w:val="表格样式12"/>
    <w:basedOn w:val="80"/>
    <w:qFormat/>
    <w:uiPriority w:val="0"/>
    <w:pPr>
      <w:widowControl w:val="0"/>
      <w:spacing w:line="360" w:lineRule="exact"/>
      <w:jc w:val="both"/>
    </w:pPr>
    <w:rPr>
      <w:sz w:val="21"/>
      <w:szCs w:val="21"/>
    </w:rPr>
  </w:style>
  <w:style w:type="table" w:customStyle="1" w:styleId="1631">
    <w:name w:val="网格型 51"/>
    <w:basedOn w:val="79"/>
    <w:qFormat/>
    <w:uiPriority w:val="0"/>
    <w:pPr>
      <w:widowControl w:val="0"/>
      <w:spacing w:line="480" w:lineRule="exact"/>
      <w:ind w:firstLine="200" w:firstLineChars="200"/>
      <w:jc w:val="both"/>
    </w:pPr>
    <w:rPr>
      <w:rFonts w:ascii="Batang" w:hAnsi="Batang" w:cs="Batang"/>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2">
    <w:name w:val="斜头15"/>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3">
    <w:name w:val="网格型2"/>
    <w:basedOn w:val="79"/>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斜头4"/>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5">
    <w:name w:val="网格型模版25"/>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网格型模版12"/>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7">
    <w:name w:val="网格型模版5"/>
    <w:basedOn w:val="7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网格型模版34"/>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9">
    <w:name w:val="斜头3"/>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0">
    <w:name w:val="网格型1"/>
    <w:basedOn w:val="79"/>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网格型模版26"/>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表格样式111"/>
    <w:basedOn w:val="80"/>
    <w:qFormat/>
    <w:uiPriority w:val="0"/>
    <w:pPr>
      <w:widowControl w:val="0"/>
      <w:spacing w:line="360" w:lineRule="exact"/>
      <w:jc w:val="both"/>
    </w:pPr>
    <w:rPr>
      <w:sz w:val="21"/>
      <w:szCs w:val="21"/>
    </w:rPr>
  </w:style>
  <w:style w:type="table" w:customStyle="1" w:styleId="1643">
    <w:name w:val="斜头5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4">
    <w:name w:val="表格样式141"/>
    <w:basedOn w:val="80"/>
    <w:qFormat/>
    <w:uiPriority w:val="0"/>
    <w:pPr>
      <w:widowControl w:val="0"/>
      <w:spacing w:line="360" w:lineRule="exact"/>
      <w:jc w:val="both"/>
    </w:pPr>
    <w:rPr>
      <w:sz w:val="21"/>
      <w:szCs w:val="21"/>
    </w:rPr>
  </w:style>
  <w:style w:type="table" w:customStyle="1" w:styleId="1645">
    <w:name w:val="周1"/>
    <w:basedOn w:val="80"/>
    <w:qFormat/>
    <w:uiPriority w:val="0"/>
    <w:pPr>
      <w:widowControl w:val="0"/>
      <w:spacing w:line="360" w:lineRule="exact"/>
      <w:jc w:val="both"/>
    </w:pPr>
    <w:rPr>
      <w:rFonts w:eastAsia="Times New Roman"/>
      <w:sz w:val="21"/>
    </w:rPr>
  </w:style>
  <w:style w:type="table" w:customStyle="1" w:styleId="1646">
    <w:name w:val="网格型模版22"/>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zhou自定义"/>
    <w:basedOn w:val="80"/>
    <w:qFormat/>
    <w:uiPriority w:val="0"/>
    <w:pPr>
      <w:widowControl w:val="0"/>
      <w:spacing w:line="360" w:lineRule="exact"/>
      <w:jc w:val="center"/>
    </w:pPr>
    <w:rPr>
      <w:rFonts w:eastAsia="Times New Roman"/>
      <w:sz w:val="21"/>
    </w:rPr>
  </w:style>
  <w:style w:type="table" w:customStyle="1" w:styleId="1648">
    <w:name w:val="普通表格1"/>
    <w:semiHidden/>
    <w:qFormat/>
    <w:uiPriority w:val="0"/>
    <w:rPr>
      <w:rFonts w:ascii="ˎ̥" w:hAnsi="ˎ̥" w:eastAsia="ˎ̥" w:cs="ˎ̥"/>
      <w:bCs/>
      <w:color w:val="000000"/>
      <w:sz w:val="24"/>
      <w:szCs w:val="24"/>
    </w:rPr>
    <w:tblPr>
      <w:tblCellMar>
        <w:top w:w="0" w:type="dxa"/>
        <w:left w:w="108" w:type="dxa"/>
        <w:bottom w:w="0" w:type="dxa"/>
        <w:right w:w="108" w:type="dxa"/>
      </w:tblCellMar>
    </w:tblPr>
  </w:style>
  <w:style w:type="table" w:customStyle="1" w:styleId="1649">
    <w:name w:val="斜头3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0">
    <w:name w:val="网格型模版33"/>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表格样式14"/>
    <w:basedOn w:val="80"/>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Pr>
  </w:style>
  <w:style w:type="table" w:customStyle="1" w:styleId="1652">
    <w:name w:val="斜头13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3">
    <w:name w:val="网格型11"/>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斜头112"/>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5">
    <w:name w:val="斜头11"/>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6">
    <w:name w:val="网格型15"/>
    <w:basedOn w:val="79"/>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网格型模版51"/>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网格型模版4"/>
    <w:basedOn w:val="7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网格型13"/>
    <w:basedOn w:val="79"/>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0">
    <w:name w:val="网格型模版7"/>
    <w:basedOn w:val="79"/>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网格型21"/>
    <w:basedOn w:val="79"/>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表格样式13"/>
    <w:basedOn w:val="80"/>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663">
    <w:name w:val="网格型模版24"/>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斜头14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5">
    <w:name w:val="毛的表格"/>
    <w:basedOn w:val="79"/>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666">
    <w:name w:val="网格型模版1"/>
    <w:basedOn w:val="7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7">
    <w:name w:val="表格主题1"/>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斜头1"/>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9">
    <w:name w:val="表格样式1"/>
    <w:basedOn w:val="80"/>
    <w:qFormat/>
    <w:uiPriority w:val="0"/>
    <w:pPr>
      <w:widowControl w:val="0"/>
      <w:jc w:val="both"/>
    </w:pPr>
  </w:style>
  <w:style w:type="table" w:customStyle="1" w:styleId="1670">
    <w:name w:val="斜头111"/>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1">
    <w:name w:val="斜头13"/>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2">
    <w:name w:val="斜头14"/>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3">
    <w:name w:val="表格样式11"/>
    <w:basedOn w:val="80"/>
    <w:qFormat/>
    <w:uiPriority w:val="0"/>
    <w:pPr>
      <w:widowControl w:val="0"/>
      <w:spacing w:line="360" w:lineRule="exact"/>
      <w:jc w:val="both"/>
    </w:pPr>
  </w:style>
  <w:style w:type="table" w:customStyle="1" w:styleId="1674">
    <w:name w:val="网格型模版3"/>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网格型模版2"/>
    <w:basedOn w:val="79"/>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6">
    <w:name w:val="网格型5"/>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表格主题2"/>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斜头2"/>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9">
    <w:name w:val="斜头"/>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0">
    <w:name w:val="斜头21"/>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1">
    <w:name w:val="表格样式112"/>
    <w:basedOn w:val="80"/>
    <w:qFormat/>
    <w:uiPriority w:val="0"/>
    <w:pPr>
      <w:widowControl w:val="0"/>
      <w:spacing w:line="360" w:lineRule="exact"/>
      <w:jc w:val="both"/>
    </w:pPr>
    <w:rPr>
      <w:sz w:val="21"/>
      <w:szCs w:val="21"/>
    </w:rPr>
  </w:style>
  <w:style w:type="table" w:customStyle="1" w:styleId="1682">
    <w:name w:val="表格样式16"/>
    <w:basedOn w:val="80"/>
    <w:qFormat/>
    <w:uiPriority w:val="0"/>
    <w:pPr>
      <w:widowControl w:val="0"/>
      <w:spacing w:line="360" w:lineRule="exact"/>
      <w:jc w:val="both"/>
    </w:pPr>
    <w:rPr>
      <w:rFonts w:ascii="Batang" w:hAnsi="Batang" w:cs="Batang"/>
    </w:rPr>
    <w:tblPr>
      <w:tblBorders>
        <w:top w:val="single" w:color="auto" w:sz="12" w:space="0"/>
        <w:left w:val="single" w:color="auto" w:sz="12" w:space="0"/>
        <w:bottom w:val="single" w:color="auto" w:sz="12" w:space="0"/>
        <w:right w:val="single" w:color="auto" w:sz="12" w:space="0"/>
      </w:tblBorders>
    </w:tblPr>
  </w:style>
  <w:style w:type="table" w:customStyle="1" w:styleId="1683">
    <w:name w:val="表格样式17"/>
    <w:basedOn w:val="80"/>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684">
    <w:name w:val="网格型模版23"/>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5">
    <w:name w:val="报告书样式"/>
    <w:basedOn w:val="80"/>
    <w:qFormat/>
    <w:uiPriority w:val="0"/>
    <w:pPr>
      <w:widowControl w:val="0"/>
      <w:spacing w:line="360" w:lineRule="auto"/>
      <w:jc w:val="center"/>
    </w:pPr>
    <w:rPr>
      <w:sz w:val="21"/>
    </w:rPr>
    <w:tblPr>
      <w:tblBorders>
        <w:top w:val="single" w:color="auto" w:sz="12" w:space="0"/>
        <w:left w:val="single" w:color="auto" w:sz="12" w:space="0"/>
        <w:bottom w:val="single" w:color="auto" w:sz="12" w:space="0"/>
        <w:right w:val="single" w:color="auto" w:sz="12" w:space="0"/>
      </w:tblBorders>
    </w:tblPr>
    <w:tcPr>
      <w:vAlign w:val="center"/>
    </w:tcPr>
  </w:style>
  <w:style w:type="table" w:customStyle="1" w:styleId="1686">
    <w:name w:val="网格型模版21"/>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网格型3"/>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8">
    <w:name w:val="斜头12"/>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9">
    <w:name w:val="斜头5"/>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0">
    <w:name w:val="网格型模版31"/>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1">
    <w:name w:val="网格型模版6"/>
    <w:basedOn w:val="79"/>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网格型模版13"/>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3">
    <w:name w:val="网格型12"/>
    <w:basedOn w:val="79"/>
    <w:semiHidden/>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4">
    <w:name w:val="斜头22"/>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5">
    <w:name w:val="斜头12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6">
    <w:name w:val="斜头211"/>
    <w:basedOn w:val="92"/>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7">
    <w:name w:val="表格样式19"/>
    <w:basedOn w:val="80"/>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Pr>
  </w:style>
  <w:style w:type="table" w:customStyle="1" w:styleId="1698">
    <w:name w:val="网格型模版27"/>
    <w:basedOn w:val="79"/>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网格型模版211"/>
    <w:basedOn w:val="79"/>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0">
    <w:name w:val="典雅型1"/>
    <w:basedOn w:val="79"/>
    <w:qFormat/>
    <w:uiPriority w:val="0"/>
    <w:pPr>
      <w:widowControl w:val="0"/>
      <w:spacing w:line="480" w:lineRule="exact"/>
      <w:ind w:firstLine="200" w:firstLineChars="20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01">
    <w:name w:val="表格样式777"/>
    <w:basedOn w:val="80"/>
    <w:qFormat/>
    <w:uiPriority w:val="0"/>
    <w:pPr>
      <w:widowControl w:val="0"/>
      <w:jc w:val="both"/>
    </w:pPr>
    <w:rPr>
      <w:rFonts w:ascii="华文行楷" w:hAnsi="华文行楷" w:cs="Batang"/>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paragraph" w:customStyle="1" w:styleId="1702">
    <w:name w:val="...表格内容"/>
    <w:basedOn w:val="1"/>
    <w:next w:val="1"/>
    <w:qFormat/>
    <w:uiPriority w:val="0"/>
    <w:pPr>
      <w:widowControl/>
      <w:spacing w:line="240" w:lineRule="atLeast"/>
      <w:ind w:firstLine="0" w:firstLineChars="0"/>
      <w:jc w:val="center"/>
    </w:pPr>
    <w:rPr>
      <w:sz w:val="21"/>
      <w:szCs w:val="21"/>
    </w:rPr>
  </w:style>
  <w:style w:type="paragraph" w:customStyle="1" w:styleId="1703">
    <w:name w:val="！正文"/>
    <w:basedOn w:val="1"/>
    <w:qFormat/>
    <w:uiPriority w:val="0"/>
    <w:pPr>
      <w:spacing w:line="500" w:lineRule="exact"/>
      <w:ind w:firstLine="480"/>
      <w:jc w:val="both"/>
    </w:pPr>
  </w:style>
  <w:style w:type="character" w:customStyle="1" w:styleId="1704">
    <w:name w:val="表格 Char1"/>
    <w:basedOn w:val="95"/>
    <w:link w:val="1705"/>
    <w:qFormat/>
    <w:uiPriority w:val="0"/>
    <w:rPr>
      <w:kern w:val="2"/>
      <w:sz w:val="21"/>
      <w:szCs w:val="21"/>
    </w:rPr>
  </w:style>
  <w:style w:type="paragraph" w:customStyle="1" w:styleId="1705">
    <w:name w:val="表格3"/>
    <w:basedOn w:val="2"/>
    <w:next w:val="1"/>
    <w:link w:val="1704"/>
    <w:qFormat/>
    <w:uiPriority w:val="0"/>
    <w:pPr>
      <w:spacing w:line="360" w:lineRule="exact"/>
      <w:ind w:firstLine="0" w:firstLineChars="0"/>
      <w:jc w:val="center"/>
    </w:pPr>
  </w:style>
  <w:style w:type="paragraph" w:customStyle="1" w:styleId="1706">
    <w:name w:val="样式 正文文本正文文字body textbt + 首行缩进:  2 字符1"/>
    <w:basedOn w:val="1"/>
    <w:qFormat/>
    <w:uiPriority w:val="0"/>
    <w:pPr>
      <w:ind w:firstLine="482"/>
      <w:jc w:val="both"/>
    </w:pPr>
    <w:rPr>
      <w:color w:val="FF0000"/>
    </w:rPr>
  </w:style>
  <w:style w:type="character" w:customStyle="1" w:styleId="1707">
    <w:name w:val="blue-bold"/>
    <w:basedOn w:val="95"/>
    <w:qFormat/>
    <w:uiPriority w:val="0"/>
    <w:rPr>
      <w:b/>
      <w:bCs/>
      <w:color w:val="0177D1"/>
    </w:rPr>
  </w:style>
  <w:style w:type="paragraph" w:customStyle="1" w:styleId="1708">
    <w:name w:val="样式 正文文本 + 首行缩进:  2 字符"/>
    <w:basedOn w:val="28"/>
    <w:qFormat/>
    <w:uiPriority w:val="99"/>
    <w:pPr>
      <w:spacing w:after="200" w:line="480" w:lineRule="exact"/>
      <w:ind w:firstLine="480"/>
    </w:pPr>
    <w:rPr>
      <w:rFonts w:ascii="宋体" w:hAnsi="宋体"/>
      <w:sz w:val="24"/>
    </w:rPr>
  </w:style>
  <w:style w:type="character" w:customStyle="1" w:styleId="1709">
    <w:name w:val="font71"/>
    <w:basedOn w:val="95"/>
    <w:qFormat/>
    <w:uiPriority w:val="0"/>
    <w:rPr>
      <w:rFonts w:hint="eastAsia" w:ascii="宋体" w:hAnsi="宋体" w:eastAsia="宋体" w:cs="宋体"/>
      <w:color w:val="000000"/>
      <w:sz w:val="22"/>
      <w:szCs w:val="22"/>
      <w:u w:val="none"/>
    </w:rPr>
  </w:style>
  <w:style w:type="paragraph" w:customStyle="1" w:styleId="1710">
    <w:name w:val="样式 样式 样式 四号 左侧:  1.53 厘米 + 首行缩进:  2 字符 + 居中 左侧:  2 字符 首行缩进:  2..."/>
    <w:basedOn w:val="1711"/>
    <w:qFormat/>
    <w:uiPriority w:val="0"/>
    <w:pPr>
      <w:ind w:firstLine="0" w:firstLineChars="0"/>
      <w:jc w:val="center"/>
    </w:pPr>
  </w:style>
  <w:style w:type="paragraph" w:customStyle="1" w:styleId="1711">
    <w:name w:val="样式 样式 四号 左侧:  1.53 厘米 + 首行缩进:  2 字符"/>
    <w:basedOn w:val="1712"/>
    <w:qFormat/>
    <w:uiPriority w:val="0"/>
    <w:pPr>
      <w:ind w:left="200" w:leftChars="200"/>
    </w:pPr>
    <w:rPr>
      <w:szCs w:val="20"/>
    </w:rPr>
  </w:style>
  <w:style w:type="paragraph" w:customStyle="1" w:styleId="1712">
    <w:name w:val="样式 四号 左侧:  1.53 厘米"/>
    <w:basedOn w:val="1"/>
    <w:qFormat/>
    <w:uiPriority w:val="0"/>
    <w:pPr>
      <w:adjustRightInd w:val="0"/>
    </w:pPr>
    <w:rPr>
      <w:w w:val="90"/>
      <w:sz w:val="28"/>
      <w:szCs w:val="28"/>
    </w:rPr>
  </w:style>
  <w:style w:type="character" w:customStyle="1" w:styleId="1713">
    <w:name w:val="font81"/>
    <w:basedOn w:val="95"/>
    <w:qFormat/>
    <w:uiPriority w:val="0"/>
    <w:rPr>
      <w:rFonts w:hint="default" w:ascii="仿宋_GB2312" w:eastAsia="仿宋_GB2312" w:cs="仿宋_GB2312"/>
      <w:color w:val="FF0000"/>
      <w:sz w:val="24"/>
      <w:szCs w:val="24"/>
      <w:u w:val="none"/>
      <w:vertAlign w:val="superscript"/>
    </w:rPr>
  </w:style>
  <w:style w:type="paragraph" w:customStyle="1" w:styleId="1714">
    <w:name w:val="S正文段落"/>
    <w:basedOn w:val="1"/>
    <w:qFormat/>
    <w:uiPriority w:val="0"/>
    <w:rPr>
      <w:kern w:val="0"/>
    </w:rPr>
  </w:style>
  <w:style w:type="paragraph" w:customStyle="1" w:styleId="1715">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1716">
    <w:name w:val="样式 小四 首行缩进:  1.01 厘米 行距: 1.5 倍行距"/>
    <w:basedOn w:val="1"/>
    <w:qFormat/>
    <w:uiPriority w:val="0"/>
    <w:pPr>
      <w:adjustRightInd w:val="0"/>
      <w:snapToGrid w:val="0"/>
    </w:pPr>
    <w:rPr>
      <w:rFonts w:ascii="Calibri" w:hAnsi="Calibri"/>
      <w:snapToGrid w:val="0"/>
      <w:kern w:val="24"/>
      <w:szCs w:val="20"/>
    </w:rPr>
  </w:style>
  <w:style w:type="paragraph" w:customStyle="1" w:styleId="1717">
    <w:name w:val="Other|1"/>
    <w:basedOn w:val="1"/>
    <w:qFormat/>
    <w:uiPriority w:val="0"/>
    <w:pPr>
      <w:spacing w:line="430" w:lineRule="auto"/>
      <w:ind w:firstLine="400"/>
    </w:pPr>
    <w:rPr>
      <w:rFonts w:ascii="宋体" w:hAnsi="宋体" w:cs="宋体"/>
      <w:sz w:val="28"/>
      <w:szCs w:val="28"/>
      <w:lang w:val="zh-TW" w:eastAsia="zh-TW" w:bidi="zh-TW"/>
    </w:rPr>
  </w:style>
  <w:style w:type="paragraph" w:customStyle="1" w:styleId="1718">
    <w:name w:val="表体"/>
    <w:basedOn w:val="1"/>
    <w:qFormat/>
    <w:uiPriority w:val="0"/>
    <w:pPr>
      <w:spacing w:before="62" w:beforeLines="20" w:after="62" w:afterLines="20" w:line="240" w:lineRule="auto"/>
      <w:ind w:firstLine="0" w:firstLineChars="0"/>
      <w:jc w:val="center"/>
    </w:pPr>
    <w:rPr>
      <w:sz w:val="21"/>
    </w:rPr>
  </w:style>
  <w:style w:type="paragraph" w:customStyle="1" w:styleId="1719">
    <w:name w:val="00 图表"/>
    <w:basedOn w:val="1720"/>
    <w:qFormat/>
    <w:uiPriority w:val="0"/>
    <w:pPr>
      <w:spacing w:line="240" w:lineRule="auto"/>
      <w:ind w:firstLine="0" w:firstLineChars="0"/>
      <w:jc w:val="center"/>
    </w:pPr>
    <w:rPr>
      <w:sz w:val="22"/>
    </w:rPr>
  </w:style>
  <w:style w:type="paragraph" w:customStyle="1" w:styleId="1720">
    <w:name w:val="00 正文"/>
    <w:basedOn w:val="49"/>
    <w:qFormat/>
    <w:uiPriority w:val="0"/>
    <w:pPr>
      <w:ind w:firstLine="480"/>
    </w:pPr>
    <w:rPr>
      <w:szCs w:val="20"/>
    </w:rPr>
  </w:style>
  <w:style w:type="paragraph" w:customStyle="1" w:styleId="1721">
    <w:name w:val="111新表格内容"/>
    <w:basedOn w:val="1"/>
    <w:qFormat/>
    <w:uiPriority w:val="0"/>
    <w:pPr>
      <w:widowControl/>
      <w:jc w:val="center"/>
    </w:pPr>
    <w:rPr>
      <w:color w:val="000000"/>
      <w:kern w:val="0"/>
      <w:szCs w:val="21"/>
    </w:rPr>
  </w:style>
  <w:style w:type="paragraph" w:customStyle="1" w:styleId="1722">
    <w:name w:val="标题5-MB"/>
    <w:basedOn w:val="7"/>
    <w:next w:val="1723"/>
    <w:qFormat/>
    <w:uiPriority w:val="0"/>
    <w:pPr>
      <w:numPr>
        <w:ilvl w:val="4"/>
        <w:numId w:val="2"/>
      </w:numPr>
      <w:tabs>
        <w:tab w:val="clear" w:pos="1008"/>
      </w:tabs>
    </w:pPr>
    <w:rPr>
      <w:kern w:val="0"/>
      <w:sz w:val="21"/>
      <w:lang w:val="zh-CN"/>
    </w:rPr>
  </w:style>
  <w:style w:type="paragraph" w:customStyle="1" w:styleId="1723">
    <w:name w:val="表格内-MB"/>
    <w:basedOn w:val="1"/>
    <w:qFormat/>
    <w:uiPriority w:val="0"/>
    <w:pPr>
      <w:widowControl/>
      <w:adjustRightInd w:val="0"/>
      <w:snapToGrid w:val="0"/>
      <w:contextualSpacing/>
      <w:jc w:val="center"/>
    </w:pPr>
  </w:style>
  <w:style w:type="paragraph" w:customStyle="1" w:styleId="1724">
    <w:name w:val="样式-表格内容"/>
    <w:basedOn w:val="1"/>
    <w:qFormat/>
    <w:uiPriority w:val="0"/>
    <w:pPr>
      <w:widowControl/>
      <w:adjustRightInd w:val="0"/>
      <w:snapToGrid w:val="0"/>
      <w:spacing w:line="240" w:lineRule="atLeast"/>
      <w:jc w:val="center"/>
    </w:pPr>
    <w:rPr>
      <w:rFonts w:eastAsia="Times New Roman" w:cs="宋体"/>
      <w:snapToGrid w:val="0"/>
      <w:kern w:val="0"/>
      <w:sz w:val="18"/>
      <w:szCs w:val="18"/>
    </w:rPr>
  </w:style>
  <w:style w:type="character" w:customStyle="1" w:styleId="1725">
    <w:name w:val="15"/>
    <w:qFormat/>
    <w:uiPriority w:val="0"/>
    <w:rPr>
      <w:rFonts w:hint="default" w:ascii="Times New Roman" w:hAnsi="Times New Roman" w:cs="Times New Roman"/>
      <w:color w:val="000000"/>
      <w:sz w:val="21"/>
      <w:szCs w:val="21"/>
    </w:rPr>
  </w:style>
  <w:style w:type="character" w:customStyle="1" w:styleId="1726">
    <w:name w:val="17"/>
    <w:qFormat/>
    <w:uiPriority w:val="0"/>
    <w:rPr>
      <w:rFonts w:hint="eastAsia" w:ascii="宋体" w:hAnsi="宋体" w:eastAsia="宋体"/>
      <w:color w:val="000000"/>
      <w:sz w:val="21"/>
      <w:szCs w:val="21"/>
    </w:rPr>
  </w:style>
  <w:style w:type="character" w:customStyle="1" w:styleId="1727">
    <w:name w:val="16"/>
    <w:qFormat/>
    <w:uiPriority w:val="0"/>
    <w:rPr>
      <w:rFonts w:hint="default" w:ascii="Times New Roman" w:hAnsi="Times New Roman" w:cs="Times New Roman"/>
      <w:color w:val="000000"/>
      <w:sz w:val="21"/>
      <w:szCs w:val="21"/>
      <w:vertAlign w:val="subscript"/>
    </w:rPr>
  </w:style>
  <w:style w:type="paragraph" w:customStyle="1" w:styleId="1728">
    <w:name w:val="列表段落1"/>
    <w:basedOn w:val="1"/>
    <w:qFormat/>
    <w:uiPriority w:val="0"/>
    <w:pPr>
      <w:ind w:firstLine="420"/>
    </w:pPr>
    <w:rPr>
      <w:szCs w:val="21"/>
    </w:rPr>
  </w:style>
  <w:style w:type="paragraph" w:customStyle="1" w:styleId="1729">
    <w:name w:val="01表格"/>
    <w:basedOn w:val="1"/>
    <w:qFormat/>
    <w:uiPriority w:val="0"/>
    <w:pPr>
      <w:tabs>
        <w:tab w:val="left" w:pos="420"/>
        <w:tab w:val="center" w:pos="623"/>
      </w:tabs>
      <w:adjustRightInd w:val="0"/>
      <w:snapToGrid w:val="0"/>
      <w:jc w:val="center"/>
    </w:pPr>
    <w:rPr>
      <w:color w:val="000000"/>
      <w:kern w:val="0"/>
      <w:szCs w:val="21"/>
    </w:rPr>
  </w:style>
  <w:style w:type="paragraph" w:customStyle="1" w:styleId="1730">
    <w:name w:val="Revision"/>
    <w:hidden/>
    <w:semiHidden/>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1.jpeg" Type="http://schemas.openxmlformats.org/officeDocument/2006/relationships/image"/><Relationship Id="rId11" Target="media/image2.jpeg" Type="http://schemas.openxmlformats.org/officeDocument/2006/relationships/image"/><Relationship Id="rId12" Target="embeddings/oleObject1.bin" Type="http://schemas.openxmlformats.org/officeDocument/2006/relationships/oleObject"/><Relationship Id="rId13" Target="media/image3.emf" Type="http://schemas.openxmlformats.org/officeDocument/2006/relationships/image"/><Relationship Id="rId14" Target="media/image4.jpeg" Type="http://schemas.openxmlformats.org/officeDocument/2006/relationships/image"/><Relationship Id="rId15" Target="embeddings/oleObject2.bin" Type="http://schemas.openxmlformats.org/officeDocument/2006/relationships/oleObject"/><Relationship Id="rId16" Target="media/image5.emf" Type="http://schemas.openxmlformats.org/officeDocument/2006/relationships/image"/><Relationship Id="rId17" Target="embeddings/oleObject3.bin" Type="http://schemas.openxmlformats.org/officeDocument/2006/relationships/oleObject"/><Relationship Id="rId18" Target="media/image6.emf" Type="http://schemas.openxmlformats.org/officeDocument/2006/relationships/image"/><Relationship Id="rId19" Target="media/image7.png" Type="http://schemas.openxmlformats.org/officeDocument/2006/relationships/image"/><Relationship Id="rId2" Target="settings.xml" Type="http://schemas.openxmlformats.org/officeDocument/2006/relationships/settings"/><Relationship Id="rId20" Target="media/image8.png" Type="http://schemas.openxmlformats.org/officeDocument/2006/relationships/image"/><Relationship Id="rId21" Target="embeddings/oleObject4.bin" Type="http://schemas.openxmlformats.org/officeDocument/2006/relationships/oleObject"/><Relationship Id="rId22" Target="media/image9.emf" Type="http://schemas.openxmlformats.org/officeDocument/2006/relationships/image"/><Relationship Id="rId23" Target="embeddings/oleObject5.bin" Type="http://schemas.openxmlformats.org/officeDocument/2006/relationships/oleObject"/><Relationship Id="rId24" Target="media/image10.wmf" Type="http://schemas.openxmlformats.org/officeDocument/2006/relationships/image"/><Relationship Id="rId25" Target="embeddings/oleObject6.bin" Type="http://schemas.openxmlformats.org/officeDocument/2006/relationships/oleObject"/><Relationship Id="rId26" Target="media/image11.wmf" Type="http://schemas.openxmlformats.org/officeDocument/2006/relationships/image"/><Relationship Id="rId27" Target="embeddings/oleObject7.bin" Type="http://schemas.openxmlformats.org/officeDocument/2006/relationships/oleObject"/><Relationship Id="rId28" Target="media/image12.wmf" Type="http://schemas.openxmlformats.org/officeDocument/2006/relationships/image"/><Relationship Id="rId29" Target="embeddings/oleObject8.bin" Type="http://schemas.openxmlformats.org/officeDocument/2006/relationships/oleObject"/><Relationship Id="rId3" Target="footnotes.xml" Type="http://schemas.openxmlformats.org/officeDocument/2006/relationships/footnotes"/><Relationship Id="rId30" Target="media/image13.wmf" Type="http://schemas.openxmlformats.org/officeDocument/2006/relationships/image"/><Relationship Id="rId31" Target="embeddings/oleObject9.bin" Type="http://schemas.openxmlformats.org/officeDocument/2006/relationships/oleObject"/><Relationship Id="rId32" Target="media/image14.wmf" Type="http://schemas.openxmlformats.org/officeDocument/2006/relationships/image"/><Relationship Id="rId33" Target="embeddings/oleObject10.bin" Type="http://schemas.openxmlformats.org/officeDocument/2006/relationships/oleObject"/><Relationship Id="rId34" Target="media/image15.wmf" Type="http://schemas.openxmlformats.org/officeDocument/2006/relationships/image"/><Relationship Id="rId35" Target="embeddings/oleObject11.bin" Type="http://schemas.openxmlformats.org/officeDocument/2006/relationships/oleObject"/><Relationship Id="rId36" Target="media/image16.wmf" Type="http://schemas.openxmlformats.org/officeDocument/2006/relationships/image"/><Relationship Id="rId37" Target="embeddings/oleObject12.bin" Type="http://schemas.openxmlformats.org/officeDocument/2006/relationships/oleObject"/><Relationship Id="rId38" Target="media/image17.wmf" Type="http://schemas.openxmlformats.org/officeDocument/2006/relationships/image"/><Relationship Id="rId39" Target="embeddings/oleObject13.bin" Type="http://schemas.openxmlformats.org/officeDocument/2006/relationships/oleObject"/><Relationship Id="rId4" Target="endnotes.xml" Type="http://schemas.openxmlformats.org/officeDocument/2006/relationships/endnotes"/><Relationship Id="rId40" Target="media/image18.wmf" Type="http://schemas.openxmlformats.org/officeDocument/2006/relationships/image"/><Relationship Id="rId41" Target="embeddings/oleObject14.bin" Type="http://schemas.openxmlformats.org/officeDocument/2006/relationships/oleObject"/><Relationship Id="rId42" Target="media/image19.wmf" Type="http://schemas.openxmlformats.org/officeDocument/2006/relationships/image"/><Relationship Id="rId43" Target="embeddings/oleObject15.bin" Type="http://schemas.openxmlformats.org/officeDocument/2006/relationships/oleObject"/><Relationship Id="rId44" Target="media/image20.wmf" Type="http://schemas.openxmlformats.org/officeDocument/2006/relationships/image"/><Relationship Id="rId45" Target="embeddings/oleObject16.bin" Type="http://schemas.openxmlformats.org/officeDocument/2006/relationships/oleObject"/><Relationship Id="rId46" Target="media/image21.wmf" Type="http://schemas.openxmlformats.org/officeDocument/2006/relationships/image"/><Relationship Id="rId47" Target="embeddings/oleObject17.bin" Type="http://schemas.openxmlformats.org/officeDocument/2006/relationships/oleObject"/><Relationship Id="rId48" Target="media/image22.wmf" Type="http://schemas.openxmlformats.org/officeDocument/2006/relationships/image"/><Relationship Id="rId49" Target="embeddings/oleObject18.bin" Type="http://schemas.openxmlformats.org/officeDocument/2006/relationships/oleObject"/><Relationship Id="rId5" Target="footer1.xml" Type="http://schemas.openxmlformats.org/officeDocument/2006/relationships/footer"/><Relationship Id="rId50" Target="media/image23.wmf" Type="http://schemas.openxmlformats.org/officeDocument/2006/relationships/image"/><Relationship Id="rId51" Target="embeddings/oleObject19.bin" Type="http://schemas.openxmlformats.org/officeDocument/2006/relationships/oleObject"/><Relationship Id="rId52" Target="media/image24.wmf" Type="http://schemas.openxmlformats.org/officeDocument/2006/relationships/image"/><Relationship Id="rId53" Target="../customXml/item1.xml" Type="http://schemas.openxmlformats.org/officeDocument/2006/relationships/customXml"/><Relationship Id="rId54" Target="numbering.xml" Type="http://schemas.openxmlformats.org/officeDocument/2006/relationships/numbering"/><Relationship Id="rId55" Target="../customXml/item2.xml" Type="http://schemas.openxmlformats.org/officeDocument/2006/relationships/customXml"/><Relationship Id="rId56" Target="fontTable.xml" Type="http://schemas.openxmlformats.org/officeDocument/2006/relationships/fontTable"/><Relationship Id="rId6" Target="footer2.xml" Type="http://schemas.openxmlformats.org/officeDocument/2006/relationships/footer"/><Relationship Id="rId7" Target="footer3.xml" Type="http://schemas.openxmlformats.org/officeDocument/2006/relationships/footer"/><Relationship Id="rId8" Target="footer4.xml" Type="http://schemas.openxmlformats.org/officeDocument/2006/relationships/footer"/><Relationship Id="rId9" Target="theme/theme1.xml" Type="http://schemas.openxmlformats.org/officeDocument/2006/relationships/them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customShpInfo spid="_x0000_s1026"/>
    <customShpInfo spid="_x0000_s2076"/>
    <customShpInfo spid="_x0000_s2070"/>
    <customShpInfo spid="_x0000_s2071"/>
    <customShpInfo spid="_x0000_s2074"/>
    <customShpInfo spid="_x0000_s207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CDE3D3-61F3-4432-9C0F-769A3E3E38E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68</Pages>
  <Words>40782</Words>
  <Characters>47739</Characters>
  <Lines>352</Lines>
  <Paragraphs>99</Paragraphs>
  <TotalTime>1</TotalTime>
  <ScaleCrop>false</ScaleCrop>
  <LinksUpToDate>false</LinksUpToDate>
  <CharactersWithSpaces>48076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2021-03-18T09:08:00Z</dcterms:created>
  <dc:creator>lhj</dc:creator>
  <cp:lastModifiedBy> 村花丶一小朵</cp:lastModifiedBy>
  <cp:lastPrinted>2020-12-29T02:43:00Z</cp:lastPrinted>
  <dcterms:modified xsi:type="dcterms:W3CDTF">2022-11-30T01:30:41Z</dcterms:modified>
  <cp:revision>5</cp:revision>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24E75C60EE4742A48F62270F270880BA</vt:lpwstr>
  </property>
</Properties>
</file>