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C"/>
  <w:body>
    <w:p>
      <w:pPr>
        <w:pStyle w:val="46"/>
        <w:ind w:firstLine="148" w:firstLineChars="49"/>
        <w:jc w:val="left"/>
        <w:outlineLvl w:val="0"/>
        <w:rPr>
          <w:rFonts w:eastAsia="黑体"/>
          <w:spacing w:val="0"/>
          <w:sz w:val="30"/>
          <w:szCs w:val="30"/>
          <w:highlight w:val="none"/>
        </w:rPr>
      </w:pPr>
      <w:r>
        <w:rPr>
          <w:rFonts w:eastAsia="黑体"/>
          <w:b/>
          <w:spacing w:val="0"/>
          <w:sz w:val="30"/>
          <w:szCs w:val="30"/>
          <w:highlight w:val="none"/>
        </w:rPr>
        <w:t>建设项目基本情况</w:t>
      </w:r>
    </w:p>
    <w:tbl>
      <w:tblPr>
        <w:tblStyle w:val="36"/>
        <w:tblW w:w="904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36"/>
        <w:gridCol w:w="1831"/>
        <w:gridCol w:w="601"/>
        <w:gridCol w:w="1072"/>
        <w:gridCol w:w="1355"/>
        <w:gridCol w:w="850"/>
        <w:gridCol w:w="366"/>
        <w:gridCol w:w="13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4" w:hRule="atLeast"/>
          <w:jc w:val="center"/>
        </w:trPr>
        <w:tc>
          <w:tcPr>
            <w:tcW w:w="1636" w:type="dxa"/>
            <w:noWrap w:val="0"/>
            <w:vAlign w:val="center"/>
          </w:tcPr>
          <w:p>
            <w:pPr>
              <w:pStyle w:val="46"/>
              <w:snapToGrid w:val="0"/>
              <w:spacing w:line="240" w:lineRule="atLeast"/>
              <w:jc w:val="center"/>
              <w:rPr>
                <w:rFonts w:hint="eastAsia"/>
                <w:b/>
                <w:spacing w:val="0"/>
                <w:sz w:val="24"/>
                <w:szCs w:val="24"/>
                <w:highlight w:val="none"/>
              </w:rPr>
            </w:pPr>
            <w:r>
              <w:rPr>
                <w:rFonts w:hint="eastAsia"/>
                <w:b/>
                <w:spacing w:val="0"/>
                <w:sz w:val="24"/>
                <w:szCs w:val="24"/>
                <w:highlight w:val="none"/>
              </w:rPr>
              <w:t>项目名称</w:t>
            </w:r>
          </w:p>
        </w:tc>
        <w:tc>
          <w:tcPr>
            <w:tcW w:w="7409" w:type="dxa"/>
            <w:gridSpan w:val="7"/>
            <w:noWrap w:val="0"/>
            <w:vAlign w:val="center"/>
          </w:tcPr>
          <w:p>
            <w:pPr>
              <w:spacing w:line="400" w:lineRule="exact"/>
              <w:jc w:val="center"/>
              <w:rPr>
                <w:rFonts w:hint="eastAsia"/>
                <w:sz w:val="24"/>
                <w:szCs w:val="24"/>
                <w:highlight w:val="none"/>
              </w:rPr>
            </w:pPr>
            <w:r>
              <w:rPr>
                <w:rFonts w:hint="eastAsia"/>
                <w:sz w:val="24"/>
                <w:szCs w:val="24"/>
                <w:highlight w:val="none"/>
              </w:rPr>
              <w:t>迁安市健康体检管理中心新建项目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73" w:hRule="atLeast"/>
          <w:jc w:val="center"/>
        </w:trPr>
        <w:tc>
          <w:tcPr>
            <w:tcW w:w="1636" w:type="dxa"/>
            <w:noWrap w:val="0"/>
            <w:vAlign w:val="center"/>
          </w:tcPr>
          <w:p>
            <w:pPr>
              <w:pStyle w:val="46"/>
              <w:snapToGrid w:val="0"/>
              <w:spacing w:line="240" w:lineRule="atLeast"/>
              <w:jc w:val="center"/>
              <w:rPr>
                <w:b/>
                <w:spacing w:val="0"/>
                <w:sz w:val="24"/>
                <w:szCs w:val="24"/>
                <w:highlight w:val="none"/>
              </w:rPr>
            </w:pPr>
            <w:r>
              <w:rPr>
                <w:b/>
                <w:spacing w:val="0"/>
                <w:sz w:val="24"/>
                <w:szCs w:val="24"/>
                <w:highlight w:val="none"/>
              </w:rPr>
              <w:t>建设单位</w:t>
            </w:r>
          </w:p>
        </w:tc>
        <w:tc>
          <w:tcPr>
            <w:tcW w:w="7409" w:type="dxa"/>
            <w:gridSpan w:val="7"/>
            <w:noWrap w:val="0"/>
            <w:vAlign w:val="center"/>
          </w:tcPr>
          <w:p>
            <w:pPr>
              <w:adjustRightInd w:val="0"/>
              <w:snapToGrid w:val="0"/>
              <w:spacing w:line="240" w:lineRule="atLeast"/>
              <w:jc w:val="center"/>
              <w:rPr>
                <w:rFonts w:hint="eastAsia"/>
                <w:snapToGrid w:val="0"/>
                <w:kern w:val="0"/>
                <w:sz w:val="24"/>
                <w:szCs w:val="24"/>
                <w:highlight w:val="none"/>
              </w:rPr>
            </w:pPr>
            <w:r>
              <w:rPr>
                <w:rFonts w:hint="eastAsia"/>
                <w:sz w:val="24"/>
                <w:szCs w:val="24"/>
                <w:highlight w:val="none"/>
              </w:rPr>
              <w:t>迁安市卫生健康局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08"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法人代表</w:t>
            </w:r>
          </w:p>
        </w:tc>
        <w:tc>
          <w:tcPr>
            <w:tcW w:w="3504" w:type="dxa"/>
            <w:gridSpan w:val="3"/>
            <w:noWrap w:val="0"/>
            <w:vAlign w:val="center"/>
          </w:tcPr>
          <w:p>
            <w:pPr>
              <w:adjustRightInd w:val="0"/>
              <w:snapToGrid w:val="0"/>
              <w:spacing w:line="240" w:lineRule="atLeast"/>
              <w:jc w:val="center"/>
              <w:rPr>
                <w:rFonts w:hint="eastAsia"/>
                <w:sz w:val="24"/>
                <w:szCs w:val="24"/>
                <w:highlight w:val="none"/>
              </w:rPr>
            </w:pPr>
            <w:r>
              <w:rPr>
                <w:rFonts w:hint="eastAsia"/>
                <w:sz w:val="24"/>
                <w:szCs w:val="24"/>
                <w:highlight w:val="none"/>
              </w:rPr>
              <w:t>朱冰</w:t>
            </w:r>
          </w:p>
        </w:tc>
        <w:tc>
          <w:tcPr>
            <w:tcW w:w="1355"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联系人</w:t>
            </w:r>
          </w:p>
        </w:tc>
        <w:tc>
          <w:tcPr>
            <w:tcW w:w="2550" w:type="dxa"/>
            <w:gridSpan w:val="3"/>
            <w:noWrap w:val="0"/>
            <w:vAlign w:val="center"/>
          </w:tcPr>
          <w:p>
            <w:pPr>
              <w:adjustRightInd w:val="0"/>
              <w:snapToGrid w:val="0"/>
              <w:spacing w:line="240" w:lineRule="atLeast"/>
              <w:jc w:val="center"/>
              <w:rPr>
                <w:rFonts w:hint="eastAsia"/>
                <w:sz w:val="24"/>
                <w:szCs w:val="24"/>
                <w:highlight w:val="none"/>
              </w:rPr>
            </w:pPr>
            <w:r>
              <w:rPr>
                <w:rFonts w:hint="eastAsia"/>
                <w:sz w:val="24"/>
                <w:szCs w:val="24"/>
                <w:highlight w:val="none"/>
              </w:rPr>
              <w:t>曹小娟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55"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通讯地址</w:t>
            </w:r>
          </w:p>
        </w:tc>
        <w:tc>
          <w:tcPr>
            <w:tcW w:w="7409" w:type="dxa"/>
            <w:gridSpan w:val="7"/>
            <w:noWrap w:val="0"/>
            <w:vAlign w:val="center"/>
          </w:tcPr>
          <w:p>
            <w:pPr>
              <w:adjustRightInd w:val="0"/>
              <w:snapToGrid w:val="0"/>
              <w:spacing w:line="240" w:lineRule="atLeast"/>
              <w:jc w:val="center"/>
              <w:rPr>
                <w:rFonts w:hint="eastAsia"/>
                <w:color w:val="FF0000"/>
                <w:sz w:val="24"/>
                <w:szCs w:val="24"/>
                <w:highlight w:val="none"/>
              </w:rPr>
            </w:pPr>
            <w:r>
              <w:rPr>
                <w:rFonts w:hint="eastAsia" w:ascii="宋体" w:hAnsi="宋体"/>
                <w:color w:val="auto"/>
                <w:sz w:val="24"/>
                <w:szCs w:val="24"/>
                <w:highlight w:val="none"/>
              </w:rPr>
              <w:t>迁安市创客广场A座9层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2"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联系电话</w:t>
            </w:r>
          </w:p>
        </w:tc>
        <w:tc>
          <w:tcPr>
            <w:tcW w:w="2432" w:type="dxa"/>
            <w:gridSpan w:val="2"/>
            <w:noWrap w:val="0"/>
            <w:vAlign w:val="center"/>
          </w:tcPr>
          <w:p>
            <w:pPr>
              <w:pStyle w:val="46"/>
              <w:snapToGrid w:val="0"/>
              <w:spacing w:line="240" w:lineRule="atLeast"/>
              <w:jc w:val="center"/>
              <w:rPr>
                <w:rFonts w:hint="eastAsia"/>
                <w:spacing w:val="0"/>
                <w:sz w:val="24"/>
                <w:szCs w:val="24"/>
                <w:highlight w:val="none"/>
              </w:rPr>
            </w:pPr>
            <w:r>
              <w:rPr>
                <w:rFonts w:hint="eastAsia"/>
                <w:spacing w:val="0"/>
                <w:sz w:val="24"/>
                <w:szCs w:val="24"/>
                <w:highlight w:val="none"/>
              </w:rPr>
              <w:t>13292592618</w:t>
            </w:r>
          </w:p>
        </w:tc>
        <w:tc>
          <w:tcPr>
            <w:tcW w:w="1072"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传  真</w:t>
            </w:r>
          </w:p>
        </w:tc>
        <w:tc>
          <w:tcPr>
            <w:tcW w:w="1355" w:type="dxa"/>
            <w:noWrap w:val="0"/>
            <w:vAlign w:val="center"/>
          </w:tcPr>
          <w:p>
            <w:pPr>
              <w:pStyle w:val="46"/>
              <w:adjustRightInd w:val="0"/>
              <w:snapToGrid w:val="0"/>
              <w:spacing w:line="240" w:lineRule="atLeast"/>
              <w:jc w:val="center"/>
              <w:rPr>
                <w:spacing w:val="0"/>
                <w:sz w:val="24"/>
                <w:szCs w:val="24"/>
                <w:highlight w:val="none"/>
              </w:rPr>
            </w:pPr>
          </w:p>
        </w:tc>
        <w:tc>
          <w:tcPr>
            <w:tcW w:w="850" w:type="dxa"/>
            <w:noWrap w:val="0"/>
            <w:vAlign w:val="center"/>
          </w:tcPr>
          <w:p>
            <w:pPr>
              <w:pStyle w:val="46"/>
              <w:snapToGrid w:val="0"/>
              <w:spacing w:line="240" w:lineRule="atLeast"/>
              <w:jc w:val="center"/>
              <w:rPr>
                <w:b/>
                <w:spacing w:val="0"/>
                <w:sz w:val="24"/>
                <w:szCs w:val="24"/>
                <w:highlight w:val="none"/>
              </w:rPr>
            </w:pPr>
            <w:r>
              <w:rPr>
                <w:b/>
                <w:spacing w:val="0"/>
                <w:sz w:val="24"/>
                <w:szCs w:val="24"/>
                <w:highlight w:val="none"/>
              </w:rPr>
              <w:t>邮政编码</w:t>
            </w:r>
          </w:p>
        </w:tc>
        <w:tc>
          <w:tcPr>
            <w:tcW w:w="1700" w:type="dxa"/>
            <w:gridSpan w:val="2"/>
            <w:noWrap w:val="0"/>
            <w:vAlign w:val="center"/>
          </w:tcPr>
          <w:p>
            <w:pPr>
              <w:pStyle w:val="46"/>
              <w:snapToGrid w:val="0"/>
              <w:spacing w:line="240" w:lineRule="atLeast"/>
              <w:jc w:val="center"/>
              <w:rPr>
                <w:rFonts w:hint="eastAsia"/>
                <w:spacing w:val="0"/>
                <w:sz w:val="24"/>
                <w:szCs w:val="24"/>
                <w:highlight w:val="none"/>
              </w:rPr>
            </w:pPr>
            <w:r>
              <w:rPr>
                <w:rFonts w:hint="eastAsia"/>
                <w:spacing w:val="0"/>
                <w:sz w:val="24"/>
                <w:szCs w:val="24"/>
                <w:highlight w:val="none"/>
              </w:rPr>
              <w:t>064400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44"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建设地点</w:t>
            </w:r>
          </w:p>
        </w:tc>
        <w:tc>
          <w:tcPr>
            <w:tcW w:w="7409" w:type="dxa"/>
            <w:gridSpan w:val="7"/>
            <w:noWrap w:val="0"/>
            <w:vAlign w:val="center"/>
          </w:tcPr>
          <w:p>
            <w:pPr>
              <w:adjustRightInd w:val="0"/>
              <w:snapToGrid w:val="0"/>
              <w:spacing w:line="240" w:lineRule="atLeast"/>
              <w:jc w:val="center"/>
              <w:rPr>
                <w:rFonts w:hint="eastAsia"/>
                <w:sz w:val="24"/>
                <w:szCs w:val="24"/>
                <w:highlight w:val="none"/>
              </w:rPr>
            </w:pPr>
            <w:r>
              <w:rPr>
                <w:rFonts w:hint="eastAsia" w:ascii="宋体" w:hAnsi="宋体"/>
                <w:sz w:val="24"/>
                <w:szCs w:val="24"/>
                <w:highlight w:val="none"/>
              </w:rPr>
              <w:t>迁安市惠安大街北侧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99" w:hRule="atLeast"/>
          <w:jc w:val="center"/>
        </w:trPr>
        <w:tc>
          <w:tcPr>
            <w:tcW w:w="1636" w:type="dxa"/>
            <w:noWrap w:val="0"/>
            <w:vAlign w:val="center"/>
          </w:tcPr>
          <w:p>
            <w:pPr>
              <w:pStyle w:val="46"/>
              <w:adjustRightInd w:val="0"/>
              <w:snapToGrid w:val="0"/>
              <w:spacing w:line="240" w:lineRule="atLeast"/>
              <w:ind w:left="-105" w:leftChars="-50" w:right="-105" w:rightChars="-50"/>
              <w:jc w:val="center"/>
              <w:rPr>
                <w:b/>
                <w:spacing w:val="0"/>
                <w:sz w:val="24"/>
                <w:szCs w:val="24"/>
                <w:highlight w:val="none"/>
              </w:rPr>
            </w:pPr>
            <w:r>
              <w:rPr>
                <w:b/>
                <w:spacing w:val="0"/>
                <w:sz w:val="24"/>
                <w:szCs w:val="24"/>
                <w:highlight w:val="none"/>
              </w:rPr>
              <w:t>立项审批部门</w:t>
            </w:r>
          </w:p>
        </w:tc>
        <w:tc>
          <w:tcPr>
            <w:tcW w:w="3504" w:type="dxa"/>
            <w:gridSpan w:val="3"/>
            <w:noWrap w:val="0"/>
            <w:vAlign w:val="center"/>
          </w:tcPr>
          <w:p>
            <w:pPr>
              <w:adjustRightInd w:val="0"/>
              <w:snapToGrid w:val="0"/>
              <w:spacing w:line="240" w:lineRule="atLeast"/>
              <w:jc w:val="center"/>
              <w:rPr>
                <w:rFonts w:hint="eastAsia"/>
                <w:snapToGrid w:val="0"/>
                <w:kern w:val="0"/>
                <w:sz w:val="24"/>
                <w:szCs w:val="24"/>
                <w:highlight w:val="none"/>
              </w:rPr>
            </w:pPr>
            <w:r>
              <w:rPr>
                <w:rFonts w:hint="eastAsia"/>
                <w:snapToGrid w:val="0"/>
                <w:kern w:val="0"/>
                <w:sz w:val="24"/>
                <w:szCs w:val="24"/>
                <w:highlight w:val="none"/>
              </w:rPr>
              <w:t>-</w:t>
            </w:r>
          </w:p>
        </w:tc>
        <w:tc>
          <w:tcPr>
            <w:tcW w:w="1355"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批准文号</w:t>
            </w:r>
          </w:p>
        </w:tc>
        <w:tc>
          <w:tcPr>
            <w:tcW w:w="2550" w:type="dxa"/>
            <w:gridSpan w:val="3"/>
            <w:noWrap w:val="0"/>
            <w:vAlign w:val="center"/>
          </w:tcPr>
          <w:p>
            <w:pPr>
              <w:adjustRightInd w:val="0"/>
              <w:snapToGrid w:val="0"/>
              <w:spacing w:line="240" w:lineRule="atLeast"/>
              <w:jc w:val="center"/>
              <w:rPr>
                <w:rFonts w:hint="eastAsia"/>
                <w:sz w:val="24"/>
                <w:szCs w:val="24"/>
                <w:highlight w:val="none"/>
              </w:rPr>
            </w:pPr>
            <w:r>
              <w:rPr>
                <w:rFonts w:hint="eastAsia"/>
                <w:sz w:val="24"/>
                <w:szCs w:val="24"/>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04"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建设性质</w:t>
            </w:r>
          </w:p>
        </w:tc>
        <w:tc>
          <w:tcPr>
            <w:tcW w:w="3504" w:type="dxa"/>
            <w:gridSpan w:val="3"/>
            <w:noWrap w:val="0"/>
            <w:vAlign w:val="center"/>
          </w:tcPr>
          <w:p>
            <w:pPr>
              <w:pStyle w:val="46"/>
              <w:adjustRightInd w:val="0"/>
              <w:snapToGrid w:val="0"/>
              <w:spacing w:line="240" w:lineRule="atLeast"/>
              <w:jc w:val="center"/>
              <w:rPr>
                <w:b/>
                <w:spacing w:val="0"/>
                <w:sz w:val="24"/>
                <w:szCs w:val="24"/>
                <w:highlight w:val="none"/>
              </w:rPr>
            </w:pPr>
            <w:r>
              <w:rPr>
                <w:color w:val="auto"/>
                <w:spacing w:val="0"/>
                <w:kern w:val="2"/>
                <w:sz w:val="24"/>
                <w:szCs w:val="24"/>
                <w:highlight w:val="none"/>
              </w:rPr>
              <w:t>新建</w:t>
            </w:r>
            <w:r>
              <w:rPr>
                <w:color w:val="auto"/>
                <w:spacing w:val="0"/>
                <w:kern w:val="2"/>
                <w:sz w:val="24"/>
                <w:szCs w:val="24"/>
                <w:highlight w:val="none"/>
              </w:rPr>
              <w:fldChar w:fldCharType="begin"/>
            </w:r>
            <w:r>
              <w:rPr>
                <w:color w:val="auto"/>
                <w:spacing w:val="0"/>
                <w:kern w:val="2"/>
                <w:sz w:val="24"/>
                <w:szCs w:val="24"/>
                <w:highlight w:val="none"/>
              </w:rPr>
              <w:instrText xml:space="preserve"> eq \o\ac(□,√)</w:instrText>
            </w:r>
            <w:r>
              <w:rPr>
                <w:color w:val="auto"/>
                <w:spacing w:val="0"/>
                <w:kern w:val="2"/>
                <w:sz w:val="24"/>
                <w:szCs w:val="24"/>
                <w:highlight w:val="none"/>
              </w:rPr>
              <w:fldChar w:fldCharType="end"/>
            </w:r>
            <w:r>
              <w:rPr>
                <w:spacing w:val="0"/>
                <w:kern w:val="2"/>
                <w:sz w:val="24"/>
                <w:szCs w:val="24"/>
                <w:highlight w:val="none"/>
              </w:rPr>
              <w:t xml:space="preserve"> </w:t>
            </w:r>
            <w:r>
              <w:rPr>
                <w:rFonts w:hint="eastAsia"/>
                <w:spacing w:val="0"/>
                <w:kern w:val="2"/>
                <w:sz w:val="24"/>
                <w:szCs w:val="24"/>
                <w:highlight w:val="none"/>
              </w:rPr>
              <w:t xml:space="preserve"> </w:t>
            </w:r>
            <w:r>
              <w:rPr>
                <w:spacing w:val="0"/>
                <w:kern w:val="2"/>
                <w:sz w:val="24"/>
                <w:szCs w:val="24"/>
                <w:highlight w:val="none"/>
              </w:rPr>
              <w:t>改扩建□ 技改□</w:t>
            </w:r>
          </w:p>
        </w:tc>
        <w:tc>
          <w:tcPr>
            <w:tcW w:w="1355"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行业类别及代码</w:t>
            </w:r>
          </w:p>
        </w:tc>
        <w:tc>
          <w:tcPr>
            <w:tcW w:w="2550" w:type="dxa"/>
            <w:gridSpan w:val="3"/>
            <w:noWrap w:val="0"/>
            <w:vAlign w:val="center"/>
          </w:tcPr>
          <w:p>
            <w:pPr>
              <w:adjustRightInd w:val="0"/>
              <w:snapToGrid w:val="0"/>
              <w:spacing w:line="240" w:lineRule="atLeast"/>
              <w:jc w:val="center"/>
              <w:rPr>
                <w:rFonts w:hint="eastAsia"/>
                <w:snapToGrid w:val="0"/>
                <w:kern w:val="0"/>
                <w:sz w:val="24"/>
                <w:szCs w:val="24"/>
                <w:highlight w:val="none"/>
              </w:rPr>
            </w:pPr>
            <w:r>
              <w:rPr>
                <w:rFonts w:hint="eastAsia"/>
                <w:snapToGrid w:val="0"/>
                <w:kern w:val="0"/>
                <w:sz w:val="24"/>
                <w:szCs w:val="24"/>
                <w:highlight w:val="none"/>
              </w:rPr>
              <w:t>健康体检服务(Q-8491)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04"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占地面积   (平方米)</w:t>
            </w:r>
          </w:p>
        </w:tc>
        <w:tc>
          <w:tcPr>
            <w:tcW w:w="3504" w:type="dxa"/>
            <w:gridSpan w:val="3"/>
            <w:noWrap w:val="0"/>
            <w:vAlign w:val="center"/>
          </w:tcPr>
          <w:p>
            <w:pPr>
              <w:pStyle w:val="46"/>
              <w:adjustRightInd w:val="0"/>
              <w:snapToGrid w:val="0"/>
              <w:spacing w:line="240" w:lineRule="atLeast"/>
              <w:jc w:val="center"/>
              <w:rPr>
                <w:rFonts w:hint="default" w:eastAsia="宋体"/>
                <w:spacing w:val="0"/>
                <w:kern w:val="2"/>
                <w:sz w:val="24"/>
                <w:szCs w:val="24"/>
                <w:highlight w:val="none"/>
                <w:lang w:val="en-US" w:eastAsia="zh-CN"/>
              </w:rPr>
            </w:pPr>
            <w:r>
              <w:rPr>
                <w:rFonts w:hint="eastAsia"/>
                <w:spacing w:val="0"/>
                <w:kern w:val="2"/>
                <w:sz w:val="24"/>
                <w:szCs w:val="24"/>
                <w:highlight w:val="none"/>
                <w:lang w:val="en-US" w:eastAsia="zh-CN"/>
              </w:rPr>
              <w:t>3048</w:t>
            </w:r>
          </w:p>
        </w:tc>
        <w:tc>
          <w:tcPr>
            <w:tcW w:w="1355"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绿化面积</w:t>
            </w:r>
          </w:p>
          <w:p>
            <w:pPr>
              <w:pStyle w:val="46"/>
              <w:adjustRightInd w:val="0"/>
              <w:snapToGrid w:val="0"/>
              <w:spacing w:line="240" w:lineRule="atLeast"/>
              <w:jc w:val="center"/>
              <w:rPr>
                <w:b/>
                <w:spacing w:val="0"/>
                <w:sz w:val="24"/>
                <w:szCs w:val="24"/>
                <w:highlight w:val="none"/>
              </w:rPr>
            </w:pPr>
            <w:r>
              <w:rPr>
                <w:b/>
                <w:spacing w:val="0"/>
                <w:sz w:val="24"/>
                <w:szCs w:val="24"/>
                <w:highlight w:val="none"/>
              </w:rPr>
              <w:t>(平方米)</w:t>
            </w:r>
          </w:p>
        </w:tc>
        <w:tc>
          <w:tcPr>
            <w:tcW w:w="2550" w:type="dxa"/>
            <w:gridSpan w:val="3"/>
            <w:noWrap w:val="0"/>
            <w:vAlign w:val="center"/>
          </w:tcPr>
          <w:p>
            <w:pPr>
              <w:pStyle w:val="46"/>
              <w:snapToGrid w:val="0"/>
              <w:spacing w:line="240" w:lineRule="atLeast"/>
              <w:jc w:val="center"/>
              <w:rPr>
                <w:rFonts w:hint="eastAsia"/>
                <w:spacing w:val="0"/>
                <w:sz w:val="24"/>
                <w:szCs w:val="24"/>
                <w:highlight w:val="none"/>
              </w:rPr>
            </w:pPr>
            <w:r>
              <w:rPr>
                <w:rFonts w:hint="eastAsia"/>
                <w:spacing w:val="0"/>
                <w:sz w:val="24"/>
                <w:szCs w:val="24"/>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4"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总投资</w:t>
            </w:r>
          </w:p>
          <w:p>
            <w:pPr>
              <w:pStyle w:val="46"/>
              <w:adjustRightInd w:val="0"/>
              <w:snapToGrid w:val="0"/>
              <w:spacing w:line="240" w:lineRule="atLeast"/>
              <w:jc w:val="center"/>
              <w:rPr>
                <w:b/>
                <w:spacing w:val="0"/>
                <w:sz w:val="24"/>
                <w:szCs w:val="24"/>
                <w:highlight w:val="none"/>
              </w:rPr>
            </w:pPr>
            <w:r>
              <w:rPr>
                <w:b/>
                <w:spacing w:val="0"/>
                <w:sz w:val="24"/>
                <w:szCs w:val="24"/>
                <w:highlight w:val="none"/>
              </w:rPr>
              <w:t>(万元)</w:t>
            </w:r>
          </w:p>
        </w:tc>
        <w:tc>
          <w:tcPr>
            <w:tcW w:w="1831" w:type="dxa"/>
            <w:noWrap w:val="0"/>
            <w:vAlign w:val="center"/>
          </w:tcPr>
          <w:p>
            <w:pPr>
              <w:pStyle w:val="46"/>
              <w:adjustRightInd w:val="0"/>
              <w:snapToGrid w:val="0"/>
              <w:spacing w:line="240" w:lineRule="atLeast"/>
              <w:jc w:val="center"/>
              <w:rPr>
                <w:rFonts w:hint="eastAsia"/>
                <w:spacing w:val="0"/>
                <w:sz w:val="24"/>
                <w:szCs w:val="24"/>
                <w:highlight w:val="none"/>
              </w:rPr>
            </w:pPr>
            <w:r>
              <w:rPr>
                <w:rFonts w:hint="eastAsia"/>
                <w:spacing w:val="0"/>
                <w:sz w:val="24"/>
                <w:szCs w:val="24"/>
                <w:highlight w:val="none"/>
              </w:rPr>
              <w:t>10000</w:t>
            </w:r>
          </w:p>
        </w:tc>
        <w:tc>
          <w:tcPr>
            <w:tcW w:w="1673" w:type="dxa"/>
            <w:gridSpan w:val="2"/>
            <w:noWrap w:val="0"/>
            <w:vAlign w:val="center"/>
          </w:tcPr>
          <w:p>
            <w:pPr>
              <w:pStyle w:val="46"/>
              <w:adjustRightInd w:val="0"/>
              <w:snapToGrid w:val="0"/>
              <w:spacing w:line="240" w:lineRule="atLeast"/>
              <w:jc w:val="center"/>
              <w:rPr>
                <w:b/>
                <w:spacing w:val="0"/>
                <w:sz w:val="24"/>
                <w:szCs w:val="24"/>
                <w:highlight w:val="none"/>
              </w:rPr>
            </w:pPr>
            <w:r>
              <w:rPr>
                <w:rFonts w:hint="eastAsia"/>
                <w:b/>
                <w:color w:val="000000"/>
                <w:sz w:val="24"/>
                <w:szCs w:val="24"/>
                <w:highlight w:val="none"/>
              </w:rPr>
              <w:t>其中：环保投资</w:t>
            </w:r>
            <w:r>
              <w:rPr>
                <w:b/>
                <w:color w:val="000000"/>
                <w:sz w:val="24"/>
                <w:szCs w:val="24"/>
                <w:highlight w:val="none"/>
              </w:rPr>
              <w:t>(</w:t>
            </w:r>
            <w:r>
              <w:rPr>
                <w:rFonts w:hint="eastAsia"/>
                <w:b/>
                <w:color w:val="000000"/>
                <w:sz w:val="24"/>
                <w:szCs w:val="24"/>
                <w:highlight w:val="none"/>
              </w:rPr>
              <w:t>万元</w:t>
            </w:r>
            <w:r>
              <w:rPr>
                <w:b/>
                <w:color w:val="000000"/>
                <w:sz w:val="24"/>
                <w:szCs w:val="24"/>
                <w:highlight w:val="none"/>
              </w:rPr>
              <w:t>)</w:t>
            </w:r>
          </w:p>
        </w:tc>
        <w:tc>
          <w:tcPr>
            <w:tcW w:w="1355" w:type="dxa"/>
            <w:noWrap w:val="0"/>
            <w:vAlign w:val="center"/>
          </w:tcPr>
          <w:p>
            <w:pPr>
              <w:pStyle w:val="46"/>
              <w:adjustRightInd w:val="0"/>
              <w:snapToGrid w:val="0"/>
              <w:spacing w:line="240" w:lineRule="atLeast"/>
              <w:jc w:val="center"/>
              <w:rPr>
                <w:spacing w:val="0"/>
                <w:sz w:val="24"/>
                <w:szCs w:val="24"/>
                <w:highlight w:val="none"/>
              </w:rPr>
            </w:pPr>
            <w:r>
              <w:rPr>
                <w:rFonts w:hint="eastAsia"/>
                <w:spacing w:val="0"/>
                <w:sz w:val="24"/>
                <w:szCs w:val="24"/>
                <w:highlight w:val="none"/>
              </w:rPr>
              <w:t>14</w:t>
            </w:r>
          </w:p>
        </w:tc>
        <w:tc>
          <w:tcPr>
            <w:tcW w:w="1216" w:type="dxa"/>
            <w:gridSpan w:val="2"/>
            <w:noWrap w:val="0"/>
            <w:vAlign w:val="center"/>
          </w:tcPr>
          <w:p>
            <w:pPr>
              <w:pStyle w:val="46"/>
              <w:snapToGrid w:val="0"/>
              <w:spacing w:line="240" w:lineRule="atLeast"/>
              <w:ind w:left="-57" w:right="-57"/>
              <w:jc w:val="center"/>
              <w:rPr>
                <w:b/>
                <w:spacing w:val="0"/>
                <w:sz w:val="24"/>
                <w:szCs w:val="24"/>
                <w:highlight w:val="none"/>
              </w:rPr>
            </w:pPr>
            <w:r>
              <w:rPr>
                <w:b/>
                <w:spacing w:val="0"/>
                <w:sz w:val="24"/>
                <w:szCs w:val="24"/>
                <w:highlight w:val="none"/>
              </w:rPr>
              <w:t>占总投资比例</w:t>
            </w:r>
          </w:p>
        </w:tc>
        <w:tc>
          <w:tcPr>
            <w:tcW w:w="1334" w:type="dxa"/>
            <w:noWrap w:val="0"/>
            <w:vAlign w:val="center"/>
          </w:tcPr>
          <w:p>
            <w:pPr>
              <w:pStyle w:val="46"/>
              <w:snapToGrid w:val="0"/>
              <w:spacing w:line="240" w:lineRule="atLeast"/>
              <w:jc w:val="center"/>
              <w:rPr>
                <w:spacing w:val="0"/>
                <w:sz w:val="24"/>
                <w:szCs w:val="24"/>
                <w:highlight w:val="none"/>
              </w:rPr>
            </w:pPr>
            <w:r>
              <w:rPr>
                <w:rFonts w:hint="eastAsia"/>
                <w:spacing w:val="0"/>
                <w:sz w:val="24"/>
                <w:szCs w:val="24"/>
                <w:highlight w:val="none"/>
              </w:rPr>
              <w:t>0.14%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04" w:hRule="atLeast"/>
          <w:jc w:val="center"/>
        </w:trPr>
        <w:tc>
          <w:tcPr>
            <w:tcW w:w="1636" w:type="dxa"/>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评价经费</w:t>
            </w:r>
          </w:p>
          <w:p>
            <w:pPr>
              <w:pStyle w:val="46"/>
              <w:adjustRightInd w:val="0"/>
              <w:snapToGrid w:val="0"/>
              <w:spacing w:line="240" w:lineRule="atLeast"/>
              <w:jc w:val="center"/>
              <w:rPr>
                <w:b/>
                <w:spacing w:val="0"/>
                <w:sz w:val="24"/>
                <w:szCs w:val="24"/>
                <w:highlight w:val="none"/>
              </w:rPr>
            </w:pPr>
            <w:r>
              <w:rPr>
                <w:b/>
                <w:spacing w:val="0"/>
                <w:sz w:val="24"/>
                <w:szCs w:val="24"/>
                <w:highlight w:val="none"/>
              </w:rPr>
              <w:t>(万元)</w:t>
            </w:r>
          </w:p>
        </w:tc>
        <w:tc>
          <w:tcPr>
            <w:tcW w:w="1831" w:type="dxa"/>
            <w:noWrap w:val="0"/>
            <w:vAlign w:val="center"/>
          </w:tcPr>
          <w:p>
            <w:pPr>
              <w:pStyle w:val="46"/>
              <w:adjustRightInd w:val="0"/>
              <w:snapToGrid w:val="0"/>
              <w:spacing w:line="240" w:lineRule="atLeast"/>
              <w:jc w:val="center"/>
              <w:rPr>
                <w:spacing w:val="0"/>
                <w:sz w:val="24"/>
                <w:szCs w:val="24"/>
                <w:highlight w:val="none"/>
              </w:rPr>
            </w:pPr>
          </w:p>
        </w:tc>
        <w:tc>
          <w:tcPr>
            <w:tcW w:w="1673" w:type="dxa"/>
            <w:gridSpan w:val="2"/>
            <w:noWrap w:val="0"/>
            <w:vAlign w:val="center"/>
          </w:tcPr>
          <w:p>
            <w:pPr>
              <w:pStyle w:val="46"/>
              <w:adjustRightInd w:val="0"/>
              <w:snapToGrid w:val="0"/>
              <w:spacing w:line="240" w:lineRule="atLeast"/>
              <w:jc w:val="center"/>
              <w:rPr>
                <w:b/>
                <w:spacing w:val="0"/>
                <w:sz w:val="24"/>
                <w:szCs w:val="24"/>
                <w:highlight w:val="none"/>
              </w:rPr>
            </w:pPr>
            <w:r>
              <w:rPr>
                <w:b/>
                <w:spacing w:val="0"/>
                <w:sz w:val="24"/>
                <w:szCs w:val="24"/>
                <w:highlight w:val="none"/>
              </w:rPr>
              <w:t>预期投产</w:t>
            </w:r>
          </w:p>
          <w:p>
            <w:pPr>
              <w:pStyle w:val="46"/>
              <w:adjustRightInd w:val="0"/>
              <w:snapToGrid w:val="0"/>
              <w:spacing w:line="240" w:lineRule="atLeast"/>
              <w:jc w:val="center"/>
              <w:rPr>
                <w:b/>
                <w:spacing w:val="0"/>
                <w:sz w:val="24"/>
                <w:szCs w:val="24"/>
                <w:highlight w:val="none"/>
              </w:rPr>
            </w:pPr>
            <w:r>
              <w:rPr>
                <w:b/>
                <w:spacing w:val="0"/>
                <w:sz w:val="24"/>
                <w:szCs w:val="24"/>
                <w:highlight w:val="none"/>
              </w:rPr>
              <w:t>日期</w:t>
            </w:r>
          </w:p>
        </w:tc>
        <w:tc>
          <w:tcPr>
            <w:tcW w:w="3905" w:type="dxa"/>
            <w:gridSpan w:val="4"/>
            <w:noWrap w:val="0"/>
            <w:vAlign w:val="center"/>
          </w:tcPr>
          <w:p>
            <w:pPr>
              <w:pStyle w:val="46"/>
              <w:snapToGrid w:val="0"/>
              <w:spacing w:line="240" w:lineRule="atLeast"/>
              <w:jc w:val="center"/>
              <w:rPr>
                <w:bCs/>
                <w:color w:val="000000"/>
                <w:spacing w:val="0"/>
                <w:sz w:val="24"/>
                <w:szCs w:val="24"/>
                <w:highlight w:val="none"/>
              </w:rPr>
            </w:pPr>
            <w:r>
              <w:rPr>
                <w:rFonts w:hint="eastAsia"/>
                <w:bCs/>
                <w:color w:val="000000"/>
                <w:spacing w:val="0"/>
                <w:sz w:val="24"/>
                <w:szCs w:val="24"/>
                <w:highlight w:val="none"/>
              </w:rPr>
              <w:t>2021年6月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045" w:type="dxa"/>
            <w:gridSpan w:val="8"/>
            <w:noWrap w:val="0"/>
            <w:vAlign w:val="top"/>
          </w:tcPr>
          <w:p>
            <w:pPr>
              <w:pStyle w:val="46"/>
              <w:adjustRightInd w:val="0"/>
              <w:snapToGrid w:val="0"/>
              <w:spacing w:line="500" w:lineRule="exact"/>
              <w:rPr>
                <w:b/>
                <w:spacing w:val="0"/>
                <w:kern w:val="2"/>
                <w:sz w:val="28"/>
                <w:szCs w:val="28"/>
                <w:highlight w:val="none"/>
              </w:rPr>
            </w:pPr>
            <w:r>
              <w:rPr>
                <w:b/>
                <w:spacing w:val="0"/>
                <w:kern w:val="2"/>
                <w:sz w:val="28"/>
                <w:szCs w:val="28"/>
                <w:highlight w:val="none"/>
              </w:rPr>
              <w:t>工程内容及规模：</w:t>
            </w:r>
          </w:p>
          <w:p>
            <w:pPr>
              <w:pStyle w:val="23"/>
              <w:tabs>
                <w:tab w:val="left" w:pos="4148"/>
              </w:tabs>
              <w:adjustRightInd w:val="0"/>
              <w:snapToGrid w:val="0"/>
              <w:spacing w:line="500" w:lineRule="exact"/>
              <w:ind w:firstLine="472" w:firstLineChars="196"/>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一</w:t>
            </w:r>
            <w:r>
              <w:rPr>
                <w:rFonts w:ascii="Times New Roman" w:hAnsi="Times New Roman" w:cs="Times New Roman"/>
                <w:b/>
                <w:sz w:val="24"/>
                <w:szCs w:val="24"/>
                <w:highlight w:val="none"/>
              </w:rPr>
              <w:t>、项目背景</w:t>
            </w:r>
          </w:p>
          <w:p>
            <w:pPr>
              <w:pStyle w:val="6"/>
              <w:spacing w:line="480" w:lineRule="exact"/>
              <w:ind w:firstLine="480" w:firstLineChars="200"/>
              <w:rPr>
                <w:rFonts w:hint="eastAsia" w:eastAsia="宋体"/>
                <w:sz w:val="24"/>
                <w:szCs w:val="24"/>
                <w:highlight w:val="none"/>
                <w:lang w:eastAsia="zh-CN"/>
              </w:rPr>
            </w:pPr>
            <w:r>
              <w:rPr>
                <w:rFonts w:hint="eastAsia"/>
                <w:sz w:val="24"/>
                <w:szCs w:val="24"/>
                <w:highlight w:val="none"/>
              </w:rPr>
              <w:t>2016年中共中央国务院发布了《“健康中国2030”规划纲要》，强调预防为主防患未然；坚持共建共享，全民参与；明确将“全民健康”作为“健康中国的根本目的”。2020年我市出台20项“为民实施工程”，其中第一项“全面健康服务工程”，明确建设市级健康体检管理中心，打造及健康体检、健康档案、健康指导、家庭医生等功能于一体的健康管理平台，为全市人民提供高质量健康服务。这一重大举措为我市健康服务也的发展指明了方向，当前，我市正以保障和促进人的健康为宗旨，加快打造国家健康城市。但与建设健康城市要求和群众对健康生活的需求比，我市的体检设施功能还存在较大差距。因此，迁安市卫生健康局拟在</w:t>
            </w:r>
            <w:r>
              <w:rPr>
                <w:rFonts w:hint="eastAsia" w:ascii="宋体" w:hAnsi="宋体"/>
                <w:sz w:val="24"/>
                <w:szCs w:val="24"/>
                <w:highlight w:val="none"/>
              </w:rPr>
              <w:t>迁安市惠安大街北侧</w:t>
            </w:r>
            <w:r>
              <w:rPr>
                <w:rFonts w:hint="eastAsia" w:ascii="宋体" w:hAnsi="宋体"/>
                <w:sz w:val="24"/>
                <w:szCs w:val="24"/>
                <w:highlight w:val="none"/>
                <w:lang w:val="en-US" w:eastAsia="zh-CN"/>
              </w:rPr>
              <w:t>,人民医院院内</w:t>
            </w:r>
            <w:r>
              <w:rPr>
                <w:rFonts w:hint="eastAsia" w:ascii="宋体" w:hAnsi="宋体"/>
                <w:sz w:val="24"/>
                <w:szCs w:val="24"/>
                <w:highlight w:val="none"/>
              </w:rPr>
              <w:t>建设</w:t>
            </w:r>
            <w:r>
              <w:rPr>
                <w:rFonts w:hint="eastAsia"/>
                <w:sz w:val="24"/>
                <w:szCs w:val="24"/>
                <w:highlight w:val="none"/>
              </w:rPr>
              <w:t>迁安市健康体检管理中心新建项目</w:t>
            </w:r>
            <w:r>
              <w:rPr>
                <w:rFonts w:hint="eastAsia"/>
                <w:sz w:val="24"/>
                <w:szCs w:val="24"/>
                <w:highlight w:val="none"/>
                <w:lang w:eastAsia="zh-CN"/>
              </w:rPr>
              <w:t>。</w:t>
            </w:r>
          </w:p>
          <w:p>
            <w:pPr>
              <w:pStyle w:val="6"/>
              <w:spacing w:line="480" w:lineRule="exact"/>
              <w:ind w:firstLine="480" w:firstLineChars="200"/>
              <w:rPr>
                <w:sz w:val="24"/>
                <w:szCs w:val="24"/>
                <w:highlight w:val="none"/>
              </w:rPr>
            </w:pPr>
            <w:r>
              <w:rPr>
                <w:sz w:val="24"/>
                <w:szCs w:val="24"/>
                <w:highlight w:val="none"/>
              </w:rPr>
              <w:t>根据《中华人民共和国环境保护法》、《建设项目环境保护管理条例》和《中华人民共和国环境影响评价法》的规定，项目应开展环境影响评价工作。</w:t>
            </w:r>
            <w:r>
              <w:rPr>
                <w:rFonts w:hint="eastAsia"/>
                <w:sz w:val="24"/>
                <w:szCs w:val="24"/>
                <w:highlight w:val="none"/>
              </w:rPr>
              <w:t>依据</w:t>
            </w:r>
            <w:r>
              <w:rPr>
                <w:sz w:val="24"/>
                <w:szCs w:val="24"/>
                <w:highlight w:val="none"/>
              </w:rPr>
              <w:t>《</w:t>
            </w:r>
            <w:r>
              <w:rPr>
                <w:rFonts w:hint="eastAsia"/>
                <w:sz w:val="24"/>
                <w:szCs w:val="24"/>
                <w:highlight w:val="none"/>
              </w:rPr>
              <w:t>建设项目环境影响评价分类管理名录</w:t>
            </w:r>
            <w:r>
              <w:rPr>
                <w:sz w:val="24"/>
                <w:szCs w:val="24"/>
                <w:highlight w:val="none"/>
              </w:rPr>
              <w:t>》</w:t>
            </w:r>
            <w:r>
              <w:rPr>
                <w:rFonts w:hint="eastAsia"/>
                <w:sz w:val="24"/>
                <w:szCs w:val="24"/>
                <w:highlight w:val="none"/>
              </w:rPr>
              <w:t>，本项目属“</w:t>
            </w:r>
            <w:r>
              <w:rPr>
                <w:rFonts w:hint="eastAsia"/>
                <w:sz w:val="24"/>
                <w:szCs w:val="24"/>
                <w:highlight w:val="none"/>
                <w:lang w:eastAsia="zh-CN"/>
              </w:rPr>
              <w:t>四</w:t>
            </w:r>
            <w:r>
              <w:rPr>
                <w:rFonts w:hint="eastAsia"/>
                <w:sz w:val="24"/>
                <w:szCs w:val="24"/>
                <w:highlight w:val="none"/>
              </w:rPr>
              <w:t>十九、卫生——1</w:t>
            </w:r>
            <w:r>
              <w:rPr>
                <w:rFonts w:hint="eastAsia"/>
                <w:sz w:val="24"/>
                <w:szCs w:val="24"/>
                <w:highlight w:val="none"/>
                <w:lang w:val="en-US" w:eastAsia="zh-CN"/>
              </w:rPr>
              <w:t>08</w:t>
            </w:r>
            <w:r>
              <w:rPr>
                <w:rFonts w:hint="eastAsia"/>
                <w:sz w:val="24"/>
                <w:szCs w:val="24"/>
                <w:highlight w:val="none"/>
              </w:rPr>
              <w:t>、医院</w:t>
            </w:r>
            <w:r>
              <w:rPr>
                <w:rFonts w:hint="eastAsia"/>
                <w:sz w:val="24"/>
                <w:szCs w:val="24"/>
                <w:highlight w:val="none"/>
                <w:lang w:val="en-US" w:eastAsia="zh-CN"/>
              </w:rPr>
              <w:t>841</w:t>
            </w:r>
            <w:r>
              <w:rPr>
                <w:rFonts w:hint="eastAsia"/>
                <w:sz w:val="24"/>
                <w:szCs w:val="24"/>
                <w:highlight w:val="none"/>
              </w:rPr>
              <w:t>”，需编制建设项目环境影响报告表。</w:t>
            </w:r>
            <w:r>
              <w:rPr>
                <w:sz w:val="24"/>
                <w:szCs w:val="24"/>
                <w:highlight w:val="none"/>
              </w:rPr>
              <w:t>受</w:t>
            </w:r>
            <w:r>
              <w:rPr>
                <w:rFonts w:hint="eastAsia" w:ascii="宋体" w:hAnsi="宋体"/>
                <w:sz w:val="24"/>
                <w:szCs w:val="24"/>
                <w:highlight w:val="none"/>
              </w:rPr>
              <w:t>迁安市卫生健康局</w:t>
            </w:r>
            <w:r>
              <w:rPr>
                <w:sz w:val="24"/>
                <w:szCs w:val="24"/>
                <w:highlight w:val="none"/>
              </w:rPr>
              <w:t>委托，唐山立业工程技术咨询有限公司承担该项目的环境影响评价工作，接受委托后，在现场踏勘、资料收集和初步调查研究的基础上编写了本环境影响报告表。</w:t>
            </w:r>
          </w:p>
          <w:p>
            <w:pPr>
              <w:pStyle w:val="23"/>
              <w:tabs>
                <w:tab w:val="left" w:pos="4148"/>
              </w:tabs>
              <w:adjustRightInd w:val="0"/>
              <w:snapToGrid w:val="0"/>
              <w:spacing w:line="500" w:lineRule="exact"/>
              <w:ind w:firstLine="472" w:firstLineChars="196"/>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二</w:t>
            </w:r>
            <w:r>
              <w:rPr>
                <w:rFonts w:ascii="Times New Roman" w:hAnsi="Times New Roman" w:cs="Times New Roman"/>
                <w:b/>
                <w:sz w:val="24"/>
                <w:szCs w:val="24"/>
                <w:highlight w:val="none"/>
              </w:rPr>
              <w:t>、工程概况</w:t>
            </w:r>
          </w:p>
          <w:p>
            <w:pPr>
              <w:pStyle w:val="6"/>
              <w:spacing w:line="500" w:lineRule="exact"/>
              <w:ind w:firstLine="482" w:firstLineChars="200"/>
              <w:rPr>
                <w:rFonts w:hint="eastAsia"/>
                <w:b/>
                <w:sz w:val="24"/>
                <w:szCs w:val="24"/>
                <w:highlight w:val="none"/>
              </w:rPr>
            </w:pPr>
            <w:r>
              <w:rPr>
                <w:rFonts w:hint="eastAsia"/>
                <w:b/>
                <w:sz w:val="24"/>
                <w:szCs w:val="24"/>
                <w:highlight w:val="none"/>
              </w:rPr>
              <w:t>1、项目名称</w:t>
            </w:r>
          </w:p>
          <w:p>
            <w:pPr>
              <w:pStyle w:val="6"/>
              <w:spacing w:line="480" w:lineRule="exact"/>
              <w:ind w:firstLine="480" w:firstLineChars="200"/>
              <w:rPr>
                <w:rFonts w:hint="eastAsia"/>
                <w:sz w:val="24"/>
                <w:szCs w:val="24"/>
                <w:highlight w:val="none"/>
              </w:rPr>
            </w:pPr>
            <w:r>
              <w:rPr>
                <w:rFonts w:hint="eastAsia" w:ascii="宋体" w:hAnsi="宋体" w:cs="宋体"/>
                <w:sz w:val="24"/>
                <w:highlight w:val="none"/>
              </w:rPr>
              <w:t>迁安市健康体检管理中心新建项目</w:t>
            </w:r>
            <w:r>
              <w:rPr>
                <w:rFonts w:hint="eastAsia"/>
                <w:sz w:val="24"/>
                <w:szCs w:val="24"/>
                <w:highlight w:val="none"/>
              </w:rPr>
              <w:t>。</w:t>
            </w:r>
          </w:p>
          <w:p>
            <w:pPr>
              <w:pStyle w:val="6"/>
              <w:spacing w:line="500" w:lineRule="exact"/>
              <w:ind w:firstLine="482" w:firstLineChars="200"/>
              <w:rPr>
                <w:rFonts w:hint="eastAsia"/>
                <w:b/>
                <w:sz w:val="24"/>
                <w:szCs w:val="24"/>
                <w:highlight w:val="none"/>
              </w:rPr>
            </w:pPr>
            <w:r>
              <w:rPr>
                <w:rFonts w:hint="eastAsia"/>
                <w:b/>
                <w:sz w:val="24"/>
                <w:szCs w:val="24"/>
                <w:highlight w:val="none"/>
              </w:rPr>
              <w:t>2、建设单位</w:t>
            </w:r>
          </w:p>
          <w:p>
            <w:pPr>
              <w:pStyle w:val="6"/>
              <w:spacing w:line="480" w:lineRule="exact"/>
              <w:ind w:firstLine="480" w:firstLineChars="200"/>
              <w:rPr>
                <w:rFonts w:hint="eastAsia"/>
                <w:sz w:val="24"/>
                <w:szCs w:val="24"/>
                <w:highlight w:val="none"/>
              </w:rPr>
            </w:pPr>
            <w:r>
              <w:rPr>
                <w:rFonts w:hint="eastAsia"/>
                <w:sz w:val="24"/>
                <w:szCs w:val="24"/>
                <w:highlight w:val="none"/>
              </w:rPr>
              <w:t>迁安市卫生健康局。</w:t>
            </w:r>
          </w:p>
          <w:p>
            <w:pPr>
              <w:pStyle w:val="6"/>
              <w:spacing w:line="500" w:lineRule="exact"/>
              <w:ind w:firstLine="482" w:firstLineChars="200"/>
              <w:rPr>
                <w:rFonts w:hint="eastAsia"/>
                <w:b/>
                <w:sz w:val="24"/>
                <w:szCs w:val="24"/>
                <w:highlight w:val="none"/>
              </w:rPr>
            </w:pPr>
            <w:r>
              <w:rPr>
                <w:rFonts w:hint="eastAsia"/>
                <w:b/>
                <w:sz w:val="24"/>
                <w:szCs w:val="24"/>
                <w:highlight w:val="none"/>
              </w:rPr>
              <w:t>3、建设性质</w:t>
            </w:r>
          </w:p>
          <w:p>
            <w:pPr>
              <w:pStyle w:val="6"/>
              <w:spacing w:line="480" w:lineRule="exact"/>
              <w:ind w:firstLine="480" w:firstLineChars="200"/>
              <w:rPr>
                <w:rFonts w:hint="eastAsia"/>
                <w:color w:val="auto"/>
                <w:sz w:val="24"/>
                <w:szCs w:val="24"/>
                <w:highlight w:val="none"/>
              </w:rPr>
            </w:pPr>
            <w:r>
              <w:rPr>
                <w:rFonts w:hint="eastAsia"/>
                <w:color w:val="auto"/>
                <w:sz w:val="24"/>
                <w:szCs w:val="24"/>
                <w:highlight w:val="none"/>
              </w:rPr>
              <w:t>新建项目。</w:t>
            </w:r>
          </w:p>
          <w:p>
            <w:pPr>
              <w:pStyle w:val="6"/>
              <w:spacing w:line="500" w:lineRule="exact"/>
              <w:ind w:firstLine="482" w:firstLineChars="200"/>
              <w:rPr>
                <w:rFonts w:hint="eastAsia"/>
                <w:b/>
                <w:sz w:val="24"/>
                <w:szCs w:val="24"/>
                <w:highlight w:val="none"/>
              </w:rPr>
            </w:pPr>
            <w:r>
              <w:rPr>
                <w:rFonts w:hint="eastAsia"/>
                <w:b/>
                <w:sz w:val="24"/>
                <w:szCs w:val="24"/>
                <w:highlight w:val="none"/>
              </w:rPr>
              <w:t>4、项目投资</w:t>
            </w:r>
          </w:p>
          <w:p>
            <w:pPr>
              <w:pStyle w:val="6"/>
              <w:spacing w:line="480" w:lineRule="exact"/>
              <w:ind w:firstLine="480" w:firstLineChars="200"/>
              <w:rPr>
                <w:rFonts w:hint="eastAsia"/>
                <w:sz w:val="24"/>
                <w:szCs w:val="24"/>
                <w:highlight w:val="none"/>
              </w:rPr>
            </w:pPr>
            <w:r>
              <w:rPr>
                <w:rFonts w:hint="eastAsia"/>
                <w:sz w:val="24"/>
                <w:szCs w:val="24"/>
                <w:highlight w:val="none"/>
              </w:rPr>
              <w:t>项目总投资10000万元，其中</w:t>
            </w:r>
            <w:r>
              <w:rPr>
                <w:rFonts w:hint="eastAsia"/>
                <w:color w:val="000000"/>
                <w:sz w:val="24"/>
                <w:szCs w:val="24"/>
                <w:highlight w:val="none"/>
              </w:rPr>
              <w:t>环保投资14</w:t>
            </w:r>
            <w:r>
              <w:rPr>
                <w:rFonts w:hint="eastAsia"/>
                <w:sz w:val="24"/>
                <w:szCs w:val="24"/>
                <w:highlight w:val="none"/>
              </w:rPr>
              <w:t>万元，占总投资的比例为0.14 %。</w:t>
            </w:r>
          </w:p>
          <w:p>
            <w:pPr>
              <w:pStyle w:val="6"/>
              <w:spacing w:line="500" w:lineRule="exact"/>
              <w:ind w:firstLine="482" w:firstLineChars="200"/>
              <w:rPr>
                <w:rFonts w:hint="eastAsia"/>
                <w:b/>
                <w:sz w:val="24"/>
                <w:szCs w:val="24"/>
                <w:highlight w:val="none"/>
              </w:rPr>
            </w:pPr>
            <w:r>
              <w:rPr>
                <w:rFonts w:hint="eastAsia"/>
                <w:b/>
                <w:sz w:val="24"/>
                <w:szCs w:val="24"/>
                <w:highlight w:val="none"/>
              </w:rPr>
              <w:t>5、建设地点</w:t>
            </w:r>
          </w:p>
          <w:p>
            <w:pPr>
              <w:pStyle w:val="6"/>
              <w:spacing w:line="480" w:lineRule="exact"/>
              <w:ind w:firstLine="480" w:firstLineChars="200"/>
              <w:rPr>
                <w:sz w:val="24"/>
                <w:szCs w:val="24"/>
                <w:highlight w:val="none"/>
              </w:rPr>
            </w:pPr>
            <w:r>
              <w:rPr>
                <w:rFonts w:hint="eastAsia" w:ascii="宋体" w:hAnsi="宋体" w:cs="宋体"/>
                <w:sz w:val="24"/>
                <w:highlight w:val="none"/>
              </w:rPr>
              <w:t>迁安市健康体检管理中心新建项目</w:t>
            </w:r>
            <w:r>
              <w:rPr>
                <w:rFonts w:hint="eastAsia"/>
                <w:sz w:val="24"/>
                <w:szCs w:val="24"/>
                <w:highlight w:val="none"/>
              </w:rPr>
              <w:t>位于</w:t>
            </w:r>
            <w:r>
              <w:rPr>
                <w:rFonts w:hint="eastAsia" w:ascii="宋体" w:hAnsi="宋体"/>
                <w:sz w:val="24"/>
                <w:szCs w:val="24"/>
                <w:highlight w:val="none"/>
              </w:rPr>
              <w:t>迁安市惠安大街北侧</w:t>
            </w:r>
            <w:r>
              <w:rPr>
                <w:sz w:val="24"/>
                <w:szCs w:val="24"/>
                <w:highlight w:val="none"/>
              </w:rPr>
              <w:t>，</w:t>
            </w:r>
            <w:r>
              <w:rPr>
                <w:rFonts w:hint="eastAsia"/>
                <w:sz w:val="24"/>
                <w:szCs w:val="24"/>
                <w:highlight w:val="none"/>
              </w:rPr>
              <w:t>中心地理坐标为</w:t>
            </w:r>
            <w:r>
              <w:rPr>
                <w:sz w:val="24"/>
                <w:szCs w:val="24"/>
                <w:highlight w:val="none"/>
              </w:rPr>
              <w:t>北纬</w:t>
            </w:r>
            <w:r>
              <w:rPr>
                <w:rFonts w:hint="eastAsia"/>
                <w:sz w:val="24"/>
                <w:szCs w:val="24"/>
                <w:highlight w:val="none"/>
              </w:rPr>
              <w:t>39</w:t>
            </w:r>
            <w:r>
              <w:rPr>
                <w:sz w:val="24"/>
                <w:szCs w:val="24"/>
                <w:highlight w:val="none"/>
              </w:rPr>
              <w:t>°</w:t>
            </w:r>
            <w:r>
              <w:rPr>
                <w:rFonts w:hint="eastAsia"/>
                <w:sz w:val="24"/>
                <w:szCs w:val="24"/>
                <w:highlight w:val="none"/>
              </w:rPr>
              <w:t>59</w:t>
            </w:r>
            <w:r>
              <w:rPr>
                <w:sz w:val="24"/>
                <w:szCs w:val="24"/>
                <w:highlight w:val="none"/>
              </w:rPr>
              <w:t>′</w:t>
            </w:r>
            <w:r>
              <w:rPr>
                <w:rFonts w:hint="eastAsia"/>
                <w:sz w:val="24"/>
                <w:szCs w:val="24"/>
                <w:highlight w:val="none"/>
              </w:rPr>
              <w:t>13.91</w:t>
            </w:r>
            <w:r>
              <w:rPr>
                <w:sz w:val="24"/>
                <w:szCs w:val="24"/>
                <w:highlight w:val="none"/>
              </w:rPr>
              <w:t>″、东经118°</w:t>
            </w:r>
            <w:r>
              <w:rPr>
                <w:rFonts w:hint="eastAsia"/>
                <w:sz w:val="24"/>
                <w:szCs w:val="24"/>
                <w:highlight w:val="none"/>
              </w:rPr>
              <w:t>43</w:t>
            </w:r>
            <w:r>
              <w:rPr>
                <w:sz w:val="24"/>
                <w:szCs w:val="24"/>
                <w:highlight w:val="none"/>
              </w:rPr>
              <w:t>′</w:t>
            </w:r>
            <w:r>
              <w:rPr>
                <w:rFonts w:hint="eastAsia"/>
                <w:sz w:val="24"/>
                <w:szCs w:val="24"/>
                <w:highlight w:val="none"/>
              </w:rPr>
              <w:t>29.96</w:t>
            </w:r>
            <w:r>
              <w:rPr>
                <w:sz w:val="24"/>
                <w:szCs w:val="24"/>
                <w:highlight w:val="none"/>
              </w:rPr>
              <w:t>″</w:t>
            </w:r>
            <w:r>
              <w:rPr>
                <w:rFonts w:hint="eastAsia"/>
                <w:sz w:val="24"/>
                <w:szCs w:val="24"/>
                <w:highlight w:val="none"/>
                <w:lang w:eastAsia="zh-CN"/>
              </w:rPr>
              <w:t>。</w:t>
            </w:r>
            <w:r>
              <w:rPr>
                <w:rFonts w:hAnsi="宋体"/>
                <w:sz w:val="24"/>
                <w:szCs w:val="24"/>
                <w:highlight w:val="none"/>
              </w:rPr>
              <w:t>项目</w:t>
            </w:r>
            <w:r>
              <w:rPr>
                <w:rFonts w:hint="eastAsia" w:hAnsi="宋体"/>
                <w:sz w:val="24"/>
                <w:szCs w:val="24"/>
                <w:highlight w:val="none"/>
              </w:rPr>
              <w:t>位于迁安市人民医院院内</w:t>
            </w:r>
            <w:r>
              <w:rPr>
                <w:rFonts w:hAnsi="宋体"/>
                <w:sz w:val="24"/>
                <w:szCs w:val="24"/>
                <w:highlight w:val="none"/>
              </w:rPr>
              <w:t>，</w:t>
            </w:r>
            <w:r>
              <w:rPr>
                <w:rFonts w:hint="eastAsia" w:hAnsi="宋体"/>
                <w:sz w:val="24"/>
                <w:szCs w:val="24"/>
                <w:highlight w:val="none"/>
              </w:rPr>
              <w:t>北侧为燕鑫公益园</w:t>
            </w:r>
            <w:r>
              <w:rPr>
                <w:rFonts w:hAnsi="宋体"/>
                <w:sz w:val="24"/>
                <w:szCs w:val="24"/>
                <w:highlight w:val="none"/>
              </w:rPr>
              <w:t>，南侧</w:t>
            </w:r>
            <w:r>
              <w:rPr>
                <w:rFonts w:hint="eastAsia" w:hAnsi="宋体"/>
                <w:sz w:val="24"/>
                <w:szCs w:val="24"/>
                <w:highlight w:val="none"/>
                <w:lang w:val="en-US" w:eastAsia="zh-CN"/>
              </w:rPr>
              <w:t>60m</w:t>
            </w:r>
            <w:r>
              <w:rPr>
                <w:rFonts w:hint="eastAsia" w:hAnsi="宋体"/>
                <w:sz w:val="24"/>
                <w:szCs w:val="24"/>
                <w:highlight w:val="none"/>
              </w:rPr>
              <w:t>为</w:t>
            </w:r>
            <w:r>
              <w:rPr>
                <w:rFonts w:hint="eastAsia" w:hAnsi="宋体"/>
                <w:sz w:val="24"/>
                <w:szCs w:val="24"/>
                <w:highlight w:val="none"/>
                <w:lang w:eastAsia="zh-CN"/>
              </w:rPr>
              <w:t>惠安大街</w:t>
            </w:r>
            <w:r>
              <w:rPr>
                <w:rFonts w:hint="eastAsia" w:hAnsi="宋体"/>
                <w:sz w:val="24"/>
                <w:szCs w:val="24"/>
                <w:highlight w:val="none"/>
              </w:rPr>
              <w:t>、西侧</w:t>
            </w:r>
            <w:r>
              <w:rPr>
                <w:rFonts w:hint="eastAsia" w:hAnsi="宋体"/>
                <w:sz w:val="24"/>
                <w:szCs w:val="24"/>
                <w:highlight w:val="none"/>
                <w:lang w:val="en-US" w:eastAsia="zh-CN"/>
              </w:rPr>
              <w:t>35m</w:t>
            </w:r>
            <w:r>
              <w:rPr>
                <w:rFonts w:hint="eastAsia" w:hAnsi="宋体"/>
                <w:sz w:val="24"/>
                <w:szCs w:val="24"/>
                <w:highlight w:val="none"/>
              </w:rPr>
              <w:t>为</w:t>
            </w:r>
            <w:r>
              <w:rPr>
                <w:rFonts w:hint="eastAsia" w:hAnsi="宋体"/>
                <w:sz w:val="24"/>
                <w:szCs w:val="24"/>
                <w:highlight w:val="none"/>
                <w:lang w:eastAsia="zh-CN"/>
              </w:rPr>
              <w:t>丰吉路</w:t>
            </w:r>
            <w:r>
              <w:rPr>
                <w:rFonts w:hAnsi="宋体"/>
                <w:sz w:val="24"/>
                <w:szCs w:val="24"/>
                <w:highlight w:val="none"/>
              </w:rPr>
              <w:t>。距离项目最近的环境敏感目标为</w:t>
            </w:r>
            <w:r>
              <w:rPr>
                <w:rFonts w:hint="eastAsia" w:hAnsi="宋体"/>
                <w:sz w:val="24"/>
                <w:szCs w:val="24"/>
                <w:highlight w:val="none"/>
              </w:rPr>
              <w:t>项目东侧的迁安市人民医院</w:t>
            </w:r>
            <w:r>
              <w:rPr>
                <w:rFonts w:hint="eastAsia" w:hAnsi="宋体"/>
                <w:sz w:val="24"/>
                <w:szCs w:val="24"/>
                <w:highlight w:val="none"/>
                <w:lang w:eastAsia="zh-CN"/>
              </w:rPr>
              <w:t>主楼</w:t>
            </w:r>
            <w:r>
              <w:rPr>
                <w:rFonts w:hAnsi="宋体"/>
                <w:sz w:val="24"/>
                <w:szCs w:val="24"/>
                <w:highlight w:val="none"/>
              </w:rPr>
              <w:t>。项目地理位置见附图</w:t>
            </w:r>
            <w:r>
              <w:rPr>
                <w:sz w:val="24"/>
                <w:szCs w:val="24"/>
                <w:highlight w:val="none"/>
              </w:rPr>
              <w:t>1</w:t>
            </w:r>
            <w:r>
              <w:rPr>
                <w:rFonts w:hAnsi="宋体"/>
                <w:sz w:val="24"/>
                <w:szCs w:val="24"/>
                <w:highlight w:val="none"/>
              </w:rPr>
              <w:t>，</w:t>
            </w:r>
            <w:r>
              <w:rPr>
                <w:rFonts w:hint="eastAsia" w:hAnsi="宋体"/>
                <w:sz w:val="24"/>
                <w:szCs w:val="24"/>
                <w:highlight w:val="none"/>
              </w:rPr>
              <w:t>项目</w:t>
            </w:r>
            <w:r>
              <w:rPr>
                <w:rFonts w:hAnsi="宋体"/>
                <w:sz w:val="24"/>
                <w:szCs w:val="24"/>
                <w:highlight w:val="none"/>
              </w:rPr>
              <w:t>周边关系见附图</w:t>
            </w:r>
            <w:r>
              <w:rPr>
                <w:sz w:val="24"/>
                <w:szCs w:val="24"/>
                <w:highlight w:val="none"/>
              </w:rPr>
              <w:t>2</w:t>
            </w:r>
            <w:r>
              <w:rPr>
                <w:rFonts w:hAnsi="宋体"/>
                <w:sz w:val="24"/>
                <w:szCs w:val="24"/>
                <w:highlight w:val="none"/>
              </w:rPr>
              <w:t>。</w:t>
            </w:r>
          </w:p>
          <w:p>
            <w:pPr>
              <w:spacing w:line="480" w:lineRule="exact"/>
              <w:ind w:firstLine="482" w:firstLineChars="200"/>
              <w:rPr>
                <w:b/>
                <w:sz w:val="24"/>
                <w:highlight w:val="none"/>
              </w:rPr>
            </w:pPr>
            <w:r>
              <w:rPr>
                <w:rFonts w:hint="eastAsia"/>
                <w:b/>
                <w:sz w:val="24"/>
                <w:szCs w:val="24"/>
                <w:highlight w:val="none"/>
              </w:rPr>
              <w:t>6、</w:t>
            </w:r>
            <w:r>
              <w:rPr>
                <w:rFonts w:hAnsi="宋体"/>
                <w:b/>
                <w:sz w:val="24"/>
                <w:highlight w:val="none"/>
              </w:rPr>
              <w:t>项目产业政策及规划符合性</w:t>
            </w:r>
          </w:p>
          <w:p>
            <w:pPr>
              <w:spacing w:line="480" w:lineRule="exact"/>
              <w:ind w:firstLine="480" w:firstLineChars="200"/>
              <w:rPr>
                <w:rFonts w:hint="eastAsia"/>
                <w:sz w:val="24"/>
                <w:szCs w:val="24"/>
                <w:highlight w:val="none"/>
              </w:rPr>
            </w:pPr>
            <w:r>
              <w:rPr>
                <w:rFonts w:hint="eastAsia"/>
                <w:sz w:val="24"/>
                <w:szCs w:val="24"/>
                <w:highlight w:val="none"/>
              </w:rPr>
              <w:t>根据《产业结构调整指导目录》(2019年修本)，项目属于第三十七条“卫生健康”中第5条“医疗卫生服务设施建设”，为鼓励类项目，符合国家产业政策。已取得《关于迁安市卫生健康局</w:t>
            </w:r>
            <w:r>
              <w:rPr>
                <w:rFonts w:hint="eastAsia" w:ascii="宋体" w:hAnsi="宋体" w:cs="宋体"/>
                <w:sz w:val="24"/>
                <w:highlight w:val="none"/>
              </w:rPr>
              <w:t>迁安市健康体检管理中心新建项目可行性研究报告的批复</w:t>
            </w:r>
            <w:r>
              <w:rPr>
                <w:rFonts w:hint="eastAsia"/>
                <w:sz w:val="24"/>
                <w:szCs w:val="24"/>
                <w:highlight w:val="none"/>
              </w:rPr>
              <w:t>》（迁行审投资审字[2020]58号）。项目位于迁安市人民医院院内，迁安市城乡规划局颁发了建设工程规划许可证，符合城乡规划要求。</w:t>
            </w:r>
          </w:p>
          <w:p>
            <w:pPr>
              <w:spacing w:line="480" w:lineRule="exact"/>
              <w:ind w:firstLine="482" w:firstLineChars="200"/>
              <w:rPr>
                <w:rFonts w:hint="eastAsia"/>
                <w:sz w:val="24"/>
                <w:szCs w:val="24"/>
                <w:highlight w:val="none"/>
              </w:rPr>
            </w:pPr>
            <w:r>
              <w:rPr>
                <w:rFonts w:hint="eastAsia" w:hAnsi="宋体"/>
                <w:b/>
                <w:sz w:val="24"/>
                <w:highlight w:val="none"/>
              </w:rPr>
              <w:t>7、选址合理性分析</w:t>
            </w:r>
          </w:p>
          <w:p>
            <w:pPr>
              <w:spacing w:line="480" w:lineRule="exact"/>
              <w:ind w:firstLine="480" w:firstLineChars="200"/>
              <w:rPr>
                <w:rFonts w:hint="eastAsia"/>
                <w:sz w:val="24"/>
                <w:szCs w:val="24"/>
                <w:highlight w:val="none"/>
              </w:rPr>
            </w:pPr>
            <w:r>
              <w:rPr>
                <w:rFonts w:hint="eastAsia"/>
                <w:sz w:val="24"/>
                <w:szCs w:val="24"/>
                <w:highlight w:val="none"/>
              </w:rPr>
              <w:t>项目位于</w:t>
            </w:r>
            <w:r>
              <w:rPr>
                <w:rFonts w:hint="eastAsia" w:ascii="宋体" w:hAnsi="宋体"/>
                <w:sz w:val="24"/>
                <w:szCs w:val="24"/>
                <w:highlight w:val="none"/>
              </w:rPr>
              <w:t>迁安市惠安大街北侧，</w:t>
            </w:r>
            <w:r>
              <w:rPr>
                <w:rFonts w:hint="eastAsia"/>
                <w:sz w:val="24"/>
                <w:szCs w:val="24"/>
                <w:highlight w:val="none"/>
              </w:rPr>
              <w:t>迁安市人民医院院内，人</w:t>
            </w:r>
            <w:r>
              <w:rPr>
                <w:rFonts w:hint="eastAsia"/>
                <w:sz w:val="24"/>
                <w:szCs w:val="24"/>
                <w:highlight w:val="none"/>
                <w:lang w:eastAsia="zh-CN"/>
              </w:rPr>
              <w:t>民医院取得了迁安市人民政府发放的土地证，建设单位与迁安市人民医院签订了无偿使用情况说明</w:t>
            </w:r>
            <w:r>
              <w:rPr>
                <w:rFonts w:hint="eastAsia"/>
                <w:sz w:val="24"/>
                <w:szCs w:val="24"/>
                <w:highlight w:val="none"/>
              </w:rPr>
              <w:t>，符合当地土地利用总体规划；迁安市城乡规划局颁发了建设工程规划许可证，项目选址符合规划。</w:t>
            </w:r>
            <w:r>
              <w:rPr>
                <w:rFonts w:hint="eastAsia"/>
                <w:color w:val="000000"/>
                <w:sz w:val="24"/>
                <w:highlight w:val="none"/>
              </w:rPr>
              <w:t>根据《迁安市土地利用总体规划（2010-2020年）》，该地块规划用途为允许建设区。</w:t>
            </w:r>
          </w:p>
          <w:p>
            <w:pPr>
              <w:pStyle w:val="6"/>
              <w:spacing w:line="500" w:lineRule="exact"/>
              <w:ind w:firstLine="482" w:firstLineChars="200"/>
              <w:rPr>
                <w:rFonts w:hint="eastAsia"/>
                <w:b/>
                <w:sz w:val="24"/>
                <w:szCs w:val="24"/>
                <w:highlight w:val="none"/>
              </w:rPr>
            </w:pPr>
            <w:r>
              <w:rPr>
                <w:rFonts w:hint="eastAsia"/>
                <w:b/>
                <w:sz w:val="24"/>
                <w:szCs w:val="24"/>
                <w:highlight w:val="none"/>
              </w:rPr>
              <w:t>8、建设内容和规模</w:t>
            </w:r>
          </w:p>
          <w:p>
            <w:pPr>
              <w:spacing w:line="360" w:lineRule="auto"/>
              <w:ind w:firstLine="480" w:firstLineChars="200"/>
              <w:rPr>
                <w:rFonts w:hint="eastAsia" w:ascii="宋体" w:hAnsi="宋体" w:eastAsia="宋体"/>
                <w:color w:val="000000"/>
                <w:sz w:val="24"/>
                <w:szCs w:val="24"/>
                <w:highlight w:val="none"/>
                <w:lang w:eastAsia="zh-CN"/>
              </w:rPr>
            </w:pPr>
            <w:r>
              <w:rPr>
                <w:rFonts w:hint="eastAsia" w:ascii="宋体" w:hAnsi="宋体"/>
                <w:color w:val="000000"/>
                <w:sz w:val="24"/>
                <w:szCs w:val="24"/>
                <w:highlight w:val="none"/>
              </w:rPr>
              <w:t>项目对现有</w:t>
            </w:r>
            <w:r>
              <w:rPr>
                <w:color w:val="000000"/>
                <w:sz w:val="24"/>
                <w:szCs w:val="24"/>
                <w:highlight w:val="none"/>
              </w:rPr>
              <w:t>的5层建筑物进行装修改造为健康体检管理中心，总建筑面积为8080平方米，对室内重新进行平面布</w:t>
            </w:r>
            <w:r>
              <w:rPr>
                <w:rFonts w:hint="eastAsia" w:ascii="宋体" w:hAnsi="宋体"/>
                <w:color w:val="000000"/>
                <w:sz w:val="24"/>
                <w:szCs w:val="24"/>
                <w:highlight w:val="none"/>
              </w:rPr>
              <w:t>置分隔，购置医疗设备、办公设备等相关附属设施。根据医疗设备进行全面改造装修，满足体检要求，首层及二层为体检项目，三层中医、健康咨询及办公区，四层VIP诊疗，五层全部为</w:t>
            </w:r>
            <w:r>
              <w:rPr>
                <w:rFonts w:hint="eastAsia"/>
                <w:bCs/>
                <w:color w:val="000000"/>
                <w:sz w:val="24"/>
                <w:szCs w:val="24"/>
                <w:highlight w:val="none"/>
              </w:rPr>
              <w:t>康健理疗区</w:t>
            </w:r>
            <w:r>
              <w:rPr>
                <w:rFonts w:hint="eastAsia"/>
                <w:bCs/>
                <w:color w:val="000000"/>
                <w:sz w:val="24"/>
                <w:szCs w:val="24"/>
                <w:highlight w:val="none"/>
                <w:lang w:eastAsia="zh-CN"/>
              </w:rPr>
              <w:t>。项目建成后移交给迁安市人民医院管理使用。</w:t>
            </w:r>
          </w:p>
          <w:p>
            <w:pPr>
              <w:pStyle w:val="6"/>
              <w:snapToGrid w:val="0"/>
              <w:spacing w:line="480" w:lineRule="exact"/>
              <w:ind w:firstLine="0"/>
              <w:jc w:val="center"/>
              <w:rPr>
                <w:b/>
                <w:color w:val="000000"/>
                <w:sz w:val="24"/>
                <w:szCs w:val="24"/>
                <w:highlight w:val="none"/>
              </w:rPr>
            </w:pPr>
            <w:r>
              <w:rPr>
                <w:rFonts w:hint="eastAsia"/>
                <w:b/>
                <w:color w:val="000000"/>
                <w:sz w:val="24"/>
                <w:szCs w:val="24"/>
                <w:highlight w:val="none"/>
              </w:rPr>
              <w:t>表</w:t>
            </w:r>
            <w:r>
              <w:rPr>
                <w:b/>
                <w:color w:val="000000"/>
                <w:sz w:val="24"/>
                <w:szCs w:val="24"/>
                <w:highlight w:val="none"/>
              </w:rPr>
              <w:t xml:space="preserve">1    </w:t>
            </w:r>
            <w:r>
              <w:rPr>
                <w:rFonts w:hint="eastAsia"/>
                <w:b/>
                <w:color w:val="000000"/>
                <w:sz w:val="24"/>
                <w:szCs w:val="24"/>
                <w:highlight w:val="none"/>
              </w:rPr>
              <w:t>项目组成一览表</w:t>
            </w:r>
          </w:p>
          <w:tbl>
            <w:tblPr>
              <w:tblStyle w:val="36"/>
              <w:tblpPr w:leftFromText="180" w:rightFromText="180" w:vertAnchor="text" w:tblpXSpec="center" w:tblpY="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1930"/>
              <w:gridCol w:w="5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20" w:type="pct"/>
                  <w:tcBorders>
                    <w:top w:val="single" w:color="auto" w:sz="4" w:space="0"/>
                    <w:left w:val="single" w:color="auto" w:sz="4" w:space="0"/>
                    <w:bottom w:val="single" w:color="auto" w:sz="4" w:space="0"/>
                    <w:right w:val="single" w:color="auto" w:sz="4" w:space="0"/>
                  </w:tcBorders>
                  <w:noWrap w:val="0"/>
                  <w:vAlign w:val="center"/>
                </w:tcPr>
                <w:p>
                  <w:pPr>
                    <w:jc w:val="center"/>
                    <w:rPr>
                      <w:b w:val="0"/>
                      <w:bCs w:val="0"/>
                      <w:color w:val="000000"/>
                      <w:szCs w:val="21"/>
                      <w:highlight w:val="none"/>
                    </w:rPr>
                  </w:pPr>
                  <w:r>
                    <w:rPr>
                      <w:rFonts w:hint="eastAsia"/>
                      <w:b w:val="0"/>
                      <w:bCs w:val="0"/>
                      <w:color w:val="000000"/>
                      <w:szCs w:val="21"/>
                      <w:highlight w:val="none"/>
                    </w:rPr>
                    <w:t>工程类别</w:t>
                  </w: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 w:val="0"/>
                      <w:bCs w:val="0"/>
                      <w:color w:val="000000"/>
                      <w:szCs w:val="21"/>
                      <w:highlight w:val="none"/>
                    </w:rPr>
                  </w:pPr>
                  <w:r>
                    <w:rPr>
                      <w:rFonts w:hint="eastAsia"/>
                      <w:b w:val="0"/>
                      <w:bCs w:val="0"/>
                      <w:color w:val="000000"/>
                      <w:szCs w:val="21"/>
                      <w:highlight w:val="none"/>
                    </w:rPr>
                    <w:t>项目名称</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center"/>
                    <w:rPr>
                      <w:b w:val="0"/>
                      <w:bCs w:val="0"/>
                      <w:color w:val="000000"/>
                      <w:szCs w:val="21"/>
                      <w:highlight w:val="none"/>
                    </w:rPr>
                  </w:pPr>
                  <w:r>
                    <w:rPr>
                      <w:rFonts w:hint="eastAsia"/>
                      <w:b w:val="0"/>
                      <w:bCs w:val="0"/>
                      <w:color w:val="000000"/>
                      <w:szCs w:val="21"/>
                      <w:highlight w:val="none"/>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720" w:type="pct"/>
                  <w:vMerge w:val="restart"/>
                  <w:tcBorders>
                    <w:top w:val="single" w:color="auto" w:sz="4" w:space="0"/>
                    <w:left w:val="single" w:color="auto" w:sz="4" w:space="0"/>
                    <w:right w:val="single" w:color="auto" w:sz="4" w:space="0"/>
                  </w:tcBorders>
                  <w:noWrap w:val="0"/>
                  <w:vAlign w:val="center"/>
                </w:tcPr>
                <w:p>
                  <w:pPr>
                    <w:jc w:val="center"/>
                    <w:rPr>
                      <w:bCs/>
                      <w:color w:val="000000"/>
                      <w:kern w:val="0"/>
                      <w:szCs w:val="21"/>
                      <w:highlight w:val="none"/>
                    </w:rPr>
                  </w:pPr>
                  <w:r>
                    <w:rPr>
                      <w:rFonts w:hint="eastAsia"/>
                      <w:color w:val="000000"/>
                      <w:szCs w:val="21"/>
                      <w:highlight w:val="none"/>
                    </w:rPr>
                    <w:t>主体工程</w:t>
                  </w:r>
                </w:p>
              </w:tc>
              <w:tc>
                <w:tcPr>
                  <w:tcW w:w="1094" w:type="pct"/>
                  <w:tcBorders>
                    <w:top w:val="single" w:color="auto" w:sz="4" w:space="0"/>
                    <w:left w:val="single" w:color="auto" w:sz="4" w:space="0"/>
                    <w:right w:val="single" w:color="auto" w:sz="4" w:space="0"/>
                  </w:tcBorders>
                  <w:noWrap w:val="0"/>
                  <w:vAlign w:val="center"/>
                </w:tcPr>
                <w:p>
                  <w:pPr>
                    <w:jc w:val="center"/>
                    <w:rPr>
                      <w:rFonts w:hint="eastAsia"/>
                      <w:bCs/>
                      <w:color w:val="000000"/>
                      <w:kern w:val="0"/>
                      <w:szCs w:val="21"/>
                      <w:highlight w:val="none"/>
                    </w:rPr>
                  </w:pPr>
                  <w:r>
                    <w:rPr>
                      <w:rFonts w:hint="eastAsia" w:hAnsi="Courier New" w:cs="Courier New"/>
                      <w:color w:val="000000"/>
                      <w:szCs w:val="21"/>
                      <w:highlight w:val="none"/>
                    </w:rPr>
                    <w:t>首层及二层</w:t>
                  </w:r>
                </w:p>
              </w:tc>
              <w:tc>
                <w:tcPr>
                  <w:tcW w:w="3185" w:type="pct"/>
                  <w:tcBorders>
                    <w:top w:val="single" w:color="auto" w:sz="4" w:space="0"/>
                    <w:left w:val="single" w:color="auto" w:sz="4" w:space="0"/>
                    <w:right w:val="single" w:color="auto" w:sz="4" w:space="0"/>
                  </w:tcBorders>
                  <w:noWrap w:val="0"/>
                  <w:vAlign w:val="center"/>
                </w:tcPr>
                <w:p>
                  <w:pPr>
                    <w:jc w:val="center"/>
                    <w:rPr>
                      <w:rFonts w:hint="eastAsia"/>
                      <w:bCs/>
                      <w:color w:val="000000"/>
                      <w:szCs w:val="21"/>
                      <w:highlight w:val="none"/>
                    </w:rPr>
                  </w:pPr>
                  <w:r>
                    <w:rPr>
                      <w:rFonts w:hint="eastAsia"/>
                      <w:bCs/>
                      <w:color w:val="000000"/>
                      <w:szCs w:val="21"/>
                      <w:highlight w:val="none"/>
                    </w:rPr>
                    <w:t>体检项目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720" w:type="pct"/>
                  <w:vMerge w:val="continue"/>
                  <w:tcBorders>
                    <w:left w:val="single" w:color="auto" w:sz="4" w:space="0"/>
                    <w:right w:val="single" w:color="auto" w:sz="4" w:space="0"/>
                  </w:tcBorders>
                  <w:noWrap w:val="0"/>
                  <w:vAlign w:val="center"/>
                </w:tcPr>
                <w:p>
                  <w:pPr>
                    <w:jc w:val="center"/>
                    <w:rPr>
                      <w:rFonts w:hint="eastAsia"/>
                      <w:color w:val="000000"/>
                      <w:szCs w:val="21"/>
                      <w:highlight w:val="none"/>
                    </w:rPr>
                  </w:pPr>
                </w:p>
              </w:tc>
              <w:tc>
                <w:tcPr>
                  <w:tcW w:w="1094" w:type="pct"/>
                  <w:tcBorders>
                    <w:left w:val="single" w:color="auto" w:sz="4" w:space="0"/>
                    <w:right w:val="single" w:color="auto" w:sz="4" w:space="0"/>
                  </w:tcBorders>
                  <w:noWrap w:val="0"/>
                  <w:vAlign w:val="center"/>
                </w:tcPr>
                <w:p>
                  <w:pPr>
                    <w:jc w:val="center"/>
                    <w:rPr>
                      <w:rFonts w:hint="eastAsia" w:hAnsi="Courier New" w:cs="Courier New"/>
                      <w:color w:val="000000"/>
                      <w:szCs w:val="21"/>
                      <w:highlight w:val="none"/>
                    </w:rPr>
                  </w:pPr>
                  <w:r>
                    <w:rPr>
                      <w:rFonts w:hint="eastAsia" w:hAnsi="Courier New" w:cs="Courier New"/>
                      <w:color w:val="000000"/>
                      <w:szCs w:val="21"/>
                      <w:highlight w:val="none"/>
                    </w:rPr>
                    <w:t>三层</w:t>
                  </w:r>
                </w:p>
              </w:tc>
              <w:tc>
                <w:tcPr>
                  <w:tcW w:w="3185" w:type="pct"/>
                  <w:tcBorders>
                    <w:left w:val="single" w:color="auto" w:sz="4" w:space="0"/>
                    <w:right w:val="single" w:color="auto" w:sz="4" w:space="0"/>
                  </w:tcBorders>
                  <w:noWrap w:val="0"/>
                  <w:vAlign w:val="center"/>
                </w:tcPr>
                <w:p>
                  <w:pPr>
                    <w:jc w:val="center"/>
                    <w:rPr>
                      <w:rFonts w:hint="eastAsia"/>
                      <w:bCs/>
                      <w:color w:val="000000"/>
                      <w:szCs w:val="21"/>
                      <w:highlight w:val="none"/>
                    </w:rPr>
                  </w:pPr>
                  <w:r>
                    <w:rPr>
                      <w:rFonts w:hint="eastAsia"/>
                      <w:bCs/>
                      <w:color w:val="000000"/>
                      <w:szCs w:val="21"/>
                      <w:highlight w:val="none"/>
                    </w:rPr>
                    <w:t>中医、健康咨询及办公区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3" w:hRule="exact"/>
              </w:trPr>
              <w:tc>
                <w:tcPr>
                  <w:tcW w:w="720" w:type="pct"/>
                  <w:vMerge w:val="continue"/>
                  <w:tcBorders>
                    <w:left w:val="single" w:color="auto" w:sz="4" w:space="0"/>
                    <w:right w:val="single" w:color="auto" w:sz="4" w:space="0"/>
                  </w:tcBorders>
                  <w:noWrap w:val="0"/>
                  <w:vAlign w:val="center"/>
                </w:tcPr>
                <w:p>
                  <w:pPr>
                    <w:jc w:val="center"/>
                    <w:rPr>
                      <w:rFonts w:hint="eastAsia"/>
                      <w:color w:val="000000"/>
                      <w:szCs w:val="21"/>
                      <w:highlight w:val="none"/>
                    </w:rPr>
                  </w:pPr>
                </w:p>
              </w:tc>
              <w:tc>
                <w:tcPr>
                  <w:tcW w:w="1094" w:type="pct"/>
                  <w:tcBorders>
                    <w:left w:val="single" w:color="auto" w:sz="4" w:space="0"/>
                    <w:bottom w:val="single" w:color="auto" w:sz="4" w:space="0"/>
                    <w:right w:val="single" w:color="auto" w:sz="4" w:space="0"/>
                  </w:tcBorders>
                  <w:noWrap w:val="0"/>
                  <w:vAlign w:val="center"/>
                </w:tcPr>
                <w:p>
                  <w:pPr>
                    <w:jc w:val="center"/>
                    <w:rPr>
                      <w:rFonts w:hint="eastAsia" w:hAnsi="Courier New" w:cs="Courier New"/>
                      <w:color w:val="000000"/>
                      <w:szCs w:val="21"/>
                      <w:highlight w:val="none"/>
                    </w:rPr>
                  </w:pPr>
                  <w:r>
                    <w:rPr>
                      <w:rFonts w:hint="eastAsia" w:hAnsi="Courier New" w:cs="Courier New"/>
                      <w:color w:val="000000"/>
                      <w:szCs w:val="21"/>
                      <w:highlight w:val="none"/>
                    </w:rPr>
                    <w:t>四层</w:t>
                  </w:r>
                </w:p>
              </w:tc>
              <w:tc>
                <w:tcPr>
                  <w:tcW w:w="3185" w:type="pct"/>
                  <w:tcBorders>
                    <w:left w:val="single" w:color="auto" w:sz="4" w:space="0"/>
                    <w:bottom w:val="single" w:color="auto" w:sz="4" w:space="0"/>
                    <w:right w:val="single" w:color="auto" w:sz="4" w:space="0"/>
                  </w:tcBorders>
                  <w:noWrap w:val="0"/>
                  <w:vAlign w:val="center"/>
                </w:tcPr>
                <w:p>
                  <w:pPr>
                    <w:jc w:val="center"/>
                    <w:rPr>
                      <w:rFonts w:hint="eastAsia"/>
                      <w:bCs/>
                      <w:color w:val="000000"/>
                      <w:szCs w:val="21"/>
                      <w:highlight w:val="none"/>
                    </w:rPr>
                  </w:pPr>
                  <w:r>
                    <w:rPr>
                      <w:rFonts w:hint="eastAsia"/>
                      <w:bCs/>
                      <w:color w:val="000000"/>
                      <w:szCs w:val="21"/>
                      <w:highlight w:val="none"/>
                    </w:rPr>
                    <w:t>VIP诊疗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trPr>
              <w:tc>
                <w:tcPr>
                  <w:tcW w:w="720" w:type="pct"/>
                  <w:vMerge w:val="continue"/>
                  <w:tcBorders>
                    <w:left w:val="single" w:color="auto" w:sz="4" w:space="0"/>
                    <w:bottom w:val="single" w:color="auto" w:sz="4" w:space="0"/>
                    <w:right w:val="single" w:color="auto" w:sz="4" w:space="0"/>
                  </w:tcBorders>
                  <w:noWrap w:val="0"/>
                  <w:vAlign w:val="center"/>
                </w:tcPr>
                <w:p>
                  <w:pPr>
                    <w:jc w:val="center"/>
                    <w:rPr>
                      <w:rFonts w:hint="eastAsia"/>
                      <w:color w:val="000000"/>
                      <w:szCs w:val="21"/>
                      <w:highlight w:val="none"/>
                    </w:rPr>
                  </w:pPr>
                </w:p>
              </w:tc>
              <w:tc>
                <w:tcPr>
                  <w:tcW w:w="1094" w:type="pct"/>
                  <w:tcBorders>
                    <w:left w:val="single" w:color="auto" w:sz="4" w:space="0"/>
                    <w:bottom w:val="single" w:color="auto" w:sz="4" w:space="0"/>
                    <w:right w:val="single" w:color="auto" w:sz="4" w:space="0"/>
                  </w:tcBorders>
                  <w:noWrap w:val="0"/>
                  <w:vAlign w:val="center"/>
                </w:tcPr>
                <w:p>
                  <w:pPr>
                    <w:jc w:val="center"/>
                    <w:rPr>
                      <w:rFonts w:hint="eastAsia"/>
                      <w:bCs/>
                      <w:color w:val="000000"/>
                      <w:szCs w:val="21"/>
                      <w:highlight w:val="none"/>
                    </w:rPr>
                  </w:pPr>
                  <w:r>
                    <w:rPr>
                      <w:rFonts w:hint="eastAsia"/>
                      <w:bCs/>
                      <w:color w:val="000000"/>
                      <w:szCs w:val="21"/>
                      <w:highlight w:val="none"/>
                    </w:rPr>
                    <w:t>五层</w:t>
                  </w:r>
                </w:p>
              </w:tc>
              <w:tc>
                <w:tcPr>
                  <w:tcW w:w="3185" w:type="pct"/>
                  <w:tcBorders>
                    <w:left w:val="single" w:color="auto" w:sz="4" w:space="0"/>
                    <w:bottom w:val="single" w:color="auto" w:sz="4" w:space="0"/>
                    <w:right w:val="single" w:color="auto" w:sz="4" w:space="0"/>
                  </w:tcBorders>
                  <w:noWrap w:val="0"/>
                  <w:vAlign w:val="center"/>
                </w:tcPr>
                <w:p>
                  <w:pPr>
                    <w:jc w:val="center"/>
                    <w:rPr>
                      <w:rFonts w:hint="eastAsia"/>
                      <w:bCs/>
                      <w:color w:val="000000"/>
                      <w:szCs w:val="21"/>
                      <w:highlight w:val="none"/>
                    </w:rPr>
                  </w:pPr>
                  <w:r>
                    <w:rPr>
                      <w:rFonts w:hint="eastAsia"/>
                      <w:bCs/>
                      <w:color w:val="000000"/>
                      <w:szCs w:val="21"/>
                      <w:highlight w:val="none"/>
                    </w:rPr>
                    <w:t>康健理疗区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20"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公用工程</w:t>
                  </w: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供水</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迁安市供水管网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20"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bCs/>
                      <w:color w:val="000000"/>
                      <w:kern w:val="0"/>
                      <w:szCs w:val="21"/>
                      <w:highlight w:val="none"/>
                    </w:rPr>
                  </w:pP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供电</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由当地电网接入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6" w:hRule="exact"/>
              </w:trPr>
              <w:tc>
                <w:tcPr>
                  <w:tcW w:w="720"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bCs/>
                      <w:color w:val="000000"/>
                      <w:kern w:val="0"/>
                      <w:szCs w:val="21"/>
                      <w:highlight w:val="none"/>
                    </w:rPr>
                  </w:pP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供热</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szCs w:val="21"/>
                      <w:highlight w:val="none"/>
                    </w:rPr>
                    <w:t>市政集中供热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exact"/>
              </w:trPr>
              <w:tc>
                <w:tcPr>
                  <w:tcW w:w="720"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bCs/>
                      <w:color w:val="0000FF"/>
                      <w:kern w:val="0"/>
                      <w:szCs w:val="21"/>
                      <w:highlight w:val="none"/>
                    </w:rPr>
                  </w:pPr>
                  <w:r>
                    <w:rPr>
                      <w:rFonts w:hint="eastAsia"/>
                      <w:bCs/>
                      <w:color w:val="000000"/>
                      <w:kern w:val="0"/>
                      <w:szCs w:val="21"/>
                      <w:highlight w:val="none"/>
                    </w:rPr>
                    <w:t>环保工程</w:t>
                  </w:r>
                </w:p>
              </w:tc>
              <w:tc>
                <w:tcPr>
                  <w:tcW w:w="1094" w:type="pct"/>
                  <w:tcBorders>
                    <w:top w:val="single" w:color="auto" w:sz="4" w:space="0"/>
                    <w:left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废水</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left"/>
                    <w:rPr>
                      <w:color w:val="000000"/>
                      <w:szCs w:val="21"/>
                      <w:highlight w:val="none"/>
                    </w:rPr>
                  </w:pPr>
                  <w:r>
                    <w:rPr>
                      <w:rFonts w:hint="eastAsia"/>
                      <w:color w:val="000000"/>
                      <w:szCs w:val="21"/>
                      <w:highlight w:val="none"/>
                      <w:lang w:eastAsia="zh-CN"/>
                    </w:rPr>
                    <w:t>生活污水经化粪池处理后排至迁安市人民医院污水处理站，医疗</w:t>
                  </w:r>
                  <w:r>
                    <w:rPr>
                      <w:rFonts w:hint="eastAsia"/>
                      <w:color w:val="000000"/>
                      <w:szCs w:val="21"/>
                      <w:highlight w:val="none"/>
                    </w:rPr>
                    <w:t>废水</w:t>
                  </w:r>
                  <w:r>
                    <w:rPr>
                      <w:rFonts w:hint="eastAsia"/>
                      <w:color w:val="000000"/>
                      <w:szCs w:val="21"/>
                      <w:highlight w:val="none"/>
                      <w:lang w:eastAsia="zh-CN"/>
                    </w:rPr>
                    <w:t>排入</w:t>
                  </w:r>
                  <w:r>
                    <w:rPr>
                      <w:rFonts w:hint="eastAsia"/>
                      <w:color w:val="000000"/>
                      <w:szCs w:val="21"/>
                      <w:highlight w:val="none"/>
                    </w:rPr>
                    <w:t>迁安市人民医院污水处理站处理</w:t>
                  </w:r>
                  <w:r>
                    <w:rPr>
                      <w:rFonts w:hint="eastAsia"/>
                      <w:color w:val="000000"/>
                      <w:szCs w:val="21"/>
                      <w:highlight w:val="none"/>
                      <w:lang w:eastAsia="zh-CN"/>
                    </w:rPr>
                    <w:t>，处理后</w:t>
                  </w:r>
                  <w:r>
                    <w:rPr>
                      <w:rFonts w:hint="eastAsia"/>
                      <w:color w:val="000000"/>
                      <w:szCs w:val="21"/>
                      <w:highlight w:val="none"/>
                    </w:rPr>
                    <w:t>排入市政污水管网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exact"/>
              </w:trPr>
              <w:tc>
                <w:tcPr>
                  <w:tcW w:w="720"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bCs/>
                      <w:color w:val="0000FF"/>
                      <w:kern w:val="0"/>
                      <w:szCs w:val="21"/>
                      <w:highlight w:val="none"/>
                    </w:rPr>
                  </w:pP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噪声</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jc w:val="both"/>
                    <w:rPr>
                      <w:bCs/>
                      <w:color w:val="000000"/>
                      <w:kern w:val="0"/>
                      <w:szCs w:val="21"/>
                      <w:highlight w:val="none"/>
                    </w:rPr>
                  </w:pPr>
                  <w:r>
                    <w:rPr>
                      <w:rFonts w:hint="eastAsia"/>
                      <w:color w:val="000000"/>
                      <w:szCs w:val="21"/>
                      <w:highlight w:val="none"/>
                      <w:lang w:eastAsia="zh-CN"/>
                    </w:rPr>
                    <w:t>项目主要噪声为空调风机产生的噪声，采用低噪声及振动小的设备，并采取基</w:t>
                  </w:r>
                  <w:r>
                    <w:rPr>
                      <w:rFonts w:hint="eastAsia"/>
                      <w:color w:val="000000"/>
                      <w:szCs w:val="21"/>
                      <w:highlight w:val="none"/>
                    </w:rPr>
                    <w:t>础减振措施，隔声罩等措施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exact"/>
              </w:trPr>
              <w:tc>
                <w:tcPr>
                  <w:tcW w:w="720"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bCs/>
                      <w:color w:val="0000FF"/>
                      <w:kern w:val="0"/>
                      <w:szCs w:val="21"/>
                      <w:highlight w:val="none"/>
                    </w:rPr>
                  </w:pPr>
                </w:p>
              </w:tc>
              <w:tc>
                <w:tcPr>
                  <w:tcW w:w="1094" w:type="pct"/>
                  <w:tcBorders>
                    <w:top w:val="single" w:color="auto" w:sz="4" w:space="0"/>
                    <w:left w:val="single" w:color="auto" w:sz="4" w:space="0"/>
                    <w:bottom w:val="single" w:color="auto" w:sz="4" w:space="0"/>
                    <w:right w:val="single" w:color="auto" w:sz="4" w:space="0"/>
                  </w:tcBorders>
                  <w:noWrap w:val="0"/>
                  <w:vAlign w:val="center"/>
                </w:tcPr>
                <w:p>
                  <w:pPr>
                    <w:jc w:val="center"/>
                    <w:rPr>
                      <w:bCs/>
                      <w:color w:val="000000"/>
                      <w:kern w:val="0"/>
                      <w:szCs w:val="21"/>
                      <w:highlight w:val="none"/>
                    </w:rPr>
                  </w:pPr>
                  <w:r>
                    <w:rPr>
                      <w:rFonts w:hint="eastAsia"/>
                      <w:bCs/>
                      <w:color w:val="000000"/>
                      <w:kern w:val="0"/>
                      <w:szCs w:val="21"/>
                      <w:highlight w:val="none"/>
                    </w:rPr>
                    <w:t>固废</w:t>
                  </w:r>
                </w:p>
              </w:tc>
              <w:tc>
                <w:tcPr>
                  <w:tcW w:w="3185" w:type="pct"/>
                  <w:tcBorders>
                    <w:top w:val="single" w:color="auto" w:sz="4" w:space="0"/>
                    <w:left w:val="single" w:color="auto" w:sz="4" w:space="0"/>
                    <w:bottom w:val="single" w:color="auto" w:sz="4" w:space="0"/>
                    <w:right w:val="single" w:color="auto" w:sz="4" w:space="0"/>
                  </w:tcBorders>
                  <w:noWrap w:val="0"/>
                  <w:vAlign w:val="center"/>
                </w:tcPr>
                <w:p>
                  <w:pPr>
                    <w:numPr>
                      <w:ilvl w:val="0"/>
                      <w:numId w:val="1"/>
                    </w:numPr>
                    <w:jc w:val="both"/>
                    <w:rPr>
                      <w:bCs/>
                      <w:color w:val="000000"/>
                      <w:kern w:val="0"/>
                      <w:szCs w:val="21"/>
                      <w:highlight w:val="none"/>
                    </w:rPr>
                  </w:pPr>
                  <w:r>
                    <w:rPr>
                      <w:rFonts w:hint="eastAsia"/>
                      <w:bCs/>
                      <w:color w:val="000000"/>
                      <w:kern w:val="0"/>
                      <w:szCs w:val="21"/>
                      <w:highlight w:val="none"/>
                    </w:rPr>
                    <w:t>人员生活垃圾交环卫部门清运</w:t>
                  </w:r>
                </w:p>
                <w:p>
                  <w:pPr>
                    <w:numPr>
                      <w:ilvl w:val="0"/>
                      <w:numId w:val="1"/>
                    </w:numPr>
                    <w:jc w:val="left"/>
                    <w:rPr>
                      <w:bCs/>
                      <w:color w:val="000000"/>
                      <w:kern w:val="0"/>
                      <w:szCs w:val="21"/>
                      <w:highlight w:val="none"/>
                    </w:rPr>
                  </w:pPr>
                  <w:r>
                    <w:rPr>
                      <w:rFonts w:hint="eastAsia"/>
                      <w:bCs/>
                      <w:color w:val="000000"/>
                      <w:kern w:val="0"/>
                      <w:szCs w:val="21"/>
                      <w:highlight w:val="none"/>
                    </w:rPr>
                    <w:t>医疗废物暂存医疗废物暂存间内，定期交唐山市保洁医用废弃物处置有限公司处理</w:t>
                  </w:r>
                </w:p>
              </w:tc>
            </w:tr>
          </w:tbl>
          <w:p>
            <w:pPr>
              <w:pStyle w:val="6"/>
              <w:spacing w:line="500" w:lineRule="exact"/>
              <w:ind w:firstLine="482" w:firstLineChars="200"/>
              <w:jc w:val="center"/>
              <w:rPr>
                <w:rFonts w:ascii="Verdana" w:hAnsi="Verdana" w:cs="Verdana"/>
                <w:b/>
                <w:color w:val="000000"/>
                <w:sz w:val="24"/>
                <w:szCs w:val="24"/>
                <w:highlight w:val="none"/>
              </w:rPr>
            </w:pPr>
            <w:r>
              <w:rPr>
                <w:rFonts w:hint="eastAsia"/>
                <w:b/>
                <w:color w:val="000000"/>
                <w:sz w:val="24"/>
                <w:szCs w:val="24"/>
                <w:highlight w:val="none"/>
              </w:rPr>
              <w:t>表</w:t>
            </w:r>
            <w:r>
              <w:rPr>
                <w:b/>
                <w:color w:val="000000"/>
                <w:sz w:val="24"/>
                <w:szCs w:val="24"/>
                <w:highlight w:val="none"/>
              </w:rPr>
              <w:t xml:space="preserve">2    </w:t>
            </w:r>
            <w:r>
              <w:rPr>
                <w:rFonts w:hint="eastAsia"/>
                <w:b/>
                <w:color w:val="000000"/>
                <w:sz w:val="24"/>
                <w:szCs w:val="24"/>
                <w:highlight w:val="none"/>
              </w:rPr>
              <w:t>项目建构筑物一览表</w:t>
            </w:r>
          </w:p>
          <w:tbl>
            <w:tblPr>
              <w:tblStyle w:val="3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2041"/>
              <w:gridCol w:w="2224"/>
              <w:gridCol w:w="38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5"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b w:val="0"/>
                      <w:bCs w:val="0"/>
                      <w:color w:val="000000"/>
                      <w:szCs w:val="21"/>
                      <w:highlight w:val="none"/>
                    </w:rPr>
                  </w:pPr>
                  <w:r>
                    <w:rPr>
                      <w:rFonts w:hint="eastAsia"/>
                      <w:b w:val="0"/>
                      <w:bCs w:val="0"/>
                      <w:color w:val="000000"/>
                      <w:szCs w:val="21"/>
                      <w:highlight w:val="none"/>
                    </w:rPr>
                    <w:t>序号</w:t>
                  </w:r>
                </w:p>
              </w:tc>
              <w:tc>
                <w:tcPr>
                  <w:tcW w:w="1157"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b w:val="0"/>
                      <w:bCs w:val="0"/>
                      <w:color w:val="000000"/>
                      <w:szCs w:val="21"/>
                      <w:highlight w:val="none"/>
                    </w:rPr>
                  </w:pPr>
                  <w:r>
                    <w:rPr>
                      <w:rFonts w:hint="eastAsia"/>
                      <w:b w:val="0"/>
                      <w:bCs w:val="0"/>
                      <w:color w:val="000000"/>
                      <w:szCs w:val="21"/>
                      <w:highlight w:val="none"/>
                    </w:rPr>
                    <w:t>项目名称</w:t>
                  </w:r>
                </w:p>
              </w:tc>
              <w:tc>
                <w:tcPr>
                  <w:tcW w:w="1260"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b w:val="0"/>
                      <w:bCs w:val="0"/>
                      <w:color w:val="000000"/>
                      <w:szCs w:val="21"/>
                      <w:highlight w:val="none"/>
                    </w:rPr>
                  </w:pPr>
                  <w:r>
                    <w:rPr>
                      <w:rFonts w:hint="eastAsia"/>
                      <w:b w:val="0"/>
                      <w:bCs w:val="0"/>
                      <w:color w:val="000000"/>
                      <w:szCs w:val="21"/>
                      <w:highlight w:val="none"/>
                    </w:rPr>
                    <w:t>建筑面积</w:t>
                  </w:r>
                </w:p>
              </w:tc>
              <w:tc>
                <w:tcPr>
                  <w:tcW w:w="2166"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b w:val="0"/>
                      <w:bCs w:val="0"/>
                      <w:color w:val="000000"/>
                      <w:szCs w:val="21"/>
                      <w:highlight w:val="none"/>
                    </w:rPr>
                  </w:pPr>
                  <w:r>
                    <w:rPr>
                      <w:rFonts w:hint="eastAsia"/>
                      <w:b w:val="0"/>
                      <w:bCs w:val="0"/>
                      <w:color w:val="000000"/>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415"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color w:val="000000"/>
                      <w:szCs w:val="21"/>
                      <w:highlight w:val="none"/>
                    </w:rPr>
                  </w:pPr>
                  <w:r>
                    <w:rPr>
                      <w:color w:val="000000"/>
                      <w:szCs w:val="21"/>
                      <w:highlight w:val="none"/>
                    </w:rPr>
                    <w:t>1</w:t>
                  </w:r>
                </w:p>
              </w:tc>
              <w:tc>
                <w:tcPr>
                  <w:tcW w:w="1157"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rFonts w:hint="eastAsia"/>
                      <w:color w:val="000000"/>
                      <w:szCs w:val="21"/>
                      <w:highlight w:val="none"/>
                    </w:rPr>
                  </w:pPr>
                  <w:r>
                    <w:rPr>
                      <w:rFonts w:hint="eastAsia"/>
                      <w:color w:val="000000"/>
                      <w:szCs w:val="21"/>
                      <w:highlight w:val="none"/>
                    </w:rPr>
                    <w:t>体检中心</w:t>
                  </w:r>
                </w:p>
              </w:tc>
              <w:tc>
                <w:tcPr>
                  <w:tcW w:w="1260"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color w:val="000000"/>
                      <w:szCs w:val="21"/>
                      <w:highlight w:val="none"/>
                    </w:rPr>
                  </w:pPr>
                  <w:r>
                    <w:rPr>
                      <w:rFonts w:hint="eastAsia"/>
                      <w:color w:val="000000"/>
                      <w:szCs w:val="21"/>
                      <w:highlight w:val="none"/>
                    </w:rPr>
                    <w:t>8080</w:t>
                  </w:r>
                  <w:r>
                    <w:rPr>
                      <w:color w:val="000000"/>
                      <w:szCs w:val="21"/>
                      <w:highlight w:val="none"/>
                    </w:rPr>
                    <w:t>m</w:t>
                  </w:r>
                  <w:r>
                    <w:rPr>
                      <w:color w:val="000000"/>
                      <w:szCs w:val="21"/>
                      <w:highlight w:val="none"/>
                      <w:vertAlign w:val="superscript"/>
                    </w:rPr>
                    <w:t>2</w:t>
                  </w:r>
                </w:p>
              </w:tc>
              <w:tc>
                <w:tcPr>
                  <w:tcW w:w="2166" w:type="pct"/>
                  <w:tcBorders>
                    <w:top w:val="single" w:color="auto" w:sz="4" w:space="0"/>
                    <w:left w:val="single" w:color="auto" w:sz="4" w:space="0"/>
                    <w:bottom w:val="single" w:color="auto" w:sz="4" w:space="0"/>
                    <w:right w:val="single" w:color="auto" w:sz="4" w:space="0"/>
                  </w:tcBorders>
                  <w:noWrap w:val="0"/>
                  <w:vAlign w:val="center"/>
                </w:tcPr>
                <w:p>
                  <w:pPr>
                    <w:pStyle w:val="6"/>
                    <w:spacing w:line="360" w:lineRule="exact"/>
                    <w:ind w:firstLine="0"/>
                    <w:jc w:val="center"/>
                    <w:rPr>
                      <w:rFonts w:hint="eastAsia"/>
                      <w:color w:val="000000"/>
                      <w:szCs w:val="21"/>
                      <w:highlight w:val="none"/>
                    </w:rPr>
                  </w:pPr>
                  <w:r>
                    <w:rPr>
                      <w:rFonts w:hint="eastAsia"/>
                      <w:color w:val="000000"/>
                      <w:szCs w:val="21"/>
                      <w:highlight w:val="none"/>
                    </w:rPr>
                    <w:t>改建</w:t>
                  </w:r>
                </w:p>
              </w:tc>
            </w:tr>
          </w:tbl>
          <w:p>
            <w:pPr>
              <w:pStyle w:val="6"/>
              <w:spacing w:line="480" w:lineRule="exact"/>
              <w:ind w:firstLine="482" w:firstLineChars="200"/>
              <w:rPr>
                <w:rFonts w:hint="eastAsia"/>
                <w:b/>
                <w:sz w:val="24"/>
                <w:szCs w:val="24"/>
                <w:highlight w:val="none"/>
              </w:rPr>
            </w:pPr>
            <w:r>
              <w:rPr>
                <w:rFonts w:hint="eastAsia"/>
                <w:b/>
                <w:sz w:val="24"/>
                <w:szCs w:val="24"/>
                <w:highlight w:val="none"/>
              </w:rPr>
              <w:t>9、主要设备</w:t>
            </w:r>
          </w:p>
          <w:p>
            <w:pPr>
              <w:pStyle w:val="23"/>
              <w:tabs>
                <w:tab w:val="left" w:pos="4148"/>
              </w:tabs>
              <w:adjustRightInd w:val="0"/>
              <w:snapToGrid w:val="0"/>
              <w:spacing w:line="500" w:lineRule="exact"/>
              <w:ind w:firstLine="470" w:firstLineChars="196"/>
              <w:rPr>
                <w:rFonts w:hint="eastAsia" w:ascii="Times New Roman" w:hAnsi="Times New Roman" w:cs="Times New Roman"/>
                <w:sz w:val="24"/>
                <w:szCs w:val="24"/>
                <w:highlight w:val="none"/>
              </w:rPr>
            </w:pPr>
            <w:r>
              <w:rPr>
                <w:rFonts w:hint="eastAsia"/>
                <w:sz w:val="24"/>
                <w:szCs w:val="24"/>
                <w:highlight w:val="none"/>
              </w:rPr>
              <w:t>项目的主要设备见</w:t>
            </w:r>
            <w:r>
              <w:rPr>
                <w:rFonts w:ascii="Times New Roman" w:hAnsi="Times New Roman" w:cs="Times New Roman"/>
                <w:sz w:val="24"/>
                <w:szCs w:val="24"/>
                <w:highlight w:val="none"/>
              </w:rPr>
              <w:t>表</w:t>
            </w:r>
            <w:r>
              <w:rPr>
                <w:rFonts w:hint="eastAsia" w:ascii="Times New Roman" w:hAnsi="Times New Roman" w:cs="Times New Roman"/>
                <w:sz w:val="24"/>
                <w:szCs w:val="24"/>
                <w:highlight w:val="none"/>
              </w:rPr>
              <w:t>3。</w:t>
            </w:r>
          </w:p>
          <w:p>
            <w:pPr>
              <w:pStyle w:val="6"/>
              <w:spacing w:line="400" w:lineRule="exact"/>
              <w:ind w:firstLine="482" w:firstLineChars="200"/>
              <w:jc w:val="center"/>
              <w:rPr>
                <w:b/>
                <w:sz w:val="24"/>
                <w:szCs w:val="24"/>
                <w:highlight w:val="none"/>
              </w:rPr>
            </w:pPr>
          </w:p>
          <w:p>
            <w:pPr>
              <w:pStyle w:val="6"/>
              <w:spacing w:line="400" w:lineRule="exact"/>
              <w:ind w:firstLine="482" w:firstLineChars="200"/>
              <w:jc w:val="center"/>
              <w:rPr>
                <w:b/>
                <w:sz w:val="24"/>
                <w:szCs w:val="24"/>
                <w:highlight w:val="none"/>
              </w:rPr>
            </w:pPr>
          </w:p>
          <w:p>
            <w:pPr>
              <w:pStyle w:val="6"/>
              <w:spacing w:line="400" w:lineRule="exact"/>
              <w:ind w:firstLine="482" w:firstLineChars="200"/>
              <w:jc w:val="center"/>
              <w:rPr>
                <w:b/>
                <w:sz w:val="24"/>
                <w:szCs w:val="24"/>
                <w:highlight w:val="none"/>
              </w:rPr>
            </w:pPr>
          </w:p>
          <w:p>
            <w:pPr>
              <w:pStyle w:val="6"/>
              <w:spacing w:line="400" w:lineRule="exact"/>
              <w:ind w:firstLine="482" w:firstLineChars="200"/>
              <w:jc w:val="center"/>
              <w:rPr>
                <w:b/>
                <w:sz w:val="24"/>
                <w:szCs w:val="24"/>
                <w:highlight w:val="none"/>
              </w:rPr>
            </w:pPr>
            <w:r>
              <w:rPr>
                <w:b/>
                <w:sz w:val="24"/>
                <w:szCs w:val="24"/>
                <w:highlight w:val="none"/>
              </w:rPr>
              <w:t>表</w:t>
            </w:r>
            <w:r>
              <w:rPr>
                <w:rFonts w:hint="eastAsia"/>
                <w:b/>
                <w:sz w:val="24"/>
                <w:szCs w:val="24"/>
                <w:highlight w:val="none"/>
              </w:rPr>
              <w:t>3</w:t>
            </w:r>
            <w:r>
              <w:rPr>
                <w:b/>
                <w:sz w:val="24"/>
                <w:szCs w:val="24"/>
                <w:highlight w:val="none"/>
              </w:rPr>
              <w:t xml:space="preserve">  </w:t>
            </w:r>
            <w:r>
              <w:rPr>
                <w:rFonts w:hint="eastAsia"/>
                <w:b/>
                <w:sz w:val="24"/>
                <w:szCs w:val="24"/>
                <w:highlight w:val="none"/>
              </w:rPr>
              <w:t xml:space="preserve">  </w:t>
            </w:r>
            <w:r>
              <w:rPr>
                <w:b/>
                <w:sz w:val="24"/>
                <w:szCs w:val="24"/>
                <w:highlight w:val="none"/>
              </w:rPr>
              <w:t>主要</w:t>
            </w:r>
            <w:r>
              <w:rPr>
                <w:rFonts w:hint="eastAsia"/>
                <w:b/>
                <w:sz w:val="24"/>
                <w:szCs w:val="24"/>
                <w:highlight w:val="none"/>
              </w:rPr>
              <w:t>医疗</w:t>
            </w:r>
            <w:r>
              <w:rPr>
                <w:b/>
                <w:sz w:val="24"/>
                <w:szCs w:val="24"/>
                <w:highlight w:val="none"/>
              </w:rPr>
              <w:t>设备一览表</w:t>
            </w:r>
          </w:p>
          <w:tbl>
            <w:tblPr>
              <w:tblStyle w:val="36"/>
              <w:tblW w:w="4976" w:type="pct"/>
              <w:jc w:val="center"/>
              <w:tblLayout w:type="fixed"/>
              <w:tblCellMar>
                <w:top w:w="0" w:type="dxa"/>
                <w:left w:w="108" w:type="dxa"/>
                <w:bottom w:w="0" w:type="dxa"/>
                <w:right w:w="108" w:type="dxa"/>
              </w:tblCellMar>
            </w:tblPr>
            <w:tblGrid>
              <w:gridCol w:w="638"/>
              <w:gridCol w:w="5752"/>
              <w:gridCol w:w="1095"/>
              <w:gridCol w:w="1302"/>
            </w:tblGrid>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b w:val="0"/>
                      <w:bCs/>
                      <w:color w:val="000000"/>
                      <w:szCs w:val="21"/>
                      <w:highlight w:val="none"/>
                    </w:rPr>
                  </w:pPr>
                  <w:r>
                    <w:rPr>
                      <w:b w:val="0"/>
                      <w:bCs/>
                      <w:color w:val="000000"/>
                      <w:szCs w:val="21"/>
                      <w:highlight w:val="none"/>
                    </w:rPr>
                    <w:t>序号</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b w:val="0"/>
                      <w:bCs/>
                      <w:color w:val="000000"/>
                      <w:szCs w:val="21"/>
                      <w:highlight w:val="none"/>
                    </w:rPr>
                  </w:pPr>
                  <w:r>
                    <w:rPr>
                      <w:b w:val="0"/>
                      <w:bCs/>
                      <w:color w:val="000000"/>
                      <w:szCs w:val="21"/>
                      <w:highlight w:val="none"/>
                    </w:rPr>
                    <w:t>名称</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b w:val="0"/>
                      <w:bCs/>
                      <w:color w:val="000000"/>
                      <w:szCs w:val="21"/>
                      <w:highlight w:val="none"/>
                    </w:rPr>
                  </w:pPr>
                  <w:r>
                    <w:rPr>
                      <w:b w:val="0"/>
                      <w:bCs/>
                      <w:color w:val="000000"/>
                      <w:szCs w:val="21"/>
                      <w:highlight w:val="none"/>
                    </w:rPr>
                    <w:t>数量</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b w:val="0"/>
                      <w:bCs/>
                      <w:color w:val="000000"/>
                      <w:szCs w:val="21"/>
                      <w:highlight w:val="none"/>
                    </w:rPr>
                  </w:pPr>
                  <w:r>
                    <w:rPr>
                      <w:b w:val="0"/>
                      <w:bCs/>
                      <w:color w:val="000000"/>
                      <w:szCs w:val="21"/>
                      <w:highlight w:val="none"/>
                    </w:rPr>
                    <w:t>备注</w:t>
                  </w: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CT设备</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r>
                    <w:rPr>
                      <w:color w:val="000000"/>
                      <w:szCs w:val="21"/>
                      <w:highlight w:val="none"/>
                    </w:rPr>
                    <w:t>另做环评</w:t>
                  </w: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超声机（全身）</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8</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放射DR机</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r>
                    <w:rPr>
                      <w:color w:val="000000"/>
                      <w:szCs w:val="21"/>
                      <w:highlight w:val="none"/>
                    </w:rPr>
                    <w:t>另做环评</w:t>
                  </w: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4</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胃镜</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5</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肠镜</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rFonts w:hint="eastAsia"/>
                      <w:color w:val="000000"/>
                      <w:szCs w:val="21"/>
                      <w:highlight w:val="none"/>
                    </w:rPr>
                  </w:pPr>
                  <w:r>
                    <w:rPr>
                      <w:rFonts w:hint="eastAsia"/>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6</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胃肠镜清洗设备</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7</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胃镜床</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8</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麻醉机</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9</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供氧设备</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10</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负压吸引</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11</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除颤仪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12</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监护仪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13</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24h动态心电</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rFonts w:hint="eastAsia"/>
                      <w:color w:val="000000"/>
                      <w:szCs w:val="21"/>
                      <w:highlight w:val="none"/>
                    </w:rPr>
                  </w:pPr>
                  <w:r>
                    <w:rPr>
                      <w:rFonts w:hint="eastAsia"/>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14</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12导心电图</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6</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15</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运动平板连接心电图机</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16</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骨密度仪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17</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全自动电子血压仪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6</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18</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体重身高仪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5</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19</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动脉硬化检测</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20</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肺功能检测</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21</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幽门螺旋杆菌检测仪</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22</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眼科裂隙灯</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23</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非接触眼压计</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24</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眼底照相</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25</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眼底镜</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26</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口腔综合操作台</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27</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耳鼻喉操作台</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28</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经颅多普勒</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29</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妇科检查床（电动）</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30</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客观听力测试台</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31</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诊床</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15</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32</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超声诊床</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8</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33</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无菌柜</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20</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34</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放射防护用品（铅衣、铅裙等）</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4</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35</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呼叫系统</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1套</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r>
              <w:tblPrEx>
                <w:tblCellMar>
                  <w:top w:w="0" w:type="dxa"/>
                  <w:left w:w="108" w:type="dxa"/>
                  <w:bottom w:w="0" w:type="dxa"/>
                  <w:right w:w="108" w:type="dxa"/>
                </w:tblCellMar>
              </w:tblPrEx>
              <w:trPr>
                <w:trHeight w:val="363" w:hRule="exact"/>
                <w:jc w:val="center"/>
              </w:trPr>
              <w:tc>
                <w:tcPr>
                  <w:tcW w:w="36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rFonts w:hint="eastAsia"/>
                      <w:color w:val="000000"/>
                      <w:szCs w:val="21"/>
                      <w:highlight w:val="none"/>
                    </w:rPr>
                    <w:t>36</w:t>
                  </w:r>
                </w:p>
              </w:tc>
              <w:tc>
                <w:tcPr>
                  <w:tcW w:w="3272"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医疗器械（抢救车治疗车托盘、紫外线灯</w:t>
                  </w:r>
                  <w:r>
                    <w:rPr>
                      <w:rFonts w:hint="eastAsia"/>
                      <w:color w:val="000000"/>
                      <w:szCs w:val="21"/>
                      <w:highlight w:val="none"/>
                      <w:lang w:eastAsia="zh-CN"/>
                    </w:rPr>
                    <w:t>等</w:t>
                  </w:r>
                  <w:r>
                    <w:rPr>
                      <w:color w:val="000000"/>
                      <w:szCs w:val="21"/>
                      <w:highlight w:val="none"/>
                    </w:rPr>
                    <w:t>）</w:t>
                  </w:r>
                </w:p>
              </w:tc>
              <w:tc>
                <w:tcPr>
                  <w:tcW w:w="623" w:type="pct"/>
                  <w:tcBorders>
                    <w:top w:val="single" w:color="auto" w:sz="6" w:space="0"/>
                    <w:left w:val="single" w:color="auto" w:sz="6" w:space="0"/>
                    <w:bottom w:val="single" w:color="auto" w:sz="6" w:space="0"/>
                    <w:right w:val="single" w:color="auto" w:sz="6" w:space="0"/>
                  </w:tcBorders>
                  <w:noWrap/>
                  <w:vAlign w:val="center"/>
                </w:tcPr>
                <w:p>
                  <w:pPr>
                    <w:jc w:val="center"/>
                    <w:rPr>
                      <w:color w:val="000000"/>
                      <w:szCs w:val="21"/>
                      <w:highlight w:val="none"/>
                    </w:rPr>
                  </w:pPr>
                  <w:r>
                    <w:rPr>
                      <w:color w:val="000000"/>
                      <w:szCs w:val="21"/>
                      <w:highlight w:val="none"/>
                    </w:rPr>
                    <w:t>1套</w:t>
                  </w:r>
                </w:p>
              </w:tc>
              <w:tc>
                <w:tcPr>
                  <w:tcW w:w="741" w:type="pct"/>
                  <w:tcBorders>
                    <w:top w:val="single" w:color="auto" w:sz="6" w:space="0"/>
                    <w:left w:val="single" w:color="auto" w:sz="6" w:space="0"/>
                    <w:bottom w:val="single" w:color="auto" w:sz="6" w:space="0"/>
                    <w:right w:val="single" w:color="auto" w:sz="6" w:space="0"/>
                  </w:tcBorders>
                  <w:noWrap w:val="0"/>
                  <w:vAlign w:val="center"/>
                </w:tcPr>
                <w:p>
                  <w:pPr>
                    <w:jc w:val="center"/>
                    <w:rPr>
                      <w:color w:val="000000"/>
                      <w:szCs w:val="21"/>
                      <w:highlight w:val="none"/>
                    </w:rPr>
                  </w:pPr>
                </w:p>
              </w:tc>
            </w:tr>
          </w:tbl>
          <w:p>
            <w:pPr>
              <w:pStyle w:val="6"/>
              <w:spacing w:line="480" w:lineRule="exact"/>
              <w:ind w:firstLine="482" w:firstLineChars="200"/>
              <w:rPr>
                <w:rFonts w:hint="eastAsia"/>
                <w:b/>
                <w:sz w:val="24"/>
                <w:szCs w:val="24"/>
                <w:highlight w:val="none"/>
              </w:rPr>
            </w:pPr>
            <w:r>
              <w:rPr>
                <w:rFonts w:hint="eastAsia"/>
                <w:b/>
                <w:sz w:val="24"/>
                <w:szCs w:val="24"/>
                <w:highlight w:val="none"/>
              </w:rPr>
              <w:t>10、主要</w:t>
            </w:r>
            <w:r>
              <w:rPr>
                <w:b/>
                <w:sz w:val="24"/>
                <w:szCs w:val="24"/>
                <w:highlight w:val="none"/>
              </w:rPr>
              <w:t>原辅材料及能源消耗量</w:t>
            </w:r>
          </w:p>
          <w:p>
            <w:pPr>
              <w:pStyle w:val="6"/>
              <w:spacing w:line="480" w:lineRule="exact"/>
              <w:ind w:firstLine="480" w:firstLineChars="200"/>
              <w:rPr>
                <w:sz w:val="24"/>
                <w:szCs w:val="24"/>
                <w:highlight w:val="none"/>
              </w:rPr>
            </w:pPr>
            <w:r>
              <w:rPr>
                <w:rFonts w:hint="eastAsia"/>
                <w:sz w:val="24"/>
                <w:szCs w:val="24"/>
                <w:highlight w:val="none"/>
              </w:rPr>
              <w:t>项目为体检大楼，主要原辅材料为体检过程的消耗品，主要有乙醇消毒液、84消毒液、碘伏消毒液、医用棉签、一次性尿杯、一次性采血针、一次性使用阴道扩张器、一次性橡胶检查手套、医用输液贴等，使用量根据实际受检人员数量及所选项目而定。</w:t>
            </w:r>
          </w:p>
          <w:p>
            <w:pPr>
              <w:pStyle w:val="6"/>
              <w:spacing w:line="500" w:lineRule="exact"/>
              <w:ind w:firstLine="482" w:firstLineChars="200"/>
              <w:rPr>
                <w:rFonts w:hint="eastAsia"/>
                <w:b/>
                <w:sz w:val="24"/>
                <w:szCs w:val="24"/>
                <w:highlight w:val="none"/>
              </w:rPr>
            </w:pPr>
            <w:r>
              <w:rPr>
                <w:rFonts w:hint="eastAsia"/>
                <w:b/>
                <w:sz w:val="24"/>
                <w:szCs w:val="24"/>
                <w:highlight w:val="none"/>
              </w:rPr>
              <w:t>11、平面布置</w:t>
            </w:r>
          </w:p>
          <w:p>
            <w:pPr>
              <w:pStyle w:val="23"/>
              <w:tabs>
                <w:tab w:val="left" w:pos="4148"/>
              </w:tabs>
              <w:adjustRightInd w:val="0"/>
              <w:snapToGrid w:val="0"/>
              <w:spacing w:line="480" w:lineRule="exact"/>
              <w:ind w:firstLine="470" w:firstLineChars="196"/>
              <w:rPr>
                <w:rFonts w:hint="eastAsia" w:ascii="Times New Roman" w:hAnsi="Times New Roman" w:cs="Times New Roman"/>
                <w:sz w:val="24"/>
                <w:szCs w:val="24"/>
                <w:highlight w:val="none"/>
              </w:rPr>
            </w:pPr>
            <w:r>
              <w:rPr>
                <w:rFonts w:hint="eastAsia"/>
                <w:sz w:val="24"/>
                <w:szCs w:val="24"/>
                <w:highlight w:val="none"/>
              </w:rPr>
              <w:t>项目</w:t>
            </w:r>
            <w:r>
              <w:rPr>
                <w:rFonts w:hint="eastAsia" w:hAnsi="宋体"/>
                <w:color w:val="000000"/>
                <w:sz w:val="24"/>
                <w:szCs w:val="24"/>
                <w:highlight w:val="none"/>
              </w:rPr>
              <w:t>首层及二层为体检项目，三层中医、健康咨询及办公区，四层VIP诊疗，五层全部为标准间。各层分区明确，</w:t>
            </w:r>
            <w:r>
              <w:rPr>
                <w:rFonts w:hint="eastAsia"/>
                <w:sz w:val="24"/>
                <w:szCs w:val="24"/>
                <w:highlight w:val="none"/>
              </w:rPr>
              <w:t>因此，项目平面布局合理。</w:t>
            </w:r>
          </w:p>
          <w:p>
            <w:pPr>
              <w:pStyle w:val="6"/>
              <w:spacing w:line="500" w:lineRule="exact"/>
              <w:ind w:firstLine="482" w:firstLineChars="200"/>
              <w:rPr>
                <w:rFonts w:hint="eastAsia"/>
                <w:b/>
                <w:sz w:val="24"/>
                <w:szCs w:val="24"/>
                <w:highlight w:val="none"/>
              </w:rPr>
            </w:pPr>
            <w:r>
              <w:rPr>
                <w:rFonts w:hint="eastAsia"/>
                <w:b/>
                <w:sz w:val="24"/>
                <w:szCs w:val="24"/>
                <w:highlight w:val="none"/>
              </w:rPr>
              <w:t>12、公用工程</w:t>
            </w:r>
          </w:p>
          <w:p>
            <w:pPr>
              <w:pStyle w:val="23"/>
              <w:tabs>
                <w:tab w:val="left" w:pos="4148"/>
              </w:tabs>
              <w:adjustRightInd w:val="0"/>
              <w:snapToGrid w:val="0"/>
              <w:spacing w:line="480" w:lineRule="exact"/>
              <w:ind w:firstLine="470" w:firstLineChars="196"/>
              <w:rPr>
                <w:rFonts w:hint="eastAsia" w:ascii="Times New Roman" w:hAnsi="Times New Roman" w:cs="Times New Roman"/>
                <w:sz w:val="24"/>
                <w:szCs w:val="24"/>
                <w:highlight w:val="none"/>
              </w:rPr>
            </w:pPr>
            <w:r>
              <w:rPr>
                <w:rFonts w:hint="eastAsia" w:ascii="Times New Roman" w:hAnsi="Times New Roman" w:cs="Times New Roman"/>
                <w:sz w:val="24"/>
                <w:szCs w:val="24"/>
                <w:highlight w:val="none"/>
              </w:rPr>
              <w:t>（1）供电</w:t>
            </w:r>
          </w:p>
          <w:p>
            <w:pPr>
              <w:pStyle w:val="6"/>
              <w:adjustRightInd w:val="0"/>
              <w:snapToGrid w:val="0"/>
              <w:spacing w:line="480" w:lineRule="exact"/>
              <w:rPr>
                <w:rFonts w:hint="eastAsia"/>
                <w:sz w:val="24"/>
                <w:szCs w:val="24"/>
                <w:highlight w:val="none"/>
              </w:rPr>
            </w:pPr>
            <w:r>
              <w:rPr>
                <w:rFonts w:hint="eastAsia"/>
                <w:sz w:val="24"/>
                <w:szCs w:val="24"/>
                <w:highlight w:val="none"/>
              </w:rPr>
              <w:t>供电来源于市政电网</w:t>
            </w:r>
            <w:r>
              <w:rPr>
                <w:rFonts w:hint="eastAsia"/>
                <w:sz w:val="24"/>
                <w:szCs w:val="24"/>
                <w:highlight w:val="none"/>
                <w:lang w:eastAsia="zh-CN"/>
              </w:rPr>
              <w:t>，年用电量</w:t>
            </w:r>
            <w:r>
              <w:rPr>
                <w:rFonts w:hint="default" w:ascii="Times New Roman" w:hAnsi="Times New Roman" w:eastAsia="宋体" w:cs="Times New Roman"/>
                <w:color w:val="000000"/>
                <w:sz w:val="24"/>
                <w:szCs w:val="24"/>
                <w:highlight w:val="none"/>
              </w:rPr>
              <w:t>178.53万kWh</w:t>
            </w:r>
            <w:r>
              <w:rPr>
                <w:rFonts w:hint="eastAsia"/>
                <w:sz w:val="24"/>
                <w:szCs w:val="24"/>
                <w:highlight w:val="none"/>
              </w:rPr>
              <w:t>。</w:t>
            </w:r>
          </w:p>
          <w:p>
            <w:pPr>
              <w:pStyle w:val="23"/>
              <w:tabs>
                <w:tab w:val="left" w:pos="4148"/>
              </w:tabs>
              <w:adjustRightInd w:val="0"/>
              <w:snapToGrid w:val="0"/>
              <w:spacing w:line="480" w:lineRule="exact"/>
              <w:ind w:firstLine="470" w:firstLineChars="196"/>
              <w:rPr>
                <w:rFonts w:hint="eastAsia" w:ascii="Times New Roman" w:hAnsi="Times New Roman" w:cs="Times New Roman"/>
                <w:sz w:val="24"/>
                <w:szCs w:val="24"/>
                <w:highlight w:val="none"/>
              </w:rPr>
            </w:pPr>
            <w:r>
              <w:rPr>
                <w:rFonts w:hint="eastAsia" w:ascii="Times New Roman" w:hAnsi="Times New Roman" w:cs="Times New Roman"/>
                <w:sz w:val="24"/>
                <w:szCs w:val="24"/>
                <w:highlight w:val="none"/>
              </w:rPr>
              <w:t>（2）给排水</w:t>
            </w:r>
          </w:p>
          <w:p>
            <w:pPr>
              <w:pStyle w:val="6"/>
              <w:adjustRightInd w:val="0"/>
              <w:snapToGrid w:val="0"/>
              <w:spacing w:line="480" w:lineRule="exact"/>
              <w:ind w:firstLine="480" w:firstLineChars="200"/>
              <w:rPr>
                <w:snapToGrid w:val="0"/>
                <w:color w:val="0000FF"/>
                <w:sz w:val="24"/>
                <w:szCs w:val="24"/>
                <w:highlight w:val="none"/>
              </w:rPr>
            </w:pPr>
            <w:r>
              <w:rPr>
                <w:rFonts w:hint="eastAsia" w:ascii="宋体" w:hAnsi="宋体" w:cs="宋体"/>
                <w:color w:val="000000"/>
                <w:sz w:val="24"/>
                <w:szCs w:val="24"/>
                <w:highlight w:val="none"/>
              </w:rPr>
              <w:t>①</w:t>
            </w:r>
            <w:r>
              <w:rPr>
                <w:color w:val="000000"/>
                <w:sz w:val="24"/>
                <w:szCs w:val="24"/>
                <w:highlight w:val="none"/>
              </w:rPr>
              <w:t>给水：项目用水主要是医务人员生活用水</w:t>
            </w:r>
            <w:r>
              <w:rPr>
                <w:rFonts w:hint="eastAsia"/>
                <w:color w:val="000000"/>
                <w:sz w:val="24"/>
                <w:szCs w:val="24"/>
                <w:highlight w:val="none"/>
              </w:rPr>
              <w:t>、</w:t>
            </w:r>
            <w:r>
              <w:rPr>
                <w:rFonts w:hint="eastAsia"/>
                <w:sz w:val="24"/>
                <w:szCs w:val="24"/>
                <w:highlight w:val="none"/>
              </w:rPr>
              <w:t>体检</w:t>
            </w:r>
            <w:r>
              <w:rPr>
                <w:color w:val="000000"/>
                <w:sz w:val="24"/>
                <w:szCs w:val="24"/>
                <w:highlight w:val="none"/>
              </w:rPr>
              <w:t>用水</w:t>
            </w:r>
            <w:r>
              <w:rPr>
                <w:rFonts w:hint="eastAsia"/>
                <w:color w:val="000000"/>
                <w:sz w:val="24"/>
                <w:szCs w:val="24"/>
                <w:highlight w:val="none"/>
              </w:rPr>
              <w:t>、健康养护用水、洗衣用水和绿化灌溉用水。项目不设食堂、洗浴设施，厕所为水冲厕所。根据《河北省用水定额》(DB13/T 1161.3-2016)</w:t>
            </w:r>
            <w:r>
              <w:rPr>
                <w:rFonts w:hint="eastAsia"/>
                <w:color w:val="000000"/>
                <w:sz w:val="24"/>
                <w:szCs w:val="24"/>
                <w:highlight w:val="none"/>
                <w:lang w:eastAsia="zh-CN"/>
              </w:rPr>
              <w:t>及建设方提供资料</w:t>
            </w:r>
            <w:r>
              <w:rPr>
                <w:color w:val="000000"/>
                <w:sz w:val="24"/>
                <w:szCs w:val="24"/>
                <w:highlight w:val="none"/>
              </w:rPr>
              <w:t>，医务人员用水量为40L/人·d，</w:t>
            </w:r>
            <w:r>
              <w:rPr>
                <w:rFonts w:hint="eastAsia" w:hAnsi="宋体"/>
                <w:snapToGrid w:val="0"/>
                <w:color w:val="000000"/>
                <w:sz w:val="24"/>
                <w:szCs w:val="24"/>
                <w:highlight w:val="none"/>
              </w:rPr>
              <w:t>体检</w:t>
            </w:r>
            <w:r>
              <w:rPr>
                <w:rFonts w:hAnsi="宋体"/>
                <w:snapToGrid w:val="0"/>
                <w:color w:val="000000"/>
                <w:sz w:val="24"/>
                <w:szCs w:val="24"/>
                <w:highlight w:val="none"/>
              </w:rPr>
              <w:t>用水量为</w:t>
            </w:r>
            <w:r>
              <w:rPr>
                <w:snapToGrid w:val="0"/>
                <w:color w:val="000000"/>
                <w:sz w:val="24"/>
                <w:szCs w:val="24"/>
                <w:highlight w:val="none"/>
              </w:rPr>
              <w:t>10L/</w:t>
            </w:r>
            <w:r>
              <w:rPr>
                <w:rFonts w:hAnsi="宋体"/>
                <w:snapToGrid w:val="0"/>
                <w:color w:val="000000"/>
                <w:sz w:val="24"/>
                <w:szCs w:val="24"/>
                <w:highlight w:val="none"/>
              </w:rPr>
              <w:t>人</w:t>
            </w:r>
            <w:r>
              <w:rPr>
                <w:snapToGrid w:val="0"/>
                <w:color w:val="000000"/>
                <w:sz w:val="24"/>
                <w:szCs w:val="24"/>
                <w:highlight w:val="none"/>
              </w:rPr>
              <w:t>·</w:t>
            </w:r>
            <w:r>
              <w:rPr>
                <w:rFonts w:hAnsi="宋体"/>
                <w:snapToGrid w:val="0"/>
                <w:color w:val="000000"/>
                <w:sz w:val="24"/>
                <w:szCs w:val="24"/>
                <w:highlight w:val="none"/>
              </w:rPr>
              <w:t>次</w:t>
            </w:r>
            <w:r>
              <w:rPr>
                <w:rFonts w:hint="eastAsia" w:hAnsi="宋体"/>
                <w:snapToGrid w:val="0"/>
                <w:color w:val="000000"/>
                <w:sz w:val="24"/>
                <w:szCs w:val="24"/>
                <w:highlight w:val="none"/>
              </w:rPr>
              <w:t>，健康养护用水50</w:t>
            </w:r>
            <w:r>
              <w:rPr>
                <w:color w:val="000000"/>
                <w:sz w:val="24"/>
                <w:szCs w:val="24"/>
                <w:highlight w:val="none"/>
              </w:rPr>
              <w:t>L/人·d</w:t>
            </w:r>
            <w:r>
              <w:rPr>
                <w:rFonts w:hint="eastAsia"/>
                <w:color w:val="000000"/>
                <w:sz w:val="24"/>
                <w:szCs w:val="24"/>
                <w:highlight w:val="none"/>
              </w:rPr>
              <w:t>，</w:t>
            </w:r>
            <w:r>
              <w:rPr>
                <w:snapToGrid w:val="0"/>
                <w:sz w:val="24"/>
                <w:szCs w:val="24"/>
                <w:highlight w:val="none"/>
              </w:rPr>
              <w:t>洗衣房用水量按照40L/kg干衣，干衣按照2kg干衣/床·d计算</w:t>
            </w:r>
            <w:r>
              <w:rPr>
                <w:rFonts w:hint="eastAsia"/>
                <w:snapToGrid w:val="0"/>
                <w:sz w:val="24"/>
                <w:szCs w:val="24"/>
                <w:highlight w:val="none"/>
              </w:rPr>
              <w:t>，项目共66张床位；</w:t>
            </w:r>
            <w:r>
              <w:rPr>
                <w:rFonts w:hAnsi="宋体"/>
                <w:snapToGrid w:val="0"/>
                <w:color w:val="000000"/>
                <w:sz w:val="24"/>
                <w:szCs w:val="24"/>
                <w:highlight w:val="none"/>
              </w:rPr>
              <w:t>项目运营期间，</w:t>
            </w:r>
            <w:r>
              <w:rPr>
                <w:rFonts w:hint="eastAsia" w:hAnsi="宋体"/>
                <w:snapToGrid w:val="0"/>
                <w:color w:val="000000"/>
                <w:sz w:val="24"/>
                <w:szCs w:val="24"/>
                <w:highlight w:val="none"/>
                <w:lang w:eastAsia="zh-CN"/>
              </w:rPr>
              <w:t>医务</w:t>
            </w:r>
            <w:r>
              <w:rPr>
                <w:rFonts w:hAnsi="宋体"/>
                <w:snapToGrid w:val="0"/>
                <w:color w:val="000000"/>
                <w:sz w:val="24"/>
                <w:szCs w:val="24"/>
                <w:highlight w:val="none"/>
              </w:rPr>
              <w:t>人员共计</w:t>
            </w:r>
            <w:r>
              <w:rPr>
                <w:rFonts w:hint="eastAsia"/>
                <w:snapToGrid w:val="0"/>
                <w:color w:val="000000"/>
                <w:sz w:val="24"/>
                <w:szCs w:val="24"/>
                <w:highlight w:val="none"/>
              </w:rPr>
              <w:t>60</w:t>
            </w:r>
            <w:r>
              <w:rPr>
                <w:rFonts w:hAnsi="宋体"/>
                <w:snapToGrid w:val="0"/>
                <w:color w:val="000000"/>
                <w:sz w:val="24"/>
                <w:szCs w:val="24"/>
                <w:highlight w:val="none"/>
              </w:rPr>
              <w:t>人，每天</w:t>
            </w:r>
            <w:r>
              <w:rPr>
                <w:rFonts w:hint="eastAsia" w:hAnsi="宋体"/>
                <w:snapToGrid w:val="0"/>
                <w:color w:val="000000"/>
                <w:sz w:val="24"/>
                <w:szCs w:val="24"/>
                <w:highlight w:val="none"/>
              </w:rPr>
              <w:t>体检人数约</w:t>
            </w:r>
            <w:r>
              <w:rPr>
                <w:rFonts w:hAnsi="宋体"/>
                <w:snapToGrid w:val="0"/>
                <w:color w:val="000000"/>
                <w:sz w:val="24"/>
                <w:szCs w:val="24"/>
                <w:highlight w:val="none"/>
              </w:rPr>
              <w:t>为</w:t>
            </w:r>
            <w:r>
              <w:rPr>
                <w:rFonts w:hint="eastAsia" w:hAnsi="宋体"/>
                <w:snapToGrid w:val="0"/>
                <w:color w:val="000000"/>
                <w:sz w:val="24"/>
                <w:szCs w:val="24"/>
                <w:highlight w:val="none"/>
              </w:rPr>
              <w:t>220</w:t>
            </w:r>
            <w:r>
              <w:rPr>
                <w:rFonts w:hAnsi="宋体"/>
                <w:snapToGrid w:val="0"/>
                <w:color w:val="000000"/>
                <w:sz w:val="24"/>
                <w:szCs w:val="24"/>
                <w:highlight w:val="none"/>
              </w:rPr>
              <w:t>人次。</w:t>
            </w:r>
            <w:r>
              <w:rPr>
                <w:rFonts w:hint="eastAsia"/>
                <w:color w:val="000000"/>
                <w:sz w:val="24"/>
                <w:szCs w:val="24"/>
                <w:highlight w:val="none"/>
              </w:rPr>
              <w:t>绿化灌溉用水2.5</w:t>
            </w:r>
            <w:r>
              <w:rPr>
                <w:rFonts w:hint="eastAsia"/>
                <w:sz w:val="24"/>
                <w:szCs w:val="24"/>
                <w:highlight w:val="none"/>
              </w:rPr>
              <w:t>m</w:t>
            </w:r>
            <w:r>
              <w:rPr>
                <w:rFonts w:hint="eastAsia"/>
                <w:sz w:val="24"/>
                <w:szCs w:val="24"/>
                <w:highlight w:val="none"/>
                <w:vertAlign w:val="superscript"/>
              </w:rPr>
              <w:t>3</w:t>
            </w:r>
            <w:r>
              <w:rPr>
                <w:rFonts w:hint="eastAsia"/>
                <w:sz w:val="24"/>
                <w:szCs w:val="24"/>
                <w:highlight w:val="none"/>
              </w:rPr>
              <w:t>/d，总用水量为17.50m</w:t>
            </w:r>
            <w:r>
              <w:rPr>
                <w:rFonts w:hint="eastAsia"/>
                <w:sz w:val="24"/>
                <w:szCs w:val="24"/>
                <w:highlight w:val="none"/>
                <w:vertAlign w:val="superscript"/>
              </w:rPr>
              <w:t>3</w:t>
            </w:r>
            <w:r>
              <w:rPr>
                <w:rFonts w:hint="eastAsia"/>
                <w:sz w:val="24"/>
                <w:szCs w:val="24"/>
                <w:highlight w:val="none"/>
              </w:rPr>
              <w:t>/d（5775</w:t>
            </w:r>
            <w:r>
              <w:rPr>
                <w:sz w:val="24"/>
                <w:szCs w:val="24"/>
                <w:highlight w:val="none"/>
              </w:rPr>
              <w:t>m</w:t>
            </w:r>
            <w:r>
              <w:rPr>
                <w:sz w:val="24"/>
                <w:szCs w:val="24"/>
                <w:highlight w:val="none"/>
                <w:vertAlign w:val="superscript"/>
              </w:rPr>
              <w:t>3</w:t>
            </w:r>
            <w:r>
              <w:rPr>
                <w:sz w:val="24"/>
                <w:szCs w:val="24"/>
                <w:highlight w:val="none"/>
              </w:rPr>
              <w:t>/a</w:t>
            </w:r>
            <w:r>
              <w:rPr>
                <w:rFonts w:hint="eastAsia"/>
                <w:sz w:val="24"/>
                <w:szCs w:val="24"/>
                <w:highlight w:val="none"/>
              </w:rPr>
              <w:t>）。项目用水量统计见表3。</w:t>
            </w:r>
          </w:p>
          <w:p>
            <w:pPr>
              <w:pStyle w:val="6"/>
              <w:adjustRightInd w:val="0"/>
              <w:snapToGrid w:val="0"/>
              <w:spacing w:line="480" w:lineRule="exact"/>
              <w:ind w:firstLine="480" w:firstLineChars="200"/>
              <w:rPr>
                <w:rFonts w:hint="eastAsia"/>
                <w:sz w:val="24"/>
                <w:szCs w:val="24"/>
                <w:highlight w:val="none"/>
              </w:rPr>
            </w:pPr>
            <w:r>
              <w:rPr>
                <w:rFonts w:hAnsi="宋体"/>
                <w:sz w:val="24"/>
                <w:szCs w:val="24"/>
                <w:highlight w:val="none"/>
              </w:rPr>
              <w:t>②</w:t>
            </w:r>
            <w:r>
              <w:rPr>
                <w:sz w:val="24"/>
                <w:szCs w:val="24"/>
                <w:highlight w:val="none"/>
              </w:rPr>
              <w:t>排水：</w:t>
            </w:r>
            <w:r>
              <w:rPr>
                <w:rFonts w:hint="eastAsia"/>
                <w:sz w:val="24"/>
                <w:szCs w:val="24"/>
                <w:highlight w:val="none"/>
              </w:rPr>
              <w:t>项目排水主要为生活污水、体检废水、</w:t>
            </w:r>
            <w:r>
              <w:rPr>
                <w:rFonts w:hint="eastAsia"/>
                <w:color w:val="000000"/>
                <w:sz w:val="24"/>
                <w:szCs w:val="24"/>
                <w:highlight w:val="none"/>
              </w:rPr>
              <w:t>健康养护废水、洗衣废水</w:t>
            </w:r>
            <w:r>
              <w:rPr>
                <w:rFonts w:hint="eastAsia"/>
                <w:color w:val="000000"/>
                <w:sz w:val="24"/>
                <w:szCs w:val="24"/>
                <w:highlight w:val="none"/>
                <w:lang w:eastAsia="zh-CN"/>
              </w:rPr>
              <w:t>。</w:t>
            </w:r>
            <w:r>
              <w:rPr>
                <w:rFonts w:hint="eastAsia"/>
                <w:sz w:val="24"/>
                <w:szCs w:val="24"/>
                <w:highlight w:val="none"/>
                <w:lang w:eastAsia="zh-CN"/>
              </w:rPr>
              <w:t>生活污水经化粪池处理后，排入迁安市人民医院污水处理站处理；医疗废水直接排入迁安市人民医院污水处理站处理，处理后排入管网（与人民医院共用一个排污口），进入迁安市污水处理厂处理。</w:t>
            </w:r>
            <w:r>
              <w:rPr>
                <w:rFonts w:hint="eastAsia"/>
                <w:sz w:val="24"/>
                <w:szCs w:val="24"/>
                <w:highlight w:val="none"/>
              </w:rPr>
              <w:t>排水量按用水量的</w:t>
            </w:r>
            <w:r>
              <w:rPr>
                <w:sz w:val="24"/>
                <w:szCs w:val="24"/>
                <w:highlight w:val="none"/>
              </w:rPr>
              <w:t>80%</w:t>
            </w:r>
            <w:r>
              <w:rPr>
                <w:rFonts w:hint="eastAsia"/>
                <w:sz w:val="24"/>
                <w:szCs w:val="24"/>
                <w:highlight w:val="none"/>
              </w:rPr>
              <w:t>计算，则项目总排水量为14</w:t>
            </w:r>
            <w:r>
              <w:rPr>
                <w:sz w:val="24"/>
                <w:szCs w:val="24"/>
                <w:highlight w:val="none"/>
              </w:rPr>
              <w:t>m</w:t>
            </w:r>
            <w:r>
              <w:rPr>
                <w:sz w:val="24"/>
                <w:szCs w:val="24"/>
                <w:highlight w:val="none"/>
                <w:vertAlign w:val="superscript"/>
              </w:rPr>
              <w:t>3</w:t>
            </w:r>
            <w:r>
              <w:rPr>
                <w:sz w:val="24"/>
                <w:szCs w:val="24"/>
                <w:highlight w:val="none"/>
              </w:rPr>
              <w:t>/d</w:t>
            </w:r>
            <w:r>
              <w:rPr>
                <w:rFonts w:hint="eastAsia"/>
                <w:sz w:val="24"/>
                <w:szCs w:val="24"/>
                <w:highlight w:val="none"/>
              </w:rPr>
              <w:t>（4620</w:t>
            </w:r>
            <w:r>
              <w:rPr>
                <w:sz w:val="24"/>
                <w:szCs w:val="24"/>
                <w:highlight w:val="none"/>
              </w:rPr>
              <w:t>m</w:t>
            </w:r>
            <w:r>
              <w:rPr>
                <w:sz w:val="24"/>
                <w:szCs w:val="24"/>
                <w:highlight w:val="none"/>
                <w:vertAlign w:val="superscript"/>
              </w:rPr>
              <w:t>3</w:t>
            </w:r>
            <w:r>
              <w:rPr>
                <w:sz w:val="24"/>
                <w:szCs w:val="24"/>
                <w:highlight w:val="none"/>
              </w:rPr>
              <w:t>/a</w:t>
            </w:r>
            <w:r>
              <w:rPr>
                <w:rFonts w:hint="eastAsia"/>
                <w:sz w:val="24"/>
                <w:szCs w:val="24"/>
                <w:highlight w:val="none"/>
              </w:rPr>
              <w:t>）。</w:t>
            </w:r>
          </w:p>
          <w:p>
            <w:pPr>
              <w:pStyle w:val="6"/>
              <w:adjustRightInd w:val="0"/>
              <w:snapToGrid w:val="0"/>
              <w:spacing w:line="480" w:lineRule="exact"/>
              <w:rPr>
                <w:sz w:val="24"/>
                <w:szCs w:val="24"/>
                <w:highlight w:val="none"/>
              </w:rPr>
            </w:pPr>
            <w:r>
              <w:rPr>
                <w:sz w:val="24"/>
                <w:szCs w:val="24"/>
                <w:highlight w:val="none"/>
              </w:rPr>
              <w:t>项目用水分析见表</w:t>
            </w:r>
            <w:r>
              <w:rPr>
                <w:rFonts w:hint="eastAsia"/>
                <w:sz w:val="24"/>
                <w:szCs w:val="24"/>
                <w:highlight w:val="none"/>
              </w:rPr>
              <w:t>4</w:t>
            </w:r>
            <w:r>
              <w:rPr>
                <w:sz w:val="24"/>
                <w:szCs w:val="24"/>
                <w:highlight w:val="none"/>
              </w:rPr>
              <w:t>，水平衡图如图1。</w:t>
            </w:r>
          </w:p>
          <w:p>
            <w:pPr>
              <w:pStyle w:val="7"/>
              <w:tabs>
                <w:tab w:val="left" w:pos="1081"/>
              </w:tabs>
              <w:jc w:val="both"/>
              <w:rPr>
                <w:rFonts w:hint="eastAsia"/>
                <w:caps w:val="0"/>
                <w:sz w:val="24"/>
                <w:szCs w:val="24"/>
                <w:highlight w:val="none"/>
              </w:rPr>
            </w:pPr>
          </w:p>
          <w:p>
            <w:pPr>
              <w:rPr>
                <w:rFonts w:hint="eastAsia"/>
                <w:caps w:val="0"/>
                <w:sz w:val="24"/>
                <w:szCs w:val="24"/>
                <w:highlight w:val="none"/>
              </w:rPr>
            </w:pPr>
          </w:p>
          <w:p>
            <w:pPr>
              <w:pStyle w:val="6"/>
              <w:rPr>
                <w:rFonts w:hint="eastAsia"/>
                <w:highlight w:val="none"/>
              </w:rPr>
            </w:pPr>
          </w:p>
          <w:p>
            <w:pPr>
              <w:pStyle w:val="7"/>
              <w:tabs>
                <w:tab w:val="left" w:pos="1081"/>
              </w:tabs>
              <w:jc w:val="center"/>
              <w:rPr>
                <w:rFonts w:hint="eastAsia"/>
                <w:caps w:val="0"/>
                <w:sz w:val="24"/>
                <w:szCs w:val="24"/>
                <w:highlight w:val="none"/>
              </w:rPr>
            </w:pPr>
          </w:p>
          <w:p>
            <w:pPr>
              <w:pStyle w:val="7"/>
              <w:tabs>
                <w:tab w:val="left" w:pos="1081"/>
              </w:tabs>
              <w:jc w:val="center"/>
              <w:rPr>
                <w:caps w:val="0"/>
                <w:sz w:val="24"/>
                <w:szCs w:val="24"/>
                <w:highlight w:val="none"/>
              </w:rPr>
            </w:pPr>
            <w:r>
              <w:rPr>
                <w:rFonts w:hint="eastAsia"/>
                <w:caps w:val="0"/>
                <w:sz w:val="24"/>
                <w:szCs w:val="24"/>
                <w:highlight w:val="none"/>
              </w:rPr>
              <w:t xml:space="preserve">表4    </w:t>
            </w:r>
            <w:r>
              <w:rPr>
                <w:caps w:val="0"/>
                <w:sz w:val="24"/>
                <w:szCs w:val="24"/>
                <w:highlight w:val="none"/>
              </w:rPr>
              <w:t>用水分析表</w:t>
            </w:r>
          </w:p>
          <w:tbl>
            <w:tblPr>
              <w:tblStyle w:val="37"/>
              <w:tblW w:w="88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3"/>
              <w:gridCol w:w="2010"/>
              <w:gridCol w:w="840"/>
              <w:gridCol w:w="1095"/>
              <w:gridCol w:w="1140"/>
              <w:gridCol w:w="1463"/>
              <w:gridCol w:w="15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713"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序号</w:t>
                  </w:r>
                </w:p>
              </w:tc>
              <w:tc>
                <w:tcPr>
                  <w:tcW w:w="2010"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用水单元</w:t>
                  </w:r>
                </w:p>
              </w:tc>
              <w:tc>
                <w:tcPr>
                  <w:tcW w:w="840"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单位</w:t>
                  </w:r>
                </w:p>
              </w:tc>
              <w:tc>
                <w:tcPr>
                  <w:tcW w:w="1095"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用水定额</w:t>
                  </w:r>
                </w:p>
              </w:tc>
              <w:tc>
                <w:tcPr>
                  <w:tcW w:w="1140"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数量（人）</w:t>
                  </w:r>
                </w:p>
              </w:tc>
              <w:tc>
                <w:tcPr>
                  <w:tcW w:w="1463"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用水量（m</w:t>
                  </w:r>
                  <w:r>
                    <w:rPr>
                      <w:rFonts w:hint="default" w:ascii="Times New Roman" w:hAnsi="Times New Roman" w:cs="Times New Roman"/>
                      <w:color w:val="000000"/>
                      <w:szCs w:val="21"/>
                      <w:highlight w:val="none"/>
                      <w:vertAlign w:val="superscript"/>
                    </w:rPr>
                    <w:t>3</w:t>
                  </w:r>
                  <w:r>
                    <w:rPr>
                      <w:rFonts w:hint="default" w:ascii="Times New Roman" w:hAnsi="Times New Roman" w:cs="Times New Roman"/>
                      <w:color w:val="000000"/>
                      <w:szCs w:val="21"/>
                      <w:highlight w:val="none"/>
                    </w:rPr>
                    <w:t>/d）</w:t>
                  </w:r>
                </w:p>
              </w:tc>
              <w:tc>
                <w:tcPr>
                  <w:tcW w:w="1557" w:type="dxa"/>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排水量（m</w:t>
                  </w:r>
                  <w:r>
                    <w:rPr>
                      <w:rFonts w:hint="default" w:ascii="Times New Roman" w:hAnsi="Times New Roman" w:cs="Times New Roman"/>
                      <w:color w:val="000000"/>
                      <w:szCs w:val="21"/>
                      <w:highlight w:val="none"/>
                      <w:vertAlign w:val="superscript"/>
                    </w:rPr>
                    <w:t>3</w:t>
                  </w:r>
                  <w:r>
                    <w:rPr>
                      <w:rFonts w:hint="default" w:ascii="Times New Roman" w:hAnsi="Times New Roman" w:cs="Times New Roman"/>
                      <w:color w:val="000000"/>
                      <w:szCs w:val="21"/>
                      <w:highlight w:val="none"/>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体检用水</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L/人·d</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10</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220</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2.2</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医务人员用水</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L/人·d</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40</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60</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2.4</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3</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绿化灌溉用水</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m</w:t>
                  </w:r>
                  <w:r>
                    <w:rPr>
                      <w:rFonts w:hint="default" w:ascii="Times New Roman" w:hAnsi="Times New Roman" w:cs="Times New Roman"/>
                      <w:color w:val="000000"/>
                      <w:szCs w:val="21"/>
                      <w:highlight w:val="none"/>
                      <w:vertAlign w:val="superscript"/>
                      <w:lang w:val="en-US" w:eastAsia="zh-CN"/>
                    </w:rPr>
                    <w:t>3</w:t>
                  </w:r>
                  <w:r>
                    <w:rPr>
                      <w:rFonts w:hint="default" w:ascii="Times New Roman" w:hAnsi="Times New Roman" w:cs="Times New Roman"/>
                      <w:color w:val="000000"/>
                      <w:szCs w:val="21"/>
                      <w:highlight w:val="none"/>
                      <w:lang w:val="en-US" w:eastAsia="zh-CN"/>
                    </w:rPr>
                    <w:t>/d</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2.5</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4</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洗衣用水</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L/床·d</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80</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80</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6.40</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5.12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5</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健康养护用水</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L/床·d</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50</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80</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4.00</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3.20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1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6</w:t>
                  </w:r>
                </w:p>
              </w:tc>
              <w:tc>
                <w:tcPr>
                  <w:tcW w:w="201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小计</w:t>
                  </w:r>
                </w:p>
              </w:tc>
              <w:tc>
                <w:tcPr>
                  <w:tcW w:w="8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1095"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1140"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1463"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17.50</w:t>
                  </w:r>
                </w:p>
              </w:tc>
              <w:tc>
                <w:tcPr>
                  <w:tcW w:w="1557" w:type="dxa"/>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14.00</w:t>
                  </w:r>
                </w:p>
              </w:tc>
            </w:tr>
          </w:tbl>
          <w:p>
            <w:pPr>
              <w:pStyle w:val="6"/>
              <w:adjustRightInd w:val="0"/>
              <w:snapToGrid w:val="0"/>
              <w:spacing w:line="360" w:lineRule="auto"/>
              <w:ind w:firstLine="0"/>
              <w:rPr>
                <w:rFonts w:hint="eastAsia" w:eastAsia="宋体"/>
                <w:b/>
                <w:sz w:val="24"/>
                <w:szCs w:val="24"/>
                <w:highlight w:val="none"/>
                <w:lang w:eastAsia="zh-CN"/>
              </w:rPr>
            </w:pPr>
          </w:p>
          <w:p>
            <w:pPr>
              <w:pStyle w:val="6"/>
              <w:adjustRightInd w:val="0"/>
              <w:snapToGrid w:val="0"/>
              <w:spacing w:line="360" w:lineRule="auto"/>
              <w:ind w:firstLine="0"/>
              <w:rPr>
                <w:rFonts w:hint="eastAsia" w:eastAsia="宋体"/>
                <w:b/>
                <w:sz w:val="24"/>
                <w:szCs w:val="24"/>
                <w:highlight w:val="none"/>
                <w:lang w:eastAsia="zh-CN"/>
              </w:rPr>
            </w:pPr>
            <w:r>
              <w:rPr>
                <w:rFonts w:hint="eastAsia" w:eastAsia="宋体"/>
                <w:b/>
                <w:sz w:val="24"/>
                <w:szCs w:val="24"/>
                <w:highlight w:val="none"/>
                <w:lang w:eastAsia="zh-CN"/>
              </w:rPr>
              <w:drawing>
                <wp:inline distT="0" distB="0" distL="114300" distR="114300">
                  <wp:extent cx="5604510" cy="3016885"/>
                  <wp:effectExtent l="0" t="0" r="0" b="0"/>
                  <wp:docPr id="5" name="ECB019B1-382A-4266-B25C-5B523AA43C14-1" descr="C:/Users/ADMINI~1/AppData/Local/Temp/qt_temp.Id3392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CB019B1-382A-4266-B25C-5B523AA43C14-1" descr="C:/Users/ADMINI~1/AppData/Local/Temp/qt_temp.Id3392qt_temp"/>
                          <pic:cNvPicPr>
                            <a:picLocks noChangeAspect="1"/>
                          </pic:cNvPicPr>
                        </pic:nvPicPr>
                        <pic:blipFill>
                          <a:blip r:embed="rId8"/>
                          <a:srcRect b="14550"/>
                          <a:stretch>
                            <a:fillRect/>
                          </a:stretch>
                        </pic:blipFill>
                        <pic:spPr>
                          <a:xfrm>
                            <a:off x="0" y="0"/>
                            <a:ext cx="5604510" cy="3016885"/>
                          </a:xfrm>
                          <a:prstGeom prst="rect">
                            <a:avLst/>
                          </a:prstGeom>
                          <a:noFill/>
                          <a:ln>
                            <a:noFill/>
                          </a:ln>
                        </pic:spPr>
                      </pic:pic>
                    </a:graphicData>
                  </a:graphic>
                </wp:inline>
              </w:drawing>
            </w:r>
          </w:p>
          <w:p>
            <w:pPr>
              <w:jc w:val="center"/>
              <w:rPr>
                <w:rFonts w:hint="eastAsia"/>
                <w:b/>
                <w:sz w:val="24"/>
                <w:szCs w:val="24"/>
                <w:highlight w:val="none"/>
              </w:rPr>
            </w:pPr>
            <w:r>
              <w:rPr>
                <w:rFonts w:hint="eastAsia" w:ascii="宋体" w:hAnsi="宋体"/>
                <w:b/>
                <w:sz w:val="24"/>
                <w:szCs w:val="24"/>
                <w:highlight w:val="none"/>
              </w:rPr>
              <w:t>图1</w:t>
            </w:r>
            <w:r>
              <w:rPr>
                <w:rFonts w:ascii="宋体" w:hAnsi="宋体"/>
                <w:b/>
                <w:sz w:val="24"/>
                <w:szCs w:val="24"/>
                <w:highlight w:val="none"/>
              </w:rPr>
              <w:t xml:space="preserve">  </w:t>
            </w:r>
            <w:r>
              <w:rPr>
                <w:rFonts w:hint="eastAsia" w:ascii="宋体" w:hAnsi="宋体"/>
                <w:b/>
                <w:sz w:val="24"/>
                <w:szCs w:val="24"/>
                <w:highlight w:val="none"/>
              </w:rPr>
              <w:t>项目</w:t>
            </w:r>
            <w:r>
              <w:rPr>
                <w:rFonts w:hAnsi="宋体"/>
                <w:b/>
                <w:sz w:val="24"/>
                <w:szCs w:val="24"/>
                <w:highlight w:val="none"/>
              </w:rPr>
              <w:t>水平衡图</w:t>
            </w:r>
            <w:r>
              <w:rPr>
                <w:b/>
                <w:sz w:val="24"/>
                <w:szCs w:val="24"/>
                <w:highlight w:val="none"/>
              </w:rPr>
              <w:t>(m</w:t>
            </w:r>
            <w:r>
              <w:rPr>
                <w:b/>
                <w:sz w:val="28"/>
                <w:szCs w:val="28"/>
                <w:highlight w:val="none"/>
                <w:vertAlign w:val="superscript"/>
              </w:rPr>
              <w:t>3</w:t>
            </w:r>
            <w:r>
              <w:rPr>
                <w:b/>
                <w:sz w:val="24"/>
                <w:szCs w:val="24"/>
                <w:highlight w:val="none"/>
              </w:rPr>
              <w:t>/d)</w:t>
            </w:r>
          </w:p>
          <w:p>
            <w:pPr>
              <w:pStyle w:val="6"/>
              <w:spacing w:line="500" w:lineRule="exact"/>
              <w:ind w:firstLine="482" w:firstLineChars="200"/>
              <w:rPr>
                <w:rFonts w:hint="eastAsia"/>
                <w:b/>
                <w:sz w:val="24"/>
                <w:szCs w:val="24"/>
                <w:highlight w:val="none"/>
              </w:rPr>
            </w:pPr>
            <w:r>
              <w:rPr>
                <w:rFonts w:hint="eastAsia"/>
                <w:b/>
                <w:sz w:val="24"/>
                <w:szCs w:val="24"/>
                <w:highlight w:val="none"/>
              </w:rPr>
              <w:t>13、劳动定员及工作制度</w:t>
            </w:r>
          </w:p>
          <w:p>
            <w:pPr>
              <w:pStyle w:val="6"/>
              <w:spacing w:line="480" w:lineRule="exact"/>
              <w:ind w:firstLine="480" w:firstLineChars="200"/>
              <w:rPr>
                <w:rFonts w:hint="eastAsia"/>
                <w:b/>
                <w:sz w:val="24"/>
                <w:szCs w:val="24"/>
                <w:highlight w:val="none"/>
              </w:rPr>
            </w:pPr>
            <w:r>
              <w:rPr>
                <w:rFonts w:hint="eastAsia"/>
                <w:sz w:val="24"/>
                <w:szCs w:val="24"/>
                <w:highlight w:val="none"/>
              </w:rPr>
              <w:t>项目配备职工人员共计约60人，年工作天数330天。</w:t>
            </w:r>
          </w:p>
          <w:p>
            <w:pPr>
              <w:pStyle w:val="6"/>
              <w:spacing w:line="500" w:lineRule="exact"/>
              <w:ind w:firstLine="482" w:firstLineChars="200"/>
              <w:rPr>
                <w:rFonts w:hint="eastAsia"/>
                <w:b/>
                <w:sz w:val="24"/>
                <w:szCs w:val="24"/>
                <w:highlight w:val="none"/>
              </w:rPr>
            </w:pPr>
            <w:r>
              <w:rPr>
                <w:rFonts w:hint="eastAsia"/>
                <w:b/>
                <w:sz w:val="24"/>
                <w:szCs w:val="24"/>
                <w:highlight w:val="none"/>
              </w:rPr>
              <w:t>14、项目实施进度</w:t>
            </w:r>
          </w:p>
          <w:p>
            <w:pPr>
              <w:pStyle w:val="6"/>
              <w:spacing w:line="480" w:lineRule="exact"/>
              <w:ind w:firstLine="480" w:firstLineChars="200"/>
              <w:rPr>
                <w:rFonts w:hint="eastAsia"/>
                <w:sz w:val="24"/>
                <w:szCs w:val="24"/>
                <w:highlight w:val="none"/>
              </w:rPr>
            </w:pPr>
            <w:r>
              <w:rPr>
                <w:rFonts w:hint="eastAsia"/>
                <w:sz w:val="24"/>
                <w:szCs w:val="24"/>
                <w:highlight w:val="none"/>
              </w:rPr>
              <w:t>项目预计于2021年6月建成投产。</w:t>
            </w:r>
          </w:p>
          <w:p>
            <w:pPr>
              <w:pStyle w:val="5"/>
              <w:tabs>
                <w:tab w:val="left" w:pos="420"/>
              </w:tabs>
              <w:spacing w:before="0" w:line="480" w:lineRule="exact"/>
              <w:ind w:firstLine="482" w:firstLineChars="200"/>
              <w:rPr>
                <w:sz w:val="24"/>
                <w:szCs w:val="24"/>
                <w:highlight w:val="none"/>
              </w:rPr>
            </w:pPr>
            <w:r>
              <w:rPr>
                <w:bCs/>
                <w:sz w:val="24"/>
                <w:szCs w:val="24"/>
                <w:highlight w:val="none"/>
              </w:rPr>
              <w:t>15</w:t>
            </w:r>
            <w:r>
              <w:rPr>
                <w:rFonts w:hint="eastAsia"/>
                <w:bCs/>
                <w:sz w:val="24"/>
                <w:szCs w:val="24"/>
                <w:highlight w:val="none"/>
              </w:rPr>
              <w:t>、</w:t>
            </w:r>
            <w:r>
              <w:rPr>
                <w:bCs/>
                <w:sz w:val="24"/>
                <w:szCs w:val="24"/>
                <w:highlight w:val="none"/>
              </w:rPr>
              <w:t>“</w:t>
            </w:r>
            <w:r>
              <w:rPr>
                <w:rFonts w:hint="eastAsia"/>
                <w:bCs/>
                <w:sz w:val="24"/>
                <w:szCs w:val="24"/>
                <w:highlight w:val="none"/>
              </w:rPr>
              <w:t>三线一单</w:t>
            </w:r>
            <w:r>
              <w:rPr>
                <w:bCs/>
                <w:sz w:val="24"/>
                <w:szCs w:val="24"/>
                <w:highlight w:val="none"/>
              </w:rPr>
              <w:t>”</w:t>
            </w:r>
            <w:r>
              <w:rPr>
                <w:rFonts w:hint="eastAsia"/>
                <w:bCs/>
                <w:sz w:val="24"/>
                <w:szCs w:val="24"/>
                <w:highlight w:val="none"/>
              </w:rPr>
              <w:t>政策符合性分析</w:t>
            </w:r>
          </w:p>
          <w:p>
            <w:pPr>
              <w:spacing w:line="480" w:lineRule="exact"/>
              <w:ind w:firstLine="480" w:firstLineChars="200"/>
              <w:rPr>
                <w:sz w:val="24"/>
                <w:szCs w:val="24"/>
                <w:highlight w:val="none"/>
              </w:rPr>
            </w:pPr>
            <w:r>
              <w:rPr>
                <w:rFonts w:hint="eastAsia"/>
                <w:sz w:val="24"/>
                <w:highlight w:val="none"/>
                <w:lang w:val="zh-TW" w:eastAsia="zh-TW"/>
              </w:rPr>
              <w:t>根据《关于以改善环境质量为核心加强环境影响评价管理的通知》</w:t>
            </w:r>
            <w:r>
              <w:rPr>
                <w:rFonts w:hint="eastAsia"/>
                <w:sz w:val="24"/>
                <w:highlight w:val="none"/>
              </w:rPr>
              <w:t>（</w:t>
            </w:r>
            <w:r>
              <w:rPr>
                <w:rFonts w:hint="eastAsia"/>
                <w:sz w:val="24"/>
                <w:highlight w:val="none"/>
                <w:lang w:val="zh-TW" w:eastAsia="zh-TW"/>
              </w:rPr>
              <w:t>环评[2016]150号</w:t>
            </w:r>
            <w:r>
              <w:rPr>
                <w:rFonts w:hint="eastAsia"/>
                <w:sz w:val="24"/>
                <w:highlight w:val="none"/>
              </w:rPr>
              <w:t>），</w:t>
            </w:r>
            <w:r>
              <w:rPr>
                <w:rFonts w:hint="eastAsia"/>
                <w:sz w:val="24"/>
                <w:highlight w:val="none"/>
                <w:lang w:val="zh-TW" w:eastAsia="zh-TW"/>
              </w:rPr>
              <w:t>要求以生态保护红线、环境质量底线、资源利用上线和环境准入负面清单</w:t>
            </w:r>
            <w:r>
              <w:rPr>
                <w:rFonts w:hint="eastAsia"/>
                <w:sz w:val="24"/>
                <w:highlight w:val="none"/>
              </w:rPr>
              <w:t>（</w:t>
            </w:r>
            <w:r>
              <w:rPr>
                <w:rFonts w:hint="eastAsia"/>
                <w:sz w:val="24"/>
                <w:highlight w:val="none"/>
                <w:lang w:val="zh-TW" w:eastAsia="zh-TW"/>
              </w:rPr>
              <w:t>以下简称“三线一单”）为手段，强化空间、总量和准入环境管理。项目</w:t>
            </w:r>
            <w:r>
              <w:rPr>
                <w:rFonts w:hint="eastAsia"/>
                <w:sz w:val="24"/>
                <w:highlight w:val="none"/>
              </w:rPr>
              <w:t>建设与</w:t>
            </w:r>
            <w:r>
              <w:rPr>
                <w:rFonts w:hint="eastAsia"/>
                <w:sz w:val="24"/>
                <w:highlight w:val="none"/>
                <w:lang w:val="zh-TW" w:eastAsia="zh-TW"/>
              </w:rPr>
              <w:t>上述要求的</w:t>
            </w:r>
            <w:r>
              <w:rPr>
                <w:rFonts w:hint="eastAsia"/>
                <w:sz w:val="24"/>
                <w:highlight w:val="none"/>
              </w:rPr>
              <w:t>符合性</w:t>
            </w:r>
            <w:r>
              <w:rPr>
                <w:rFonts w:hint="eastAsia"/>
                <w:sz w:val="24"/>
                <w:highlight w:val="none"/>
                <w:lang w:val="zh-TW" w:eastAsia="zh-TW"/>
              </w:rPr>
              <w:t>分析如下：</w:t>
            </w:r>
          </w:p>
          <w:p>
            <w:pPr>
              <w:adjustRightInd w:val="0"/>
              <w:snapToGrid w:val="0"/>
              <w:spacing w:line="360" w:lineRule="auto"/>
              <w:ind w:firstLine="480" w:firstLineChars="200"/>
              <w:rPr>
                <w:highlight w:val="none"/>
              </w:rPr>
            </w:pPr>
            <w:r>
              <w:rPr>
                <w:sz w:val="24"/>
                <w:highlight w:val="none"/>
                <w:lang w:val="zh-TW" w:eastAsia="zh-TW"/>
              </w:rPr>
              <w:t>根据《关于以改善环境质量为核心加强环境影响评价管理的通知》</w:t>
            </w:r>
            <w:r>
              <w:rPr>
                <w:sz w:val="24"/>
                <w:highlight w:val="none"/>
              </w:rPr>
              <w:t>（</w:t>
            </w:r>
            <w:r>
              <w:rPr>
                <w:sz w:val="24"/>
                <w:highlight w:val="none"/>
                <w:lang w:val="zh-TW" w:eastAsia="zh-TW"/>
              </w:rPr>
              <w:t>环评[2016]150号</w:t>
            </w:r>
            <w:r>
              <w:rPr>
                <w:sz w:val="24"/>
                <w:highlight w:val="none"/>
              </w:rPr>
              <w:t>），</w:t>
            </w:r>
            <w:r>
              <w:rPr>
                <w:sz w:val="24"/>
                <w:highlight w:val="none"/>
                <w:lang w:val="zh-TW" w:eastAsia="zh-TW"/>
              </w:rPr>
              <w:t>要求以生态保护红线、环境质量底线、资源利用上线和环境准入负面清单</w:t>
            </w:r>
            <w:r>
              <w:rPr>
                <w:sz w:val="24"/>
                <w:highlight w:val="none"/>
              </w:rPr>
              <w:t>（</w:t>
            </w:r>
            <w:r>
              <w:rPr>
                <w:sz w:val="24"/>
                <w:highlight w:val="none"/>
                <w:lang w:val="zh-TW" w:eastAsia="zh-TW"/>
              </w:rPr>
              <w:t>以下简称“三线一单”）为手段，强化空间、总量和准入环境管理。项目</w:t>
            </w:r>
            <w:r>
              <w:rPr>
                <w:sz w:val="24"/>
                <w:highlight w:val="none"/>
              </w:rPr>
              <w:t>建设与</w:t>
            </w:r>
            <w:r>
              <w:rPr>
                <w:sz w:val="24"/>
                <w:highlight w:val="none"/>
                <w:lang w:val="zh-TW" w:eastAsia="zh-TW"/>
              </w:rPr>
              <w:t>上述要求的</w:t>
            </w:r>
            <w:r>
              <w:rPr>
                <w:sz w:val="24"/>
                <w:highlight w:val="none"/>
              </w:rPr>
              <w:t>符合性</w:t>
            </w:r>
            <w:r>
              <w:rPr>
                <w:sz w:val="24"/>
                <w:highlight w:val="none"/>
                <w:lang w:val="zh-TW" w:eastAsia="zh-TW"/>
              </w:rPr>
              <w:t>分析如下：</w:t>
            </w:r>
          </w:p>
          <w:p>
            <w:pPr>
              <w:pStyle w:val="89"/>
              <w:spacing w:line="240" w:lineRule="auto"/>
              <w:ind w:firstLine="482"/>
              <w:rPr>
                <w:highlight w:val="none"/>
              </w:rPr>
            </w:pPr>
            <w:r>
              <w:rPr>
                <w:highlight w:val="none"/>
              </w:rPr>
              <w:t>表</w:t>
            </w:r>
            <w:r>
              <w:rPr>
                <w:rFonts w:hint="eastAsia"/>
                <w:highlight w:val="none"/>
              </w:rPr>
              <w:t>5</w:t>
            </w:r>
            <w:r>
              <w:rPr>
                <w:highlight w:val="none"/>
              </w:rPr>
              <w:t xml:space="preserve">   “三线一单”符合性分析</w:t>
            </w:r>
          </w:p>
          <w:tbl>
            <w:tblPr>
              <w:tblStyle w:val="36"/>
              <w:tblW w:w="88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84"/>
              <w:gridCol w:w="7114"/>
              <w:gridCol w:w="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1" w:hRule="atLeast"/>
              </w:trPr>
              <w:tc>
                <w:tcPr>
                  <w:tcW w:w="984"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b w:val="0"/>
                      <w:bCs w:val="0"/>
                      <w:kern w:val="0"/>
                      <w:sz w:val="21"/>
                      <w:szCs w:val="21"/>
                      <w:highlight w:val="none"/>
                    </w:rPr>
                  </w:pPr>
                  <w:r>
                    <w:rPr>
                      <w:rFonts w:ascii="Times New Roman" w:hAnsi="Times New Roman" w:eastAsia="宋体" w:cs="Times New Roman"/>
                      <w:b w:val="0"/>
                      <w:bCs w:val="0"/>
                      <w:kern w:val="0"/>
                      <w:sz w:val="21"/>
                      <w:szCs w:val="21"/>
                      <w:highlight w:val="none"/>
                    </w:rPr>
                    <w:t>文件要求</w:t>
                  </w:r>
                </w:p>
              </w:tc>
              <w:tc>
                <w:tcPr>
                  <w:tcW w:w="7114"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b w:val="0"/>
                      <w:bCs w:val="0"/>
                      <w:kern w:val="0"/>
                      <w:sz w:val="21"/>
                      <w:szCs w:val="21"/>
                      <w:highlight w:val="none"/>
                    </w:rPr>
                  </w:pPr>
                  <w:r>
                    <w:rPr>
                      <w:rFonts w:ascii="Times New Roman" w:hAnsi="Times New Roman" w:eastAsia="宋体" w:cs="Times New Roman"/>
                      <w:b w:val="0"/>
                      <w:bCs w:val="0"/>
                      <w:kern w:val="0"/>
                      <w:sz w:val="21"/>
                      <w:szCs w:val="21"/>
                      <w:highlight w:val="none"/>
                    </w:rPr>
                    <w:t>拟建项目情况</w:t>
                  </w:r>
                </w:p>
              </w:tc>
              <w:tc>
                <w:tcPr>
                  <w:tcW w:w="740"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b w:val="0"/>
                      <w:bCs w:val="0"/>
                      <w:kern w:val="0"/>
                      <w:sz w:val="21"/>
                      <w:szCs w:val="21"/>
                      <w:highlight w:val="none"/>
                    </w:rPr>
                  </w:pPr>
                  <w:r>
                    <w:rPr>
                      <w:rFonts w:ascii="Times New Roman" w:hAnsi="Times New Roman" w:eastAsia="宋体" w:cs="Times New Roman"/>
                      <w:b w:val="0"/>
                      <w:bCs w:val="0"/>
                      <w:kern w:val="0"/>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39" w:hRule="atLeast"/>
              </w:trPr>
              <w:tc>
                <w:tcPr>
                  <w:tcW w:w="984" w:type="dxa"/>
                  <w:vMerge w:val="restart"/>
                  <w:noWrap w:val="0"/>
                  <w:vAlign w:val="center"/>
                </w:tcPr>
                <w:p>
                  <w:pPr>
                    <w:pStyle w:val="59"/>
                    <w:shd w:val="clear" w:color="auto" w:fill="auto"/>
                    <w:spacing w:line="240" w:lineRule="auto"/>
                    <w:ind w:firstLine="0" w:firstLineChars="0"/>
                    <w:jc w:val="center"/>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在项目环评中建立“三线一单”约束机制，强化准入管理</w:t>
                  </w:r>
                </w:p>
              </w:tc>
              <w:tc>
                <w:tcPr>
                  <w:tcW w:w="7114" w:type="dxa"/>
                  <w:noWrap w:val="0"/>
                  <w:vAlign w:val="center"/>
                </w:tcPr>
                <w:p>
                  <w:pPr>
                    <w:pStyle w:val="59"/>
                    <w:shd w:val="clear" w:color="auto" w:fill="auto"/>
                    <w:spacing w:line="240" w:lineRule="auto"/>
                    <w:ind w:firstLine="0" w:firstLineChars="0"/>
                    <w:jc w:val="left"/>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环境质量底线：</w:t>
                  </w:r>
                </w:p>
                <w:p>
                  <w:pPr>
                    <w:pStyle w:val="59"/>
                    <w:shd w:val="clear" w:color="auto" w:fill="auto"/>
                    <w:spacing w:line="240" w:lineRule="auto"/>
                    <w:ind w:firstLine="0" w:firstLineChars="0"/>
                    <w:jc w:val="left"/>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rPr>
                    <w:t>(1)</w:t>
                  </w:r>
                  <w:r>
                    <w:rPr>
                      <w:rFonts w:ascii="Times New Roman" w:hAnsi="Times New Roman" w:eastAsia="宋体" w:cs="Times New Roman"/>
                      <w:kern w:val="0"/>
                      <w:sz w:val="21"/>
                      <w:szCs w:val="21"/>
                      <w:highlight w:val="none"/>
                    </w:rPr>
                    <w:t>环境空气：项目选址区域为环境空气功能区二类区，执行二级标准。根据环境空气质量现状的数据，迁安地区为不达标区域，</w:t>
                  </w:r>
                  <w:r>
                    <w:rPr>
                      <w:rFonts w:hint="eastAsia" w:ascii="Times New Roman" w:hAnsi="Times New Roman" w:eastAsia="宋体" w:cs="Times New Roman"/>
                      <w:kern w:val="0"/>
                      <w:sz w:val="21"/>
                      <w:szCs w:val="21"/>
                      <w:highlight w:val="none"/>
                    </w:rPr>
                    <w:t>运行</w:t>
                  </w:r>
                  <w:r>
                    <w:rPr>
                      <w:rFonts w:ascii="Times New Roman" w:hAnsi="Times New Roman" w:eastAsia="宋体" w:cs="Times New Roman"/>
                      <w:kern w:val="0"/>
                      <w:sz w:val="21"/>
                      <w:szCs w:val="21"/>
                      <w:highlight w:val="none"/>
                    </w:rPr>
                    <w:t>过程中</w:t>
                  </w:r>
                  <w:r>
                    <w:rPr>
                      <w:rFonts w:hint="eastAsia" w:ascii="Times New Roman" w:hAnsi="Times New Roman" w:eastAsia="宋体" w:cs="Times New Roman"/>
                      <w:kern w:val="0"/>
                      <w:sz w:val="21"/>
                      <w:szCs w:val="21"/>
                      <w:highlight w:val="none"/>
                    </w:rPr>
                    <w:t>无废气产生</w:t>
                  </w:r>
                  <w:r>
                    <w:rPr>
                      <w:rFonts w:hint="eastAsia" w:ascii="Times New Roman" w:hAnsi="Times New Roman" w:eastAsia="宋体" w:cs="Times New Roman"/>
                      <w:kern w:val="0"/>
                      <w:sz w:val="21"/>
                      <w:szCs w:val="21"/>
                      <w:highlight w:val="none"/>
                      <w:lang w:eastAsia="zh-CN"/>
                    </w:rPr>
                    <w:t>。</w:t>
                  </w:r>
                </w:p>
                <w:p>
                  <w:pPr>
                    <w:pStyle w:val="59"/>
                    <w:shd w:val="clear" w:color="auto" w:fill="auto"/>
                    <w:spacing w:line="240" w:lineRule="auto"/>
                    <w:ind w:firstLine="0" w:firstLineChars="0"/>
                    <w:jc w:val="left"/>
                    <w:rPr>
                      <w:rFonts w:hint="eastAsia" w:ascii="Times New Roman" w:hAnsi="Times New Roman" w:eastAsia="宋体" w:cs="Times New Roman"/>
                      <w:kern w:val="0"/>
                      <w:sz w:val="21"/>
                      <w:szCs w:val="21"/>
                      <w:highlight w:val="none"/>
                    </w:rPr>
                  </w:pPr>
                  <w:r>
                    <w:rPr>
                      <w:rFonts w:hint="eastAsia" w:ascii="Times New Roman" w:hAnsi="Times New Roman" w:eastAsia="宋体" w:cs="Times New Roman"/>
                      <w:kern w:val="0"/>
                      <w:sz w:val="21"/>
                      <w:szCs w:val="21"/>
                      <w:highlight w:val="none"/>
                    </w:rPr>
                    <w:t>(2)</w:t>
                  </w:r>
                  <w:r>
                    <w:rPr>
                      <w:rFonts w:ascii="Times New Roman" w:hAnsi="Times New Roman" w:eastAsia="宋体" w:cs="Times New Roman"/>
                      <w:kern w:val="0"/>
                      <w:sz w:val="21"/>
                      <w:szCs w:val="21"/>
                      <w:highlight w:val="none"/>
                    </w:rPr>
                    <w:t>水环境：</w:t>
                  </w:r>
                  <w:r>
                    <w:rPr>
                      <w:rFonts w:hint="eastAsia" w:ascii="Times New Roman" w:hAnsi="Times New Roman" w:eastAsia="宋体" w:cs="Times New Roman"/>
                      <w:kern w:val="0"/>
                      <w:sz w:val="21"/>
                      <w:szCs w:val="21"/>
                      <w:highlight w:val="none"/>
                    </w:rPr>
                    <w:t>项目废水依托迁安市人民医院污水处理站，处理后排入污水管网。</w:t>
                  </w:r>
                </w:p>
                <w:p>
                  <w:pPr>
                    <w:pStyle w:val="59"/>
                    <w:shd w:val="clear" w:color="auto" w:fill="auto"/>
                    <w:spacing w:line="240" w:lineRule="auto"/>
                    <w:ind w:firstLine="0" w:firstLineChars="0"/>
                    <w:jc w:val="left"/>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(3)声环境：项目采取了完善的噪声控制措施，经预测，厂界噪声达标排放。</w:t>
                  </w:r>
                </w:p>
              </w:tc>
              <w:tc>
                <w:tcPr>
                  <w:tcW w:w="740"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797" w:hRule="atLeast"/>
              </w:trPr>
              <w:tc>
                <w:tcPr>
                  <w:tcW w:w="984" w:type="dxa"/>
                  <w:vMerge w:val="continue"/>
                  <w:noWrap w:val="0"/>
                  <w:vAlign w:val="center"/>
                </w:tcPr>
                <w:p>
                  <w:pPr>
                    <w:pStyle w:val="59"/>
                    <w:shd w:val="clear" w:color="auto" w:fill="auto"/>
                    <w:spacing w:line="240" w:lineRule="auto"/>
                    <w:ind w:firstLine="0" w:firstLineChars="0"/>
                    <w:jc w:val="center"/>
                    <w:rPr>
                      <w:rFonts w:ascii="Times New Roman" w:hAnsi="Times New Roman" w:eastAsia="宋体" w:cs="Times New Roman"/>
                      <w:color w:val="0000FF"/>
                      <w:kern w:val="0"/>
                      <w:sz w:val="21"/>
                      <w:szCs w:val="21"/>
                      <w:highlight w:val="none"/>
                    </w:rPr>
                  </w:pPr>
                </w:p>
              </w:tc>
              <w:tc>
                <w:tcPr>
                  <w:tcW w:w="7114" w:type="dxa"/>
                  <w:noWrap w:val="0"/>
                  <w:vAlign w:val="center"/>
                </w:tcPr>
                <w:p>
                  <w:pPr>
                    <w:jc w:val="left"/>
                    <w:rPr>
                      <w:rFonts w:hint="eastAsia"/>
                      <w:kern w:val="0"/>
                      <w:szCs w:val="21"/>
                      <w:highlight w:val="none"/>
                    </w:rPr>
                  </w:pPr>
                  <w:r>
                    <w:rPr>
                      <w:rFonts w:hint="eastAsia"/>
                      <w:kern w:val="0"/>
                      <w:szCs w:val="21"/>
                      <w:highlight w:val="none"/>
                    </w:rPr>
                    <w:t>资源利用上线：本项目所用的土地资源为迁安市人民医院原有占地，不新增占地，土地资源无制约；根据冀政函（2017）48号《河北省人民政府关于公布平原区地下水超采区、禁采区和限采区范围的通知》，项目不在地下水超采区、禁采区和限采区范围内。项目建成后用水量为5775m</w:t>
                  </w:r>
                  <w:r>
                    <w:rPr>
                      <w:rFonts w:hint="eastAsia"/>
                      <w:kern w:val="0"/>
                      <w:szCs w:val="21"/>
                      <w:highlight w:val="none"/>
                      <w:vertAlign w:val="superscript"/>
                    </w:rPr>
                    <w:t>3</w:t>
                  </w:r>
                  <w:r>
                    <w:rPr>
                      <w:rFonts w:hint="eastAsia"/>
                      <w:kern w:val="0"/>
                      <w:szCs w:val="21"/>
                      <w:highlight w:val="none"/>
                    </w:rPr>
                    <w:t>/a，用水依托迁安市市政供水管网，供水能够满足项目使用。项目用电由当地电网引接，年用电量178.53万kWh，能够满足项目生产、生活用电要求。</w:t>
                  </w:r>
                </w:p>
                <w:p>
                  <w:pPr>
                    <w:jc w:val="left"/>
                    <w:rPr>
                      <w:kern w:val="0"/>
                      <w:szCs w:val="21"/>
                      <w:highlight w:val="none"/>
                    </w:rPr>
                  </w:pPr>
                  <w:r>
                    <w:rPr>
                      <w:rFonts w:hint="eastAsia"/>
                      <w:kern w:val="0"/>
                      <w:szCs w:val="21"/>
                      <w:highlight w:val="none"/>
                    </w:rPr>
                    <w:t>项目所使用的能源主要为水、电，能源能够满足企业生产需求，不会超出当地资源利用上线。项目所使用的能源主要为水、电，能源能够满足企业生产需求，不会超出当地资源利用上线。</w:t>
                  </w:r>
                </w:p>
              </w:tc>
              <w:tc>
                <w:tcPr>
                  <w:tcW w:w="740"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39" w:hRule="atLeast"/>
              </w:trPr>
              <w:tc>
                <w:tcPr>
                  <w:tcW w:w="984" w:type="dxa"/>
                  <w:vMerge w:val="continue"/>
                  <w:noWrap w:val="0"/>
                  <w:vAlign w:val="center"/>
                </w:tcPr>
                <w:p>
                  <w:pPr>
                    <w:pStyle w:val="59"/>
                    <w:shd w:val="clear" w:color="auto" w:fill="auto"/>
                    <w:spacing w:line="240" w:lineRule="auto"/>
                    <w:ind w:firstLine="0" w:firstLineChars="0"/>
                    <w:jc w:val="center"/>
                    <w:rPr>
                      <w:rFonts w:ascii="Times New Roman" w:hAnsi="Times New Roman" w:eastAsia="宋体" w:cs="Times New Roman"/>
                      <w:color w:val="0000FF"/>
                      <w:kern w:val="0"/>
                      <w:sz w:val="21"/>
                      <w:szCs w:val="21"/>
                      <w:highlight w:val="none"/>
                    </w:rPr>
                  </w:pPr>
                </w:p>
              </w:tc>
              <w:tc>
                <w:tcPr>
                  <w:tcW w:w="7114" w:type="dxa"/>
                  <w:noWrap w:val="0"/>
                  <w:vAlign w:val="center"/>
                </w:tcPr>
                <w:p>
                  <w:pPr>
                    <w:jc w:val="left"/>
                    <w:rPr>
                      <w:kern w:val="0"/>
                      <w:szCs w:val="21"/>
                      <w:highlight w:val="none"/>
                    </w:rPr>
                  </w:pPr>
                  <w:r>
                    <w:rPr>
                      <w:rFonts w:hint="eastAsia"/>
                      <w:kern w:val="0"/>
                      <w:szCs w:val="21"/>
                      <w:highlight w:val="none"/>
                    </w:rPr>
                    <w:t>生态保护红线：项目位于迁安市惠安大街北侧，</w:t>
                  </w:r>
                  <w:r>
                    <w:rPr>
                      <w:rFonts w:hint="eastAsia"/>
                      <w:kern w:val="0"/>
                      <w:szCs w:val="21"/>
                      <w:highlight w:val="none"/>
                      <w:lang w:val="en-US" w:eastAsia="zh-CN"/>
                    </w:rPr>
                    <w:t>根</w:t>
                  </w:r>
                  <w:bookmarkStart w:id="14" w:name="_GoBack"/>
                  <w:bookmarkEnd w:id="14"/>
                  <w:r>
                    <w:rPr>
                      <w:rFonts w:hint="eastAsia"/>
                      <w:kern w:val="0"/>
                      <w:szCs w:val="21"/>
                      <w:highlight w:val="none"/>
                    </w:rPr>
                    <w:t>据《迁安市生态保护红线分布图》（第三次对接修改后）和迁安市生态保护红线图(见图2），项目不在生态保护红线范围内。</w:t>
                  </w:r>
                </w:p>
              </w:tc>
              <w:tc>
                <w:tcPr>
                  <w:tcW w:w="740"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49" w:hRule="atLeast"/>
              </w:trPr>
              <w:tc>
                <w:tcPr>
                  <w:tcW w:w="984" w:type="dxa"/>
                  <w:vMerge w:val="continue"/>
                  <w:noWrap w:val="0"/>
                  <w:vAlign w:val="center"/>
                </w:tcPr>
                <w:p>
                  <w:pPr>
                    <w:pStyle w:val="59"/>
                    <w:shd w:val="clear" w:color="auto" w:fill="auto"/>
                    <w:spacing w:line="240" w:lineRule="auto"/>
                    <w:ind w:firstLine="0" w:firstLineChars="0"/>
                    <w:jc w:val="center"/>
                    <w:rPr>
                      <w:rFonts w:ascii="Times New Roman" w:hAnsi="Times New Roman" w:eastAsia="宋体" w:cs="Times New Roman"/>
                      <w:color w:val="0000FF"/>
                      <w:kern w:val="0"/>
                      <w:sz w:val="21"/>
                      <w:szCs w:val="21"/>
                      <w:highlight w:val="none"/>
                    </w:rPr>
                  </w:pPr>
                </w:p>
              </w:tc>
              <w:tc>
                <w:tcPr>
                  <w:tcW w:w="7114" w:type="dxa"/>
                  <w:noWrap w:val="0"/>
                  <w:vAlign w:val="center"/>
                </w:tcPr>
                <w:p>
                  <w:pPr>
                    <w:pStyle w:val="59"/>
                    <w:shd w:val="clear" w:color="auto" w:fill="auto"/>
                    <w:spacing w:line="240" w:lineRule="auto"/>
                    <w:ind w:firstLine="0" w:firstLineChars="0"/>
                    <w:jc w:val="left"/>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环境准入负面清单：</w:t>
                  </w:r>
                  <w:r>
                    <w:rPr>
                      <w:rFonts w:ascii="Times New Roman" w:hAnsi="Times New Roman" w:eastAsia="宋体" w:cs="Times New Roman"/>
                      <w:kern w:val="0"/>
                      <w:sz w:val="21"/>
                      <w:szCs w:val="21"/>
                      <w:highlight w:val="none"/>
                      <w:lang w:val="zh-TW" w:eastAsia="zh-TW"/>
                    </w:rPr>
                    <w:t>项目</w:t>
                  </w:r>
                  <w:r>
                    <w:rPr>
                      <w:rFonts w:hint="eastAsia" w:ascii="Times New Roman" w:hAnsi="Times New Roman" w:eastAsia="宋体" w:cs="Times New Roman"/>
                      <w:kern w:val="0"/>
                      <w:sz w:val="21"/>
                      <w:szCs w:val="21"/>
                      <w:highlight w:val="none"/>
                      <w:lang w:val="zh-TW"/>
                    </w:rPr>
                    <w:t>新建</w:t>
                  </w:r>
                  <w:r>
                    <w:rPr>
                      <w:rFonts w:ascii="Times New Roman" w:hAnsi="Times New Roman" w:eastAsia="宋体" w:cs="Times New Roman"/>
                      <w:kern w:val="0"/>
                      <w:sz w:val="21"/>
                      <w:szCs w:val="21"/>
                      <w:highlight w:val="none"/>
                      <w:lang w:val="zh-TW" w:eastAsia="zh-TW"/>
                    </w:rPr>
                    <w:t>项目，</w:t>
                  </w:r>
                  <w:r>
                    <w:rPr>
                      <w:rFonts w:hint="eastAsia" w:ascii="Times New Roman" w:hAnsi="Times New Roman" w:eastAsia="宋体" w:cs="Times New Roman"/>
                      <w:kern w:val="0"/>
                      <w:sz w:val="21"/>
                      <w:szCs w:val="21"/>
                      <w:highlight w:val="none"/>
                    </w:rPr>
                    <w:t>根据《产业结构调整指导目录》(2019年修本)，项目属于第三十七条“卫生健康”中第5条“医疗卫生服务设施建设”，为鼓励类项目，符合国家产业政策。</w:t>
                  </w:r>
                </w:p>
              </w:tc>
              <w:tc>
                <w:tcPr>
                  <w:tcW w:w="740" w:type="dxa"/>
                  <w:noWrap w:val="0"/>
                  <w:vAlign w:val="center"/>
                </w:tcPr>
                <w:p>
                  <w:pPr>
                    <w:pStyle w:val="59"/>
                    <w:shd w:val="clear" w:color="auto" w:fill="auto"/>
                    <w:spacing w:line="240" w:lineRule="auto"/>
                    <w:ind w:firstLine="0" w:firstLineChars="0"/>
                    <w:jc w:val="center"/>
                    <w:rPr>
                      <w:rFonts w:ascii="Times New Roman" w:hAnsi="Times New Roman" w:eastAsia="宋体" w:cs="Times New Roman"/>
                      <w:kern w:val="0"/>
                      <w:sz w:val="21"/>
                      <w:szCs w:val="21"/>
                      <w:highlight w:val="none"/>
                    </w:rPr>
                  </w:pPr>
                  <w:r>
                    <w:rPr>
                      <w:rFonts w:ascii="Times New Roman" w:hAnsi="Times New Roman" w:eastAsia="宋体" w:cs="Times New Roman"/>
                      <w:kern w:val="0"/>
                      <w:sz w:val="21"/>
                      <w:szCs w:val="21"/>
                      <w:highlight w:val="none"/>
                    </w:rPr>
                    <w:t>符合</w:t>
                  </w:r>
                </w:p>
              </w:tc>
            </w:tr>
          </w:tbl>
          <w:p>
            <w:pPr>
              <w:pStyle w:val="89"/>
              <w:spacing w:line="240" w:lineRule="auto"/>
              <w:ind w:firstLine="482"/>
              <w:rPr>
                <w:highlight w:val="none"/>
              </w:rPr>
            </w:pPr>
          </w:p>
          <w:p>
            <w:pPr>
              <w:pStyle w:val="89"/>
              <w:spacing w:line="240" w:lineRule="auto"/>
              <w:ind w:firstLine="482"/>
              <w:rPr>
                <w:highlight w:val="none"/>
              </w:rPr>
            </w:pPr>
          </w:p>
          <w:p>
            <w:pPr>
              <w:pStyle w:val="89"/>
              <w:spacing w:line="240" w:lineRule="auto"/>
              <w:ind w:firstLine="482"/>
              <w:rPr>
                <w:highlight w:val="none"/>
              </w:rPr>
            </w:pPr>
          </w:p>
          <w:p>
            <w:pPr>
              <w:pStyle w:val="89"/>
              <w:spacing w:line="240" w:lineRule="auto"/>
              <w:ind w:firstLine="482"/>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0" w:firstLineChars="0"/>
              <w:jc w:val="both"/>
              <w:rPr>
                <w:highlight w:val="none"/>
              </w:rPr>
            </w:pPr>
          </w:p>
          <w:p>
            <w:pPr>
              <w:pStyle w:val="89"/>
              <w:spacing w:line="240" w:lineRule="auto"/>
              <w:ind w:firstLine="482"/>
              <w:rPr>
                <w:highlight w:val="none"/>
              </w:rPr>
            </w:pPr>
          </w:p>
          <w:p>
            <w:pPr>
              <w:pStyle w:val="89"/>
              <w:spacing w:line="240" w:lineRule="auto"/>
              <w:ind w:left="0" w:leftChars="0" w:firstLine="0" w:firstLineChars="0"/>
              <w:jc w:val="both"/>
              <w:rPr>
                <w:highlight w:val="none"/>
              </w:rPr>
            </w:pPr>
            <w:r>
              <w:rPr>
                <w:rFonts w:ascii="宋体" w:hAnsi="宋体" w:cs="宋体"/>
                <w:b/>
                <w:kern w:val="0"/>
                <w:highlight w:val="none"/>
              </w:rPr>
              <w:drawing>
                <wp:anchor distT="0" distB="0" distL="114300" distR="114300" simplePos="0" relativeHeight="251659264" behindDoc="0" locked="0" layoutInCell="1" allowOverlap="1">
                  <wp:simplePos x="0" y="0"/>
                  <wp:positionH relativeFrom="column">
                    <wp:posOffset>124460</wp:posOffset>
                  </wp:positionH>
                  <wp:positionV relativeFrom="paragraph">
                    <wp:posOffset>41275</wp:posOffset>
                  </wp:positionV>
                  <wp:extent cx="5310505" cy="6327140"/>
                  <wp:effectExtent l="19050" t="19050" r="23495" b="35560"/>
                  <wp:wrapSquare wrapText="bothSides"/>
                  <wp:docPr id="1" name="图片 69" descr="迁安市生态保护红线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9" descr="迁安市生态保护红线1"/>
                          <pic:cNvPicPr>
                            <a:picLocks noChangeAspect="1"/>
                          </pic:cNvPicPr>
                        </pic:nvPicPr>
                        <pic:blipFill>
                          <a:blip r:embed="rId9"/>
                          <a:stretch>
                            <a:fillRect/>
                          </a:stretch>
                        </pic:blipFill>
                        <pic:spPr>
                          <a:xfrm>
                            <a:off x="0" y="0"/>
                            <a:ext cx="5310505" cy="6327140"/>
                          </a:xfrm>
                          <a:prstGeom prst="rect">
                            <a:avLst/>
                          </a:prstGeom>
                          <a:noFill/>
                          <a:ln w="19050" cap="flat" cmpd="sng">
                            <a:solidFill>
                              <a:srgbClr val="000000"/>
                            </a:solidFill>
                            <a:prstDash val="solid"/>
                            <a:miter/>
                            <a:headEnd type="none" w="med" len="med"/>
                            <a:tailEnd type="none" w="med" len="med"/>
                          </a:ln>
                        </pic:spPr>
                      </pic:pic>
                    </a:graphicData>
                  </a:graphic>
                </wp:anchor>
              </w:drawing>
            </w:r>
            <w:r>
              <w:rPr>
                <w:highlight w:val="none"/>
              </w:rPr>
              <mc:AlternateContent>
                <mc:Choice Requires="wps">
                  <w:drawing>
                    <wp:anchor distT="0" distB="0" distL="114300" distR="114300" simplePos="0" relativeHeight="251660288" behindDoc="0" locked="0" layoutInCell="1" allowOverlap="1">
                      <wp:simplePos x="0" y="0"/>
                      <wp:positionH relativeFrom="column">
                        <wp:posOffset>3369945</wp:posOffset>
                      </wp:positionH>
                      <wp:positionV relativeFrom="paragraph">
                        <wp:posOffset>2773680</wp:posOffset>
                      </wp:positionV>
                      <wp:extent cx="605155" cy="298450"/>
                      <wp:effectExtent l="302895" t="4445" r="6350" b="497205"/>
                      <wp:wrapNone/>
                      <wp:docPr id="2" name="自选图形 15"/>
                      <wp:cNvGraphicFramePr/>
                      <a:graphic xmlns:a="http://schemas.openxmlformats.org/drawingml/2006/main">
                        <a:graphicData uri="http://schemas.microsoft.com/office/word/2010/wordprocessingShape">
                          <wps:wsp>
                            <wps:cNvSpPr/>
                            <wps:spPr>
                              <a:xfrm>
                                <a:off x="0" y="0"/>
                                <a:ext cx="605155" cy="298450"/>
                              </a:xfrm>
                              <a:prstGeom prst="wedgeRectCallout">
                                <a:avLst>
                                  <a:gd name="adj1" fmla="val -95431"/>
                                  <a:gd name="adj2" fmla="val 202977"/>
                                </a:avLst>
                              </a:prstGeom>
                              <a:solidFill>
                                <a:srgbClr val="FFFFFF"/>
                              </a:solidFill>
                              <a:ln w="9525" cap="flat" cmpd="sng">
                                <a:solidFill>
                                  <a:srgbClr val="000000"/>
                                </a:solidFill>
                                <a:prstDash val="sysDot"/>
                                <a:miter/>
                                <a:headEnd type="none" w="med" len="med"/>
                                <a:tailEnd type="triangle" w="med" len="med"/>
                              </a:ln>
                            </wps:spPr>
                            <wps:txbx>
                              <w:txbxContent>
                                <w:p>
                                  <w:pPr>
                                    <w:rPr>
                                      <w:rFonts w:hint="eastAsia"/>
                                    </w:rPr>
                                  </w:pPr>
                                  <w:r>
                                    <w:rPr>
                                      <w:rFonts w:hint="eastAsia"/>
                                    </w:rPr>
                                    <w:t>本项目</w:t>
                                  </w:r>
                                </w:p>
                              </w:txbxContent>
                            </wps:txbx>
                            <wps:bodyPr wrap="square" upright="1"/>
                          </wps:wsp>
                        </a:graphicData>
                      </a:graphic>
                    </wp:anchor>
                  </w:drawing>
                </mc:Choice>
                <mc:Fallback>
                  <w:pict>
                    <v:shape id="自选图形 15" o:spid="_x0000_s1026" o:spt="61" type="#_x0000_t61" style="position:absolute;left:0pt;margin-left:265.35pt;margin-top:218.4pt;height:23.5pt;width:47.65pt;z-index:251660288;mso-width-relative:page;mso-height-relative:page;" fillcolor="#FFFFFF" filled="t" stroked="t" coordsize="21600,21600" o:gfxdata="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Duyxf3aAAAACwEAAA8A&#10;AAAAAAAAAQAgAAAAIgAAAGRycy9kb3ducmV2LnhtbFBLAQIUABQAAAAIAIdO4kDQTbEyTgIAAKEE&#10;AAAOAAAAAAAAAAEAIAAAACkBAABkcnMvZTJvRG9jLnhtbFBLBQYAAAAABgAGAFkBAADpBQAAAAA=&#10;" adj="-9813,54643">
                      <v:fill on="t" focussize="0,0"/>
                      <v:stroke color="#000000" joinstyle="miter" dashstyle="1 1" endarrow="block"/>
                      <v:imagedata o:title=""/>
                      <o:lock v:ext="edit" aspectratio="f"/>
                      <v:textbox>
                        <w:txbxContent>
                          <w:p>
                            <w:pPr>
                              <w:rPr>
                                <w:rFonts w:hint="eastAsia"/>
                              </w:rPr>
                            </w:pPr>
                            <w:r>
                              <w:rPr>
                                <w:rFonts w:hint="eastAsia"/>
                              </w:rPr>
                              <w:t>本项目</w:t>
                            </w:r>
                          </w:p>
                        </w:txbxContent>
                      </v:textbox>
                    </v:shape>
                  </w:pict>
                </mc:Fallback>
              </mc:AlternateContent>
            </w:r>
            <w:r>
              <w:rPr>
                <w:highlight w:val="none"/>
              </w:rPr>
              <mc:AlternateContent>
                <mc:Choice Requires="wps">
                  <w:drawing>
                    <wp:anchor distT="0" distB="0" distL="114300" distR="114300" simplePos="0" relativeHeight="251661312" behindDoc="0" locked="0" layoutInCell="1" allowOverlap="1">
                      <wp:simplePos x="0" y="0"/>
                      <wp:positionH relativeFrom="column">
                        <wp:posOffset>3046730</wp:posOffset>
                      </wp:positionH>
                      <wp:positionV relativeFrom="paragraph">
                        <wp:posOffset>3506470</wp:posOffset>
                      </wp:positionV>
                      <wp:extent cx="75565" cy="75565"/>
                      <wp:effectExtent l="4445" t="4445" r="15240" b="15240"/>
                      <wp:wrapNone/>
                      <wp:docPr id="3" name="矩形 16"/>
                      <wp:cNvGraphicFramePr/>
                      <a:graphic xmlns:a="http://schemas.openxmlformats.org/drawingml/2006/main">
                        <a:graphicData uri="http://schemas.microsoft.com/office/word/2010/wordprocessingShape">
                          <wps:wsp>
                            <wps:cNvSpPr/>
                            <wps:spPr>
                              <a:xfrm>
                                <a:off x="0" y="0"/>
                                <a:ext cx="75565" cy="75565"/>
                              </a:xfrm>
                              <a:prstGeom prst="rect">
                                <a:avLst/>
                              </a:prstGeom>
                              <a:solidFill>
                                <a:srgbClr val="000000"/>
                              </a:solidFill>
                              <a:ln w="9525" cap="flat" cmpd="sng">
                                <a:solidFill>
                                  <a:srgbClr val="000000"/>
                                </a:solidFill>
                                <a:prstDash val="sysDot"/>
                                <a:miter/>
                                <a:headEnd type="none" w="med" len="med"/>
                                <a:tailEnd type="triangle" w="med" len="med"/>
                              </a:ln>
                            </wps:spPr>
                            <wps:txbx>
                              <w:txbxContent>
                                <w:p>
                                  <w:pPr>
                                    <w:jc w:val="center"/>
                                  </w:pPr>
                                </w:p>
                              </w:txbxContent>
                            </wps:txbx>
                            <wps:bodyPr wrap="square" upright="1"/>
                          </wps:wsp>
                        </a:graphicData>
                      </a:graphic>
                    </wp:anchor>
                  </w:drawing>
                </mc:Choice>
                <mc:Fallback>
                  <w:pict>
                    <v:rect id="矩形 16" o:spid="_x0000_s1026" o:spt="1" style="position:absolute;left:0pt;margin-left:239.9pt;margin-top:276.1pt;height:5.95pt;width:5.95pt;z-index:251661312;mso-width-relative:page;mso-height-relative:page;" fillcolor="#000000" filled="t" stroked="t" coordsize="21600,21600" o:gfxdata="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uOCYS2wAAAAsBAAAPAAAAAAAAAAEAIAAA&#10;ACIAAABkcnMvZG93bnJldi54bWxQSwECFAAUAAAACACHTuJAzclm1AkCAAA6BAAADgAAAAAAAAAB&#10;ACAAAAAqAQAAZHJzL2Uyb0RvYy54bWxQSwUGAAAAAAYABgBZAQAApQUAAAAA&#10;">
                      <v:fill on="t" focussize="0,0"/>
                      <v:stroke color="#000000" joinstyle="miter" dashstyle="1 1" endarrow="block"/>
                      <v:imagedata o:title=""/>
                      <o:lock v:ext="edit" aspectratio="f"/>
                      <v:textbox>
                        <w:txbxContent>
                          <w:p>
                            <w:pPr>
                              <w:jc w:val="center"/>
                            </w:pPr>
                          </w:p>
                        </w:txbxContent>
                      </v:textbox>
                    </v:rect>
                  </w:pict>
                </mc:Fallback>
              </mc:AlternateContent>
            </w:r>
          </w:p>
          <w:p>
            <w:pPr>
              <w:jc w:val="center"/>
              <w:rPr>
                <w:rFonts w:hint="eastAsia" w:hAnsi="宋体"/>
                <w:b/>
                <w:sz w:val="24"/>
                <w:highlight w:val="none"/>
              </w:rPr>
            </w:pPr>
            <w:r>
              <w:rPr>
                <w:rFonts w:hint="eastAsia" w:hAnsi="宋体"/>
                <w:b/>
                <w:sz w:val="24"/>
                <w:highlight w:val="none"/>
              </w:rPr>
              <w:t>图2    迁安市生态保护红线分布图</w:t>
            </w:r>
          </w:p>
          <w:p>
            <w:pPr>
              <w:snapToGrid w:val="0"/>
              <w:spacing w:line="480" w:lineRule="exact"/>
              <w:ind w:firstLine="480" w:firstLineChars="200"/>
              <w:rPr>
                <w:rFonts w:hint="eastAsia"/>
                <w:bCs/>
                <w:sz w:val="24"/>
                <w:highlight w:val="none"/>
              </w:rPr>
            </w:pPr>
          </w:p>
          <w:p>
            <w:pPr>
              <w:snapToGrid w:val="0"/>
              <w:spacing w:line="480" w:lineRule="exact"/>
              <w:rPr>
                <w:rFonts w:hint="eastAsia"/>
                <w:bCs/>
                <w:sz w:val="24"/>
                <w:highlight w:val="none"/>
              </w:rPr>
            </w:pPr>
          </w:p>
          <w:p>
            <w:pPr>
              <w:snapToGrid w:val="0"/>
              <w:spacing w:line="480" w:lineRule="exact"/>
              <w:rPr>
                <w:rFonts w:hint="eastAsia"/>
                <w:bCs/>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8" w:hRule="atLeast"/>
          <w:jc w:val="center"/>
        </w:trPr>
        <w:tc>
          <w:tcPr>
            <w:tcW w:w="9045" w:type="dxa"/>
            <w:gridSpan w:val="8"/>
            <w:noWrap w:val="0"/>
            <w:vAlign w:val="top"/>
          </w:tcPr>
          <w:p>
            <w:pPr>
              <w:adjustRightInd w:val="0"/>
              <w:snapToGrid w:val="0"/>
              <w:spacing w:line="500" w:lineRule="exact"/>
              <w:rPr>
                <w:b/>
                <w:sz w:val="28"/>
                <w:highlight w:val="none"/>
              </w:rPr>
            </w:pPr>
            <w:r>
              <w:rPr>
                <w:b/>
                <w:sz w:val="28"/>
                <w:highlight w:val="none"/>
              </w:rPr>
              <w:t>与本项目有关的现有污染情况及主要环境问题：</w:t>
            </w:r>
          </w:p>
          <w:p>
            <w:pPr>
              <w:pStyle w:val="6"/>
              <w:spacing w:line="480" w:lineRule="exact"/>
              <w:ind w:firstLine="480" w:firstLineChars="200"/>
              <w:rPr>
                <w:rFonts w:hint="eastAsia"/>
                <w:sz w:val="24"/>
                <w:szCs w:val="24"/>
                <w:highlight w:val="none"/>
              </w:rPr>
            </w:pPr>
            <w:r>
              <w:rPr>
                <w:rFonts w:hint="eastAsia" w:ascii="宋体" w:hAnsi="宋体" w:cs="宋体"/>
                <w:sz w:val="24"/>
                <w:highlight w:val="none"/>
              </w:rPr>
              <w:t>迁安市健康体检管理中心新建项目</w:t>
            </w:r>
            <w:r>
              <w:rPr>
                <w:rFonts w:hint="eastAsia" w:ascii="宋体" w:hAnsi="宋体" w:cs="宋体"/>
                <w:sz w:val="24"/>
                <w:highlight w:val="none"/>
                <w:lang w:eastAsia="zh-CN"/>
              </w:rPr>
              <w:t>是将迁安市人民医院宿舍楼进行装修改造成为体检中心</w:t>
            </w:r>
            <w:r>
              <w:rPr>
                <w:rFonts w:hint="eastAsia"/>
                <w:sz w:val="24"/>
                <w:szCs w:val="24"/>
                <w:highlight w:val="none"/>
              </w:rPr>
              <w:t>，不存在原有环境污染问题。</w:t>
            </w:r>
          </w:p>
          <w:p>
            <w:pPr>
              <w:pStyle w:val="6"/>
              <w:spacing w:line="480" w:lineRule="exact"/>
              <w:ind w:firstLine="480" w:firstLineChars="200"/>
              <w:rPr>
                <w:rFonts w:hint="eastAsia"/>
                <w:sz w:val="24"/>
                <w:szCs w:val="24"/>
                <w:highlight w:val="none"/>
              </w:rPr>
            </w:pPr>
          </w:p>
          <w:p>
            <w:pPr>
              <w:pStyle w:val="6"/>
              <w:spacing w:line="480" w:lineRule="exact"/>
              <w:ind w:firstLineChars="200"/>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spacing w:line="500" w:lineRule="exact"/>
              <w:rPr>
                <w:rFonts w:hint="eastAsia"/>
                <w:highlight w:val="none"/>
              </w:rPr>
            </w:pPr>
          </w:p>
          <w:p>
            <w:pPr>
              <w:jc w:val="left"/>
              <w:rPr>
                <w:rFonts w:hint="eastAsia"/>
                <w:highlight w:val="none"/>
              </w:rPr>
            </w:pPr>
          </w:p>
          <w:p>
            <w:pPr>
              <w:jc w:val="left"/>
              <w:rPr>
                <w:rFonts w:hint="eastAsia"/>
                <w:highlight w:val="none"/>
              </w:rPr>
            </w:pPr>
          </w:p>
        </w:tc>
      </w:tr>
    </w:tbl>
    <w:p>
      <w:pPr>
        <w:spacing w:line="0" w:lineRule="atLeast"/>
        <w:outlineLvl w:val="0"/>
        <w:rPr>
          <w:b/>
          <w:kern w:val="24"/>
          <w:sz w:val="32"/>
          <w:szCs w:val="32"/>
          <w:highlight w:val="none"/>
        </w:rPr>
      </w:pPr>
      <w:r>
        <w:rPr>
          <w:b/>
          <w:kern w:val="24"/>
          <w:sz w:val="32"/>
          <w:szCs w:val="32"/>
          <w:highlight w:val="none"/>
        </w:rPr>
        <w:br w:type="page"/>
      </w:r>
      <w:r>
        <w:rPr>
          <w:b/>
          <w:kern w:val="24"/>
          <w:sz w:val="32"/>
          <w:szCs w:val="32"/>
          <w:highlight w:val="none"/>
        </w:rPr>
        <w:t>建设项目所在地自然环境社会环境简况</w:t>
      </w:r>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2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9121" w:type="dxa"/>
            <w:noWrap w:val="0"/>
            <w:vAlign w:val="top"/>
          </w:tcPr>
          <w:p>
            <w:pPr>
              <w:spacing w:line="460" w:lineRule="exact"/>
              <w:rPr>
                <w:b/>
                <w:kern w:val="24"/>
                <w:sz w:val="28"/>
                <w:szCs w:val="28"/>
                <w:highlight w:val="none"/>
              </w:rPr>
            </w:pPr>
            <w:r>
              <w:rPr>
                <w:b/>
                <w:kern w:val="24"/>
                <w:sz w:val="28"/>
                <w:szCs w:val="28"/>
                <w:highlight w:val="none"/>
              </w:rPr>
              <w:t>自然环境简况(地形、地貌、地质、气候、气象、水文、植被、生物多样性等)：</w:t>
            </w:r>
          </w:p>
          <w:p>
            <w:pPr>
              <w:spacing w:line="440" w:lineRule="exact"/>
              <w:ind w:firstLine="480"/>
              <w:rPr>
                <w:b/>
                <w:snapToGrid w:val="0"/>
                <w:sz w:val="24"/>
                <w:highlight w:val="none"/>
              </w:rPr>
            </w:pPr>
            <w:r>
              <w:rPr>
                <w:b/>
                <w:snapToGrid w:val="0"/>
                <w:sz w:val="24"/>
                <w:highlight w:val="none"/>
              </w:rPr>
              <w:t>1、地貌与位置</w:t>
            </w:r>
          </w:p>
          <w:p>
            <w:pPr>
              <w:spacing w:line="480" w:lineRule="exact"/>
              <w:ind w:firstLine="482"/>
              <w:rPr>
                <w:sz w:val="24"/>
                <w:highlight w:val="none"/>
              </w:rPr>
            </w:pPr>
            <w:r>
              <w:rPr>
                <w:sz w:val="24"/>
                <w:highlight w:val="none"/>
              </w:rPr>
              <w:t>迁安市位于河北省东北部、唐山市东北部，为唐山市所辖县级市，地处北纬39°51'～40°15'，东经118°26'～118°55'之间，东与秦皇岛卢龙县交界，南连滦县，西接迁西县，北与秦皇岛市青龙满族自治县相望。长城横贯迁安市北部，成为迁安市与青龙满族自治县的界墙。全市东西横距39 km，南北纵横45</w:t>
            </w:r>
            <w:r>
              <w:rPr>
                <w:rFonts w:hint="eastAsia"/>
                <w:sz w:val="24"/>
                <w:highlight w:val="none"/>
              </w:rPr>
              <w:t xml:space="preserve"> </w:t>
            </w:r>
            <w:r>
              <w:rPr>
                <w:sz w:val="24"/>
                <w:highlight w:val="none"/>
              </w:rPr>
              <w:t>km，总面积达1208 km</w:t>
            </w:r>
            <w:r>
              <w:rPr>
                <w:sz w:val="24"/>
                <w:highlight w:val="none"/>
                <w:vertAlign w:val="superscript"/>
              </w:rPr>
              <w:t>2</w:t>
            </w:r>
            <w:r>
              <w:rPr>
                <w:sz w:val="24"/>
                <w:highlight w:val="none"/>
              </w:rPr>
              <w:t>。县城西距北京225 km，距天津160 km，东距秦皇岛75 km。西南距唐山市区60 km，交通方便。</w:t>
            </w:r>
          </w:p>
          <w:p>
            <w:pPr>
              <w:spacing w:line="480" w:lineRule="exact"/>
              <w:ind w:firstLine="482"/>
              <w:rPr>
                <w:sz w:val="24"/>
                <w:highlight w:val="none"/>
              </w:rPr>
            </w:pPr>
            <w:r>
              <w:rPr>
                <w:rFonts w:hint="eastAsia" w:ascii="宋体" w:hAnsi="宋体" w:cs="宋体"/>
                <w:sz w:val="24"/>
                <w:highlight w:val="none"/>
              </w:rPr>
              <w:t>迁安市健康体检管理中心新建项目</w:t>
            </w:r>
            <w:r>
              <w:rPr>
                <w:rFonts w:hint="eastAsia"/>
                <w:sz w:val="24"/>
                <w:szCs w:val="24"/>
                <w:highlight w:val="none"/>
              </w:rPr>
              <w:t>位于</w:t>
            </w:r>
            <w:r>
              <w:rPr>
                <w:rFonts w:hint="eastAsia" w:ascii="宋体" w:hAnsi="宋体"/>
                <w:sz w:val="24"/>
                <w:szCs w:val="24"/>
                <w:highlight w:val="none"/>
              </w:rPr>
              <w:t>迁安市惠安大街北侧</w:t>
            </w:r>
            <w:r>
              <w:rPr>
                <w:sz w:val="24"/>
                <w:szCs w:val="24"/>
                <w:highlight w:val="none"/>
              </w:rPr>
              <w:t>，</w:t>
            </w:r>
            <w:r>
              <w:rPr>
                <w:rFonts w:hint="eastAsia"/>
                <w:sz w:val="24"/>
                <w:szCs w:val="24"/>
                <w:highlight w:val="none"/>
                <w:lang w:eastAsia="zh-CN"/>
              </w:rPr>
              <w:t>人民医院院内，</w:t>
            </w:r>
            <w:r>
              <w:rPr>
                <w:rFonts w:hint="eastAsia"/>
                <w:sz w:val="24"/>
                <w:szCs w:val="24"/>
                <w:highlight w:val="none"/>
              </w:rPr>
              <w:t>中心地理坐标为</w:t>
            </w:r>
            <w:r>
              <w:rPr>
                <w:sz w:val="24"/>
                <w:szCs w:val="24"/>
                <w:highlight w:val="none"/>
              </w:rPr>
              <w:t>北纬</w:t>
            </w:r>
            <w:r>
              <w:rPr>
                <w:rFonts w:hint="eastAsia"/>
                <w:sz w:val="24"/>
                <w:szCs w:val="24"/>
                <w:highlight w:val="none"/>
              </w:rPr>
              <w:t>39</w:t>
            </w:r>
            <w:r>
              <w:rPr>
                <w:sz w:val="24"/>
                <w:szCs w:val="24"/>
                <w:highlight w:val="none"/>
              </w:rPr>
              <w:t>°</w:t>
            </w:r>
            <w:r>
              <w:rPr>
                <w:rFonts w:hint="eastAsia"/>
                <w:sz w:val="24"/>
                <w:szCs w:val="24"/>
                <w:highlight w:val="none"/>
              </w:rPr>
              <w:t>59</w:t>
            </w:r>
            <w:r>
              <w:rPr>
                <w:sz w:val="24"/>
                <w:szCs w:val="24"/>
                <w:highlight w:val="none"/>
              </w:rPr>
              <w:t>′</w:t>
            </w:r>
            <w:r>
              <w:rPr>
                <w:rFonts w:hint="eastAsia"/>
                <w:sz w:val="24"/>
                <w:szCs w:val="24"/>
                <w:highlight w:val="none"/>
              </w:rPr>
              <w:t>13.91</w:t>
            </w:r>
            <w:r>
              <w:rPr>
                <w:sz w:val="24"/>
                <w:szCs w:val="24"/>
                <w:highlight w:val="none"/>
              </w:rPr>
              <w:t>″、东经118°</w:t>
            </w:r>
            <w:r>
              <w:rPr>
                <w:rFonts w:hint="eastAsia"/>
                <w:sz w:val="24"/>
                <w:szCs w:val="24"/>
                <w:highlight w:val="none"/>
              </w:rPr>
              <w:t>43</w:t>
            </w:r>
            <w:r>
              <w:rPr>
                <w:sz w:val="24"/>
                <w:szCs w:val="24"/>
                <w:highlight w:val="none"/>
              </w:rPr>
              <w:t>′</w:t>
            </w:r>
            <w:r>
              <w:rPr>
                <w:rFonts w:hint="eastAsia"/>
                <w:sz w:val="24"/>
                <w:szCs w:val="24"/>
                <w:highlight w:val="none"/>
              </w:rPr>
              <w:t>29.96</w:t>
            </w:r>
            <w:r>
              <w:rPr>
                <w:sz w:val="24"/>
                <w:szCs w:val="24"/>
                <w:highlight w:val="none"/>
              </w:rPr>
              <w:t>″</w:t>
            </w:r>
            <w:r>
              <w:rPr>
                <w:kern w:val="0"/>
                <w:sz w:val="24"/>
                <w:highlight w:val="none"/>
              </w:rPr>
              <w:t>，地理位置见附图1</w:t>
            </w:r>
            <w:r>
              <w:rPr>
                <w:spacing w:val="-6"/>
                <w:sz w:val="24"/>
                <w:highlight w:val="none"/>
              </w:rPr>
              <w:t>。</w:t>
            </w:r>
          </w:p>
          <w:p>
            <w:pPr>
              <w:spacing w:line="440" w:lineRule="exact"/>
              <w:ind w:firstLine="480"/>
              <w:rPr>
                <w:b/>
                <w:snapToGrid w:val="0"/>
                <w:sz w:val="24"/>
                <w:highlight w:val="none"/>
              </w:rPr>
            </w:pPr>
            <w:r>
              <w:rPr>
                <w:b/>
                <w:snapToGrid w:val="0"/>
                <w:sz w:val="24"/>
                <w:highlight w:val="none"/>
              </w:rPr>
              <w:t>2、气候气象</w:t>
            </w:r>
          </w:p>
          <w:p>
            <w:pPr>
              <w:spacing w:line="480" w:lineRule="exact"/>
              <w:ind w:firstLine="482"/>
              <w:rPr>
                <w:sz w:val="24"/>
                <w:highlight w:val="none"/>
              </w:rPr>
            </w:pPr>
            <w:r>
              <w:rPr>
                <w:rFonts w:hint="eastAsia"/>
                <w:sz w:val="24"/>
                <w:highlight w:val="none"/>
              </w:rPr>
              <w:t>迁安市属暖温带季风气候，冬季最低气温-26.7℃，夏季最高气温为38.6℃，多年平均气温10.1℃。年最大降水量1152mm，日最大降雨量344.8mm，降水多集中在7、8月份，多年平均降水量675.6mm。全年主导风向西北风，夏季主导风向东南风，冬季主导风向西北风，年平均风速2.5m/s，静风频率28%，多年平均无霜期168天。本地区蒸发量大于降雨量，年平均蒸发量1882.5mm，常形成干旱季节。</w:t>
            </w:r>
          </w:p>
          <w:p>
            <w:pPr>
              <w:spacing w:line="480" w:lineRule="exact"/>
              <w:ind w:firstLine="482"/>
              <w:rPr>
                <w:snapToGrid w:val="0"/>
                <w:sz w:val="24"/>
                <w:highlight w:val="none"/>
              </w:rPr>
            </w:pPr>
            <w:r>
              <w:rPr>
                <w:sz w:val="24"/>
                <w:highlight w:val="none"/>
              </w:rPr>
              <w:t>市境夏季多东南风，冬季多西北风，春秋两季为冬季风和夏季风的过度季节，风向多变。年平均大风日数99d，年平均风速2.5 m/s。春季大风日数占全年的44.9%。</w:t>
            </w:r>
          </w:p>
          <w:p>
            <w:pPr>
              <w:spacing w:line="440" w:lineRule="exact"/>
              <w:ind w:firstLine="480"/>
              <w:rPr>
                <w:b/>
                <w:snapToGrid w:val="0"/>
                <w:sz w:val="24"/>
                <w:highlight w:val="none"/>
              </w:rPr>
            </w:pPr>
            <w:r>
              <w:rPr>
                <w:b/>
                <w:snapToGrid w:val="0"/>
                <w:sz w:val="24"/>
                <w:highlight w:val="none"/>
              </w:rPr>
              <w:t>3、地表水系</w:t>
            </w:r>
          </w:p>
          <w:p>
            <w:pPr>
              <w:spacing w:line="480" w:lineRule="exact"/>
              <w:ind w:firstLine="482"/>
              <w:rPr>
                <w:snapToGrid w:val="0"/>
                <w:sz w:val="24"/>
                <w:highlight w:val="none"/>
              </w:rPr>
            </w:pPr>
            <w:r>
              <w:rPr>
                <w:snapToGrid w:val="0"/>
                <w:sz w:val="24"/>
                <w:highlight w:val="none"/>
              </w:rPr>
              <w:t>迁安市境内最大河流为滦河。滦河古称“濡水”。发源于河北省丰宁</w:t>
            </w:r>
            <w:r>
              <w:rPr>
                <w:rFonts w:hint="eastAsia"/>
                <w:snapToGrid w:val="0"/>
                <w:sz w:val="24"/>
                <w:highlight w:val="none"/>
              </w:rPr>
              <w:t>县</w:t>
            </w:r>
            <w:r>
              <w:rPr>
                <w:snapToGrid w:val="0"/>
                <w:sz w:val="24"/>
                <w:highlight w:val="none"/>
              </w:rPr>
              <w:t>小梁山，自西北龟口处入境，经马兰庄、阎家店、</w:t>
            </w:r>
            <w:r>
              <w:rPr>
                <w:rFonts w:hint="eastAsia"/>
                <w:snapToGrid w:val="0"/>
                <w:sz w:val="24"/>
                <w:highlight w:val="none"/>
              </w:rPr>
              <w:t>杨店子镇</w:t>
            </w:r>
            <w:r>
              <w:rPr>
                <w:snapToGrid w:val="0"/>
                <w:sz w:val="24"/>
                <w:highlight w:val="none"/>
              </w:rPr>
              <w:t>、</w:t>
            </w:r>
            <w:r>
              <w:rPr>
                <w:rFonts w:hint="eastAsia"/>
                <w:snapToGrid w:val="0"/>
                <w:sz w:val="24"/>
                <w:highlight w:val="none"/>
              </w:rPr>
              <w:t>迁安镇</w:t>
            </w:r>
            <w:r>
              <w:rPr>
                <w:snapToGrid w:val="0"/>
                <w:sz w:val="24"/>
                <w:highlight w:val="none"/>
              </w:rPr>
              <w:t>、赵店子、</w:t>
            </w:r>
            <w:r>
              <w:rPr>
                <w:rFonts w:hint="eastAsia"/>
                <w:snapToGrid w:val="0"/>
                <w:sz w:val="24"/>
                <w:highlight w:val="none"/>
              </w:rPr>
              <w:t>野鸡坨、</w:t>
            </w:r>
            <w:r>
              <w:rPr>
                <w:snapToGrid w:val="0"/>
                <w:sz w:val="24"/>
                <w:highlight w:val="none"/>
              </w:rPr>
              <w:t>夏官营、彭店子等</w:t>
            </w:r>
            <w:r>
              <w:rPr>
                <w:rFonts w:hint="eastAsia"/>
                <w:snapToGrid w:val="0"/>
                <w:sz w:val="24"/>
                <w:highlight w:val="none"/>
              </w:rPr>
              <w:t>8</w:t>
            </w:r>
            <w:r>
              <w:rPr>
                <w:snapToGrid w:val="0"/>
                <w:sz w:val="24"/>
                <w:highlight w:val="none"/>
              </w:rPr>
              <w:t>个乡镇，向东南流至南丘村与青龙河汇合出境，经滦县、乐亭等县入渤海。境内有冷口西沙河、凉水河、野河、三里河、十里河注入。境内流程54km，流域面积262.8km</w:t>
            </w:r>
            <w:r>
              <w:rPr>
                <w:snapToGrid w:val="0"/>
                <w:sz w:val="24"/>
                <w:highlight w:val="none"/>
                <w:vertAlign w:val="superscript"/>
              </w:rPr>
              <w:t>2</w:t>
            </w:r>
            <w:r>
              <w:rPr>
                <w:snapToGrid w:val="0"/>
                <w:sz w:val="24"/>
                <w:highlight w:val="none"/>
              </w:rPr>
              <w:t>，基底为沙卵石。1951年到1968年平均年径流量28.74亿m</w:t>
            </w:r>
            <w:r>
              <w:rPr>
                <w:snapToGrid w:val="0"/>
                <w:sz w:val="24"/>
                <w:highlight w:val="none"/>
                <w:vertAlign w:val="superscript"/>
              </w:rPr>
              <w:t>3</w:t>
            </w:r>
            <w:r>
              <w:rPr>
                <w:snapToGrid w:val="0"/>
                <w:sz w:val="24"/>
                <w:highlight w:val="none"/>
              </w:rPr>
              <w:t>，最高达92.28亿m</w:t>
            </w:r>
            <w:r>
              <w:rPr>
                <w:snapToGrid w:val="0"/>
                <w:sz w:val="24"/>
                <w:highlight w:val="none"/>
                <w:vertAlign w:val="superscript"/>
              </w:rPr>
              <w:t>3</w:t>
            </w:r>
            <w:r>
              <w:rPr>
                <w:snapToGrid w:val="0"/>
                <w:sz w:val="24"/>
                <w:highlight w:val="none"/>
              </w:rPr>
              <w:t>(1959年)。1980年</w:t>
            </w:r>
            <w:r>
              <w:rPr>
                <w:rFonts w:hint="eastAsia"/>
                <w:snapToGrid w:val="0"/>
                <w:sz w:val="24"/>
                <w:highlight w:val="none"/>
              </w:rPr>
              <w:t>-</w:t>
            </w:r>
            <w:r>
              <w:rPr>
                <w:snapToGrid w:val="0"/>
                <w:sz w:val="24"/>
                <w:highlight w:val="none"/>
              </w:rPr>
              <w:t>1986年(潘家口、大黑汀水库建成)平均年径流减少到10.57亿m</w:t>
            </w:r>
            <w:r>
              <w:rPr>
                <w:snapToGrid w:val="0"/>
                <w:sz w:val="24"/>
                <w:highlight w:val="none"/>
                <w:vertAlign w:val="superscript"/>
              </w:rPr>
              <w:t>3</w:t>
            </w:r>
            <w:r>
              <w:rPr>
                <w:snapToGrid w:val="0"/>
                <w:sz w:val="24"/>
                <w:highlight w:val="none"/>
              </w:rPr>
              <w:t>，年平均淤沙量1136万t。水质为淡水。河床平均宽0.5-1km。结冰期由当年11月至翌年3月上旬。</w:t>
            </w:r>
          </w:p>
          <w:p>
            <w:pPr>
              <w:spacing w:line="440" w:lineRule="exact"/>
              <w:ind w:firstLine="480"/>
              <w:rPr>
                <w:snapToGrid w:val="0"/>
                <w:sz w:val="24"/>
                <w:highlight w:val="none"/>
              </w:rPr>
            </w:pPr>
            <w:r>
              <w:rPr>
                <w:snapToGrid w:val="0"/>
                <w:sz w:val="24"/>
                <w:highlight w:val="none"/>
              </w:rPr>
              <w:t>4</w:t>
            </w:r>
            <w:r>
              <w:rPr>
                <w:b/>
                <w:snapToGrid w:val="0"/>
                <w:sz w:val="24"/>
                <w:highlight w:val="none"/>
              </w:rPr>
              <w:t>、水文地质</w:t>
            </w:r>
          </w:p>
          <w:p>
            <w:pPr>
              <w:spacing w:line="480" w:lineRule="atLeast"/>
              <w:ind w:firstLine="482"/>
              <w:rPr>
                <w:sz w:val="24"/>
                <w:highlight w:val="none"/>
              </w:rPr>
            </w:pPr>
            <w:r>
              <w:rPr>
                <w:sz w:val="24"/>
                <w:highlight w:val="none"/>
              </w:rPr>
              <w:t>迁安市地质构造属燕山沉降带，地层出露齐全，现保留的有太古界、震旦系、侏罗系、寒武系和第四系松散地层。由于地质构造不同，地下水的分布、埋深、富水程度也不相同。按水文地质构造条件，全市地下水可分为四个大区：北部和西部中低山丘陵地带贫水区；东南部丘陵地带贫水区；坎上平原亚富水区。</w:t>
            </w:r>
          </w:p>
          <w:p>
            <w:pPr>
              <w:spacing w:line="480" w:lineRule="atLeast"/>
              <w:ind w:firstLine="482"/>
              <w:rPr>
                <w:sz w:val="24"/>
                <w:highlight w:val="none"/>
              </w:rPr>
            </w:pPr>
            <w:r>
              <w:rPr>
                <w:sz w:val="24"/>
                <w:highlight w:val="none"/>
              </w:rPr>
              <w:t>河川平原富水区主要分布在迁安市城区，该区受滦河、三里河、青龙河三条河流的影响，地下水丰富，已被广泛开发利用。区内地下水以降水垂向补给和河流侧向补给为主，以人工开采和河流方式排泄。该区域地下水流向为自西北向东南方向。</w:t>
            </w:r>
          </w:p>
          <w:p>
            <w:pPr>
              <w:spacing w:line="440" w:lineRule="exact"/>
              <w:ind w:firstLine="480"/>
              <w:rPr>
                <w:b/>
                <w:snapToGrid w:val="0"/>
                <w:sz w:val="24"/>
                <w:highlight w:val="none"/>
              </w:rPr>
            </w:pPr>
            <w:r>
              <w:rPr>
                <w:b/>
                <w:snapToGrid w:val="0"/>
                <w:sz w:val="24"/>
                <w:highlight w:val="none"/>
              </w:rPr>
              <w:t>5、土壤</w:t>
            </w:r>
          </w:p>
          <w:p>
            <w:pPr>
              <w:spacing w:line="500" w:lineRule="exact"/>
              <w:ind w:firstLine="480"/>
              <w:rPr>
                <w:sz w:val="24"/>
                <w:highlight w:val="none"/>
              </w:rPr>
            </w:pPr>
            <w:r>
              <w:rPr>
                <w:sz w:val="24"/>
                <w:highlight w:val="none"/>
              </w:rPr>
              <w:t>迁安境内土壤主要分为褐土和风沙土两大类。评价区域土壤多为褐土类，受海拔高度分布及河流沟道切割等因素影响，分为褐土性土、淋溶褐土和草甸褐土3个亚类。</w:t>
            </w:r>
          </w:p>
          <w:p>
            <w:pPr>
              <w:spacing w:line="440" w:lineRule="exact"/>
              <w:ind w:firstLine="480"/>
              <w:rPr>
                <w:b/>
                <w:snapToGrid w:val="0"/>
                <w:sz w:val="24"/>
                <w:szCs w:val="22"/>
                <w:highlight w:val="none"/>
              </w:rPr>
            </w:pPr>
            <w:r>
              <w:rPr>
                <w:rFonts w:hint="eastAsia"/>
                <w:b/>
                <w:snapToGrid w:val="0"/>
                <w:sz w:val="24"/>
                <w:szCs w:val="22"/>
                <w:highlight w:val="none"/>
              </w:rPr>
              <w:t>6、</w:t>
            </w:r>
            <w:r>
              <w:rPr>
                <w:b/>
                <w:snapToGrid w:val="0"/>
                <w:sz w:val="24"/>
                <w:szCs w:val="22"/>
                <w:highlight w:val="none"/>
              </w:rPr>
              <w:t>植被、生物多样性</w:t>
            </w:r>
          </w:p>
          <w:p>
            <w:pPr>
              <w:spacing w:line="480" w:lineRule="exact"/>
              <w:ind w:firstLine="480" w:firstLineChars="200"/>
              <w:rPr>
                <w:sz w:val="24"/>
                <w:szCs w:val="24"/>
                <w:highlight w:val="none"/>
              </w:rPr>
            </w:pPr>
            <w:r>
              <w:rPr>
                <w:sz w:val="24"/>
                <w:szCs w:val="24"/>
                <w:highlight w:val="none"/>
              </w:rPr>
              <w:t>项目所在区域内的土壤成土母质类型，主要为河流冲积物，河流冲积草甸褐土多分布在滦河两岸一带，土壤中有机质含量较低，渗水性能好。该区域除工业企业外，主要是农业区，自然植被很少。植被大部分为人工植被，乡间路两侧及村庄旁植树以杨树为多，有少量柳树、榆树、椿树、槐树和刺槐等。农田主要种植玉米、大豆、小麦等农作物。动物主要为农户饲养的牛、马、猪、羊、鸡等。项目所在区域内无珍稀保护动植物。</w:t>
            </w:r>
          </w:p>
          <w:p>
            <w:pPr>
              <w:adjustRightInd w:val="0"/>
              <w:snapToGrid w:val="0"/>
              <w:spacing w:line="480" w:lineRule="exact"/>
              <w:ind w:firstLine="482" w:firstLineChars="200"/>
              <w:rPr>
                <w:b/>
                <w:snapToGrid w:val="0"/>
                <w:sz w:val="24"/>
                <w:szCs w:val="22"/>
                <w:highlight w:val="none"/>
              </w:rPr>
            </w:pPr>
            <w:r>
              <w:rPr>
                <w:rFonts w:hint="eastAsia"/>
                <w:b/>
                <w:snapToGrid w:val="0"/>
                <w:sz w:val="24"/>
                <w:szCs w:val="22"/>
                <w:highlight w:val="none"/>
              </w:rPr>
              <w:t>7</w:t>
            </w:r>
            <w:r>
              <w:rPr>
                <w:b/>
                <w:snapToGrid w:val="0"/>
                <w:sz w:val="24"/>
                <w:szCs w:val="22"/>
                <w:highlight w:val="none"/>
              </w:rPr>
              <w:t>、污水处理厂</w:t>
            </w:r>
          </w:p>
          <w:p>
            <w:pPr>
              <w:spacing w:line="480" w:lineRule="exact"/>
              <w:ind w:firstLine="480" w:firstLineChars="200"/>
              <w:rPr>
                <w:sz w:val="24"/>
                <w:highlight w:val="none"/>
              </w:rPr>
            </w:pPr>
            <w:r>
              <w:rPr>
                <w:sz w:val="24"/>
                <w:szCs w:val="22"/>
                <w:highlight w:val="none"/>
              </w:rPr>
              <w:t>迁安市污水处理厂位于迁安市三李庄村东南，处理能力为8万m</w:t>
            </w:r>
            <w:r>
              <w:rPr>
                <w:sz w:val="24"/>
                <w:szCs w:val="22"/>
                <w:highlight w:val="none"/>
                <w:vertAlign w:val="superscript"/>
              </w:rPr>
              <w:t>3</w:t>
            </w:r>
            <w:r>
              <w:rPr>
                <w:sz w:val="24"/>
                <w:szCs w:val="22"/>
                <w:highlight w:val="none"/>
              </w:rPr>
              <w:t>/d，收水范围为迁安市区范围。采用A</w:t>
            </w:r>
            <w:r>
              <w:rPr>
                <w:sz w:val="24"/>
                <w:szCs w:val="22"/>
                <w:highlight w:val="none"/>
                <w:vertAlign w:val="superscript"/>
              </w:rPr>
              <w:t>2</w:t>
            </w:r>
            <w:r>
              <w:rPr>
                <w:sz w:val="24"/>
                <w:szCs w:val="22"/>
                <w:highlight w:val="none"/>
              </w:rPr>
              <w:t>/O工艺+</w:t>
            </w:r>
            <w:r>
              <w:rPr>
                <w:sz w:val="24"/>
                <w:szCs w:val="22"/>
                <w:highlight w:val="none"/>
                <w:lang w:val="en-GB"/>
              </w:rPr>
              <w:t>“微絮凝—过滤—消毒”</w:t>
            </w:r>
            <w:r>
              <w:rPr>
                <w:sz w:val="24"/>
                <w:szCs w:val="22"/>
                <w:highlight w:val="none"/>
              </w:rPr>
              <w:t>深度处理工艺，处理达标外排水量为4万m</w:t>
            </w:r>
            <w:r>
              <w:rPr>
                <w:sz w:val="24"/>
                <w:szCs w:val="22"/>
                <w:highlight w:val="none"/>
                <w:vertAlign w:val="superscript"/>
              </w:rPr>
              <w:t>3</w:t>
            </w:r>
            <w:r>
              <w:rPr>
                <w:sz w:val="24"/>
                <w:szCs w:val="22"/>
                <w:highlight w:val="none"/>
              </w:rPr>
              <w:t>/d，外排水水质满足《城镇污水处理厂污染物排放标准》（GB18918-2002）一级A标准；另外4万m</w:t>
            </w:r>
            <w:r>
              <w:rPr>
                <w:sz w:val="24"/>
                <w:szCs w:val="22"/>
                <w:highlight w:val="none"/>
                <w:vertAlign w:val="superscript"/>
              </w:rPr>
              <w:t>3</w:t>
            </w:r>
            <w:r>
              <w:rPr>
                <w:sz w:val="24"/>
                <w:szCs w:val="22"/>
                <w:highlight w:val="none"/>
              </w:rPr>
              <w:t>/d沉淀池处水进入中水处理工艺进行处理，出水水质满足《城市污水再生利用 城市杂用水水质》（</w:t>
            </w:r>
            <w:r>
              <w:rPr>
                <w:rFonts w:ascii="Times New Roman" w:hAnsi="Times New Roman" w:eastAsia="Times New Roman" w:cs="Times New Roman"/>
                <w:sz w:val="24"/>
                <w:szCs w:val="24"/>
                <w:highlight w:val="none"/>
              </w:rPr>
              <w:t>GB/T18920-20</w:t>
            </w:r>
            <w:r>
              <w:rPr>
                <w:rFonts w:hint="eastAsia" w:ascii="Times New Roman" w:hAnsi="Times New Roman" w:eastAsia="宋体" w:cs="Times New Roman"/>
                <w:sz w:val="24"/>
                <w:szCs w:val="24"/>
                <w:highlight w:val="none"/>
              </w:rPr>
              <w:t>20</w:t>
            </w:r>
            <w:r>
              <w:rPr>
                <w:sz w:val="24"/>
                <w:szCs w:val="22"/>
                <w:highlight w:val="none"/>
              </w:rPr>
              <w:t>）水质标准，供中水用户使用。</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项目位于迁安市</w:t>
            </w:r>
            <w:r>
              <w:rPr>
                <w:rFonts w:hint="eastAsia" w:ascii="Times New Roman" w:hAnsi="Times New Roman" w:cs="Times New Roman"/>
                <w:color w:val="000000"/>
                <w:kern w:val="0"/>
                <w:sz w:val="24"/>
                <w:szCs w:val="24"/>
                <w:highlight w:val="none"/>
                <w:lang w:eastAsia="zh-CN"/>
              </w:rPr>
              <w:t>惠安大街北侧，人民医院院内</w:t>
            </w:r>
            <w:r>
              <w:rPr>
                <w:rFonts w:hint="default" w:ascii="Times New Roman" w:hAnsi="Times New Roman" w:cs="Times New Roman"/>
                <w:color w:val="000000"/>
                <w:kern w:val="0"/>
                <w:sz w:val="24"/>
                <w:szCs w:val="24"/>
                <w:highlight w:val="none"/>
              </w:rPr>
              <w:t>，属于迁安</w:t>
            </w:r>
            <w:r>
              <w:rPr>
                <w:rFonts w:hint="default" w:ascii="Times New Roman" w:hAnsi="Times New Roman" w:cs="Times New Roman"/>
                <w:color w:val="000000"/>
                <w:kern w:val="0"/>
                <w:sz w:val="24"/>
                <w:szCs w:val="24"/>
                <w:highlight w:val="none"/>
                <w:lang w:eastAsia="zh-CN"/>
              </w:rPr>
              <w:t>市</w:t>
            </w:r>
            <w:r>
              <w:rPr>
                <w:rFonts w:hint="default" w:ascii="Times New Roman" w:hAnsi="Times New Roman" w:cs="Times New Roman"/>
                <w:color w:val="000000"/>
                <w:kern w:val="0"/>
                <w:sz w:val="24"/>
                <w:szCs w:val="24"/>
                <w:highlight w:val="none"/>
              </w:rPr>
              <w:t>污水处理厂服务范围。目前该</w:t>
            </w:r>
            <w:r>
              <w:rPr>
                <w:rFonts w:hint="eastAsia" w:ascii="Times New Roman" w:hAnsi="Times New Roman" w:cs="Times New Roman"/>
                <w:color w:val="000000"/>
                <w:kern w:val="0"/>
                <w:sz w:val="24"/>
                <w:szCs w:val="24"/>
                <w:highlight w:val="none"/>
                <w:lang w:eastAsia="zh-CN"/>
              </w:rPr>
              <w:t>区域</w:t>
            </w:r>
            <w:r>
              <w:rPr>
                <w:rFonts w:hint="default" w:ascii="Times New Roman" w:hAnsi="Times New Roman" w:cs="Times New Roman"/>
                <w:color w:val="000000"/>
                <w:kern w:val="0"/>
                <w:sz w:val="24"/>
                <w:szCs w:val="24"/>
                <w:highlight w:val="none"/>
              </w:rPr>
              <w:t>配套污水管网已铺设完善，项目外排水具备入网条件。</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hint="eastAsia"/>
                <w:sz w:val="24"/>
                <w:highlight w:val="none"/>
              </w:rPr>
            </w:pPr>
            <w:r>
              <w:rPr>
                <w:rFonts w:hint="default" w:ascii="Times New Roman" w:hAnsi="Times New Roman" w:cs="Times New Roman"/>
                <w:kern w:val="0"/>
                <w:sz w:val="24"/>
                <w:szCs w:val="24"/>
                <w:highlight w:val="none"/>
              </w:rPr>
              <w:t>目前</w:t>
            </w:r>
            <w:r>
              <w:rPr>
                <w:rFonts w:hint="eastAsia" w:ascii="Times New Roman" w:hAnsi="Times New Roman" w:cs="Times New Roman"/>
                <w:kern w:val="0"/>
                <w:sz w:val="24"/>
                <w:szCs w:val="24"/>
                <w:highlight w:val="none"/>
                <w:lang w:eastAsia="zh-CN"/>
              </w:rPr>
              <w:t>，</w:t>
            </w:r>
            <w:r>
              <w:rPr>
                <w:rFonts w:hint="default" w:ascii="Times New Roman" w:hAnsi="Times New Roman" w:cs="Times New Roman"/>
                <w:kern w:val="0"/>
                <w:sz w:val="24"/>
                <w:szCs w:val="24"/>
                <w:highlight w:val="none"/>
              </w:rPr>
              <w:t>污水处理厂的进水量约60000t/d，项目总废水排放量为</w:t>
            </w:r>
            <w:r>
              <w:rPr>
                <w:rFonts w:hint="eastAsia" w:ascii="Times New Roman" w:hAnsi="Times New Roman" w:cs="Times New Roman"/>
                <w:kern w:val="0"/>
                <w:sz w:val="24"/>
                <w:szCs w:val="24"/>
                <w:highlight w:val="none"/>
                <w:lang w:val="en-US" w:eastAsia="zh-CN"/>
              </w:rPr>
              <w:t>14</w:t>
            </w:r>
            <w:r>
              <w:rPr>
                <w:rFonts w:hint="default" w:ascii="Times New Roman" w:hAnsi="Times New Roman" w:cs="Times New Roman"/>
                <w:kern w:val="0"/>
                <w:sz w:val="24"/>
                <w:szCs w:val="24"/>
                <w:highlight w:val="none"/>
              </w:rPr>
              <w:t>t/d，占污水处理厂剩余处理规模的0.</w:t>
            </w:r>
            <w:r>
              <w:rPr>
                <w:rFonts w:hint="eastAsia" w:ascii="Times New Roman" w:hAnsi="Times New Roman" w:cs="Times New Roman"/>
                <w:kern w:val="0"/>
                <w:sz w:val="24"/>
                <w:szCs w:val="24"/>
                <w:highlight w:val="none"/>
                <w:lang w:val="en-US" w:eastAsia="zh-CN"/>
              </w:rPr>
              <w:t>07</w:t>
            </w:r>
            <w:r>
              <w:rPr>
                <w:rFonts w:hint="default" w:ascii="Times New Roman" w:hAnsi="Times New Roman" w:cs="Times New Roman"/>
                <w:kern w:val="0"/>
                <w:sz w:val="24"/>
                <w:szCs w:val="24"/>
                <w:highlight w:val="none"/>
              </w:rPr>
              <w:t>%，尚有余量容纳本项目污水。污水经处理后可纳入污水管网。因此，从水量分析，项目废水的纳入不会对污水处理厂的</w:t>
            </w:r>
            <w:r>
              <w:rPr>
                <w:kern w:val="0"/>
                <w:sz w:val="24"/>
                <w:szCs w:val="24"/>
                <w:highlight w:val="none"/>
              </w:rPr>
              <w:t>正常运行造成冲击。</w:t>
            </w:r>
          </w:p>
        </w:tc>
      </w:tr>
    </w:tbl>
    <w:p>
      <w:pPr>
        <w:pStyle w:val="46"/>
        <w:outlineLvl w:val="0"/>
        <w:rPr>
          <w:rFonts w:eastAsia="黑体"/>
          <w:b/>
          <w:spacing w:val="0"/>
          <w:szCs w:val="32"/>
          <w:highlight w:val="none"/>
        </w:rPr>
      </w:pPr>
      <w:r>
        <w:rPr>
          <w:kern w:val="24"/>
          <w:sz w:val="28"/>
          <w:highlight w:val="none"/>
        </w:rPr>
        <w:br w:type="page"/>
      </w:r>
      <w:r>
        <w:rPr>
          <w:rFonts w:eastAsia="黑体"/>
          <w:b/>
          <w:spacing w:val="0"/>
          <w:szCs w:val="32"/>
          <w:highlight w:val="none"/>
        </w:rPr>
        <w:t>环境质量状况</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6" w:hRule="atLeast"/>
          <w:jc w:val="center"/>
        </w:trPr>
        <w:tc>
          <w:tcPr>
            <w:tcW w:w="8747" w:type="dxa"/>
            <w:noWrap w:val="0"/>
            <w:vAlign w:val="center"/>
          </w:tcPr>
          <w:p>
            <w:pPr>
              <w:spacing w:line="460" w:lineRule="exact"/>
              <w:rPr>
                <w:b/>
                <w:sz w:val="24"/>
                <w:szCs w:val="24"/>
                <w:highlight w:val="none"/>
              </w:rPr>
            </w:pPr>
            <w:r>
              <w:rPr>
                <w:b/>
                <w:kern w:val="24"/>
                <w:sz w:val="28"/>
                <w:szCs w:val="28"/>
                <w:highlight w:val="none"/>
              </w:rPr>
              <w:t>建设项目所在地区域环境质量现状及主要环境问题(环境空气、地面水、地下水、声环境、生态环境等)：</w:t>
            </w:r>
          </w:p>
          <w:p>
            <w:pPr>
              <w:autoSpaceDE w:val="0"/>
              <w:autoSpaceDN w:val="0"/>
              <w:adjustRightInd w:val="0"/>
              <w:snapToGrid w:val="0"/>
              <w:spacing w:line="480" w:lineRule="exact"/>
              <w:ind w:firstLine="472" w:firstLineChars="196"/>
              <w:rPr>
                <w:b/>
                <w:sz w:val="24"/>
                <w:szCs w:val="24"/>
                <w:highlight w:val="none"/>
              </w:rPr>
            </w:pPr>
            <w:r>
              <w:rPr>
                <w:b/>
                <w:sz w:val="24"/>
                <w:szCs w:val="24"/>
                <w:highlight w:val="none"/>
              </w:rPr>
              <w:t>1、环境空气</w:t>
            </w:r>
          </w:p>
          <w:p>
            <w:pPr>
              <w:pStyle w:val="57"/>
              <w:spacing w:line="480" w:lineRule="exact"/>
              <w:ind w:firstLine="480"/>
              <w:jc w:val="both"/>
              <w:rPr>
                <w:rFonts w:hint="default" w:ascii="Times New Roman" w:hAnsi="Times New Roman" w:cs="Times New Roman"/>
                <w:bCs/>
                <w:sz w:val="24"/>
                <w:highlight w:val="none"/>
              </w:rPr>
            </w:pPr>
            <w:r>
              <w:rPr>
                <w:rFonts w:hint="default" w:ascii="Times New Roman" w:hAnsi="Times New Roman" w:cs="Times New Roman"/>
                <w:bCs/>
                <w:sz w:val="24"/>
                <w:highlight w:val="none"/>
              </w:rPr>
              <w:t>项目所在区域环境空气质量现状数据采用</w:t>
            </w:r>
            <w:r>
              <w:rPr>
                <w:rFonts w:hint="default" w:ascii="Times New Roman" w:hAnsi="Times New Roman" w:cs="Times New Roman"/>
                <w:bCs/>
                <w:sz w:val="24"/>
                <w:highlight w:val="none"/>
                <w:lang w:val="en-US" w:eastAsia="zh-CN"/>
              </w:rPr>
              <w:t>唐山市</w:t>
            </w:r>
            <w:r>
              <w:rPr>
                <w:rFonts w:hint="default" w:ascii="Times New Roman" w:hAnsi="Times New Roman" w:cs="Times New Roman"/>
                <w:bCs/>
                <w:sz w:val="24"/>
                <w:highlight w:val="none"/>
              </w:rPr>
              <w:t>生态环境</w:t>
            </w:r>
            <w:r>
              <w:rPr>
                <w:rFonts w:hint="default" w:ascii="Times New Roman" w:hAnsi="Times New Roman" w:cs="Times New Roman"/>
                <w:bCs/>
                <w:sz w:val="24"/>
                <w:highlight w:val="none"/>
                <w:lang w:val="en-US" w:eastAsia="zh-CN"/>
              </w:rPr>
              <w:t>局</w:t>
            </w:r>
            <w:r>
              <w:rPr>
                <w:rFonts w:hint="default" w:ascii="Times New Roman" w:hAnsi="Times New Roman" w:cs="Times New Roman"/>
                <w:bCs/>
                <w:sz w:val="24"/>
                <w:highlight w:val="none"/>
              </w:rPr>
              <w:t>公开发布的《201</w:t>
            </w:r>
            <w:r>
              <w:rPr>
                <w:rFonts w:hint="default" w:ascii="Times New Roman" w:hAnsi="Times New Roman" w:cs="Times New Roman"/>
                <w:bCs/>
                <w:sz w:val="24"/>
                <w:highlight w:val="none"/>
                <w:lang w:val="en-US" w:eastAsia="zh-CN"/>
              </w:rPr>
              <w:t>9</w:t>
            </w:r>
            <w:r>
              <w:rPr>
                <w:rFonts w:hint="default" w:ascii="Times New Roman" w:hAnsi="Times New Roman" w:cs="Times New Roman"/>
                <w:bCs/>
                <w:sz w:val="24"/>
                <w:highlight w:val="none"/>
              </w:rPr>
              <w:t>年唐山市环境状况公报》中空气质量数据，具体情况见表</w:t>
            </w:r>
            <w:r>
              <w:rPr>
                <w:rFonts w:hint="default" w:ascii="Times New Roman" w:hAnsi="Times New Roman" w:cs="Times New Roman"/>
                <w:bCs/>
                <w:sz w:val="24"/>
                <w:highlight w:val="none"/>
                <w:lang w:val="en-US" w:eastAsia="zh-CN"/>
              </w:rPr>
              <w:t>6</w:t>
            </w:r>
            <w:r>
              <w:rPr>
                <w:rFonts w:hint="default" w:ascii="Times New Roman" w:hAnsi="Times New Roman" w:cs="Times New Roman"/>
                <w:bCs/>
                <w:sz w:val="24"/>
                <w:highlight w:val="none"/>
              </w:rPr>
              <w:t>。</w:t>
            </w:r>
          </w:p>
          <w:p>
            <w:pPr>
              <w:pStyle w:val="57"/>
              <w:spacing w:line="480" w:lineRule="exact"/>
              <w:ind w:firstLine="480"/>
              <w:jc w:val="center"/>
              <w:rPr>
                <w:rFonts w:hint="default" w:ascii="Times New Roman" w:hAnsi="Times New Roman" w:cs="Times New Roman"/>
                <w:b/>
                <w:bCs w:val="0"/>
                <w:sz w:val="24"/>
                <w:highlight w:val="none"/>
              </w:rPr>
            </w:pPr>
            <w:r>
              <w:rPr>
                <w:rFonts w:hint="default" w:ascii="Times New Roman" w:hAnsi="Times New Roman" w:cs="Times New Roman"/>
                <w:b/>
                <w:bCs w:val="0"/>
                <w:sz w:val="24"/>
                <w:highlight w:val="none"/>
              </w:rPr>
              <w:t>表</w:t>
            </w:r>
            <w:r>
              <w:rPr>
                <w:rFonts w:hint="default" w:ascii="Times New Roman" w:hAnsi="Times New Roman" w:cs="Times New Roman"/>
                <w:b/>
                <w:bCs w:val="0"/>
                <w:sz w:val="24"/>
                <w:highlight w:val="none"/>
                <w:lang w:val="en-US" w:eastAsia="zh-CN"/>
              </w:rPr>
              <w:t>6</w:t>
            </w:r>
            <w:r>
              <w:rPr>
                <w:rFonts w:hint="default" w:ascii="Times New Roman" w:hAnsi="Times New Roman" w:cs="Times New Roman"/>
                <w:b/>
                <w:bCs w:val="0"/>
                <w:sz w:val="24"/>
                <w:highlight w:val="none"/>
              </w:rPr>
              <w:t xml:space="preserve">    区域空气质量现状评价表</w:t>
            </w:r>
          </w:p>
          <w:tbl>
            <w:tblPr>
              <w:tblStyle w:val="36"/>
              <w:tblW w:w="82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30" w:type="dxa"/>
                <w:bottom w:w="0" w:type="dxa"/>
                <w:right w:w="30" w:type="dxa"/>
              </w:tblCellMar>
            </w:tblPr>
            <w:tblGrid>
              <w:gridCol w:w="976"/>
              <w:gridCol w:w="1993"/>
              <w:gridCol w:w="1186"/>
              <w:gridCol w:w="1426"/>
              <w:gridCol w:w="1382"/>
              <w:gridCol w:w="13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570" w:hRule="atLeast"/>
                <w:jc w:val="center"/>
              </w:trPr>
              <w:tc>
                <w:tcPr>
                  <w:tcW w:w="976" w:type="dxa"/>
                  <w:vAlign w:val="center"/>
                </w:tcPr>
                <w:p>
                  <w:pPr>
                    <w:bidi w:val="0"/>
                    <w:jc w:val="center"/>
                    <w:rPr>
                      <w:rFonts w:hint="default"/>
                      <w:b w:val="0"/>
                      <w:bCs w:val="0"/>
                      <w:highlight w:val="none"/>
                    </w:rPr>
                  </w:pPr>
                  <w:r>
                    <w:rPr>
                      <w:rFonts w:hint="default"/>
                      <w:b w:val="0"/>
                      <w:bCs w:val="0"/>
                      <w:highlight w:val="none"/>
                    </w:rPr>
                    <w:t>污染物</w:t>
                  </w:r>
                </w:p>
              </w:tc>
              <w:tc>
                <w:tcPr>
                  <w:tcW w:w="1993" w:type="dxa"/>
                  <w:vAlign w:val="center"/>
                </w:tcPr>
                <w:p>
                  <w:pPr>
                    <w:bidi w:val="0"/>
                    <w:jc w:val="center"/>
                    <w:rPr>
                      <w:rFonts w:hint="default"/>
                      <w:b w:val="0"/>
                      <w:bCs w:val="0"/>
                      <w:highlight w:val="none"/>
                    </w:rPr>
                  </w:pPr>
                  <w:r>
                    <w:rPr>
                      <w:rFonts w:hint="default"/>
                      <w:b w:val="0"/>
                      <w:bCs w:val="0"/>
                      <w:highlight w:val="none"/>
                    </w:rPr>
                    <w:t>年评价指标</w:t>
                  </w:r>
                </w:p>
              </w:tc>
              <w:tc>
                <w:tcPr>
                  <w:tcW w:w="1186" w:type="dxa"/>
                  <w:vAlign w:val="center"/>
                </w:tcPr>
                <w:p>
                  <w:pPr>
                    <w:bidi w:val="0"/>
                    <w:jc w:val="center"/>
                    <w:rPr>
                      <w:rFonts w:hint="default"/>
                      <w:b w:val="0"/>
                      <w:bCs w:val="0"/>
                      <w:highlight w:val="none"/>
                    </w:rPr>
                  </w:pPr>
                  <w:r>
                    <w:rPr>
                      <w:rFonts w:hint="default"/>
                      <w:b w:val="0"/>
                      <w:bCs w:val="0"/>
                      <w:highlight w:val="none"/>
                    </w:rPr>
                    <w:t>现状浓度（µg/m</w:t>
                  </w:r>
                  <w:r>
                    <w:rPr>
                      <w:rFonts w:hint="default"/>
                      <w:b w:val="0"/>
                      <w:bCs w:val="0"/>
                      <w:highlight w:val="none"/>
                      <w:vertAlign w:val="superscript"/>
                    </w:rPr>
                    <w:t>3</w:t>
                  </w:r>
                  <w:r>
                    <w:rPr>
                      <w:rFonts w:hint="default"/>
                      <w:b w:val="0"/>
                      <w:bCs w:val="0"/>
                      <w:highlight w:val="none"/>
                    </w:rPr>
                    <w:t>）</w:t>
                  </w:r>
                </w:p>
              </w:tc>
              <w:tc>
                <w:tcPr>
                  <w:tcW w:w="1426" w:type="dxa"/>
                  <w:vAlign w:val="center"/>
                </w:tcPr>
                <w:p>
                  <w:pPr>
                    <w:bidi w:val="0"/>
                    <w:jc w:val="center"/>
                    <w:rPr>
                      <w:rFonts w:hint="default"/>
                      <w:b w:val="0"/>
                      <w:bCs w:val="0"/>
                      <w:highlight w:val="none"/>
                    </w:rPr>
                  </w:pPr>
                  <w:r>
                    <w:rPr>
                      <w:rFonts w:hint="default"/>
                      <w:b w:val="0"/>
                      <w:bCs w:val="0"/>
                      <w:highlight w:val="none"/>
                    </w:rPr>
                    <w:t>标准值（µg/m</w:t>
                  </w:r>
                  <w:r>
                    <w:rPr>
                      <w:rFonts w:hint="default"/>
                      <w:b w:val="0"/>
                      <w:bCs w:val="0"/>
                      <w:highlight w:val="none"/>
                      <w:vertAlign w:val="superscript"/>
                    </w:rPr>
                    <w:t>3</w:t>
                  </w:r>
                  <w:r>
                    <w:rPr>
                      <w:rFonts w:hint="default"/>
                      <w:b w:val="0"/>
                      <w:bCs w:val="0"/>
                      <w:highlight w:val="none"/>
                    </w:rPr>
                    <w:t>）</w:t>
                  </w:r>
                </w:p>
              </w:tc>
              <w:tc>
                <w:tcPr>
                  <w:tcW w:w="1382" w:type="dxa"/>
                  <w:vAlign w:val="center"/>
                </w:tcPr>
                <w:p>
                  <w:pPr>
                    <w:bidi w:val="0"/>
                    <w:jc w:val="center"/>
                    <w:rPr>
                      <w:rFonts w:hint="default"/>
                      <w:b w:val="0"/>
                      <w:bCs w:val="0"/>
                      <w:highlight w:val="none"/>
                    </w:rPr>
                  </w:pPr>
                  <w:r>
                    <w:rPr>
                      <w:rFonts w:hint="default"/>
                      <w:b w:val="0"/>
                      <w:bCs w:val="0"/>
                      <w:highlight w:val="none"/>
                    </w:rPr>
                    <w:t>占标率（%）</w:t>
                  </w:r>
                </w:p>
              </w:tc>
              <w:tc>
                <w:tcPr>
                  <w:tcW w:w="1333" w:type="dxa"/>
                  <w:vAlign w:val="center"/>
                </w:tcPr>
                <w:p>
                  <w:pPr>
                    <w:bidi w:val="0"/>
                    <w:jc w:val="center"/>
                    <w:rPr>
                      <w:rFonts w:hint="default"/>
                      <w:b w:val="0"/>
                      <w:bCs w:val="0"/>
                      <w:highlight w:val="none"/>
                    </w:rPr>
                  </w:pPr>
                  <w:r>
                    <w:rPr>
                      <w:rFonts w:hint="default"/>
                      <w:b w:val="0"/>
                      <w:bCs w:val="0"/>
                      <w:highlight w:val="none"/>
                    </w:rPr>
                    <w:t>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432" w:hRule="atLeast"/>
                <w:jc w:val="center"/>
              </w:trPr>
              <w:tc>
                <w:tcPr>
                  <w:tcW w:w="976" w:type="dxa"/>
                  <w:vAlign w:val="center"/>
                </w:tcPr>
                <w:p>
                  <w:pPr>
                    <w:bidi w:val="0"/>
                    <w:jc w:val="center"/>
                    <w:rPr>
                      <w:rFonts w:hint="default"/>
                      <w:highlight w:val="none"/>
                    </w:rPr>
                  </w:pPr>
                  <w:r>
                    <w:rPr>
                      <w:rFonts w:hint="default"/>
                      <w:highlight w:val="none"/>
                    </w:rPr>
                    <w:t>SO</w:t>
                  </w:r>
                  <w:r>
                    <w:rPr>
                      <w:rFonts w:hint="default"/>
                      <w:highlight w:val="none"/>
                      <w:vertAlign w:val="subscript"/>
                    </w:rPr>
                    <w:t>2</w:t>
                  </w:r>
                </w:p>
              </w:tc>
              <w:tc>
                <w:tcPr>
                  <w:tcW w:w="1993" w:type="dxa"/>
                  <w:vMerge w:val="restart"/>
                  <w:vAlign w:val="center"/>
                </w:tcPr>
                <w:p>
                  <w:pPr>
                    <w:bidi w:val="0"/>
                    <w:jc w:val="center"/>
                    <w:rPr>
                      <w:rFonts w:hint="default"/>
                      <w:highlight w:val="none"/>
                    </w:rPr>
                  </w:pPr>
                  <w:r>
                    <w:rPr>
                      <w:rFonts w:hint="default"/>
                      <w:highlight w:val="none"/>
                    </w:rPr>
                    <w:t>年平均质量浓度</w:t>
                  </w:r>
                </w:p>
              </w:tc>
              <w:tc>
                <w:tcPr>
                  <w:tcW w:w="1186" w:type="dxa"/>
                  <w:vAlign w:val="center"/>
                </w:tcPr>
                <w:p>
                  <w:pPr>
                    <w:bidi w:val="0"/>
                    <w:jc w:val="center"/>
                    <w:rPr>
                      <w:rFonts w:hint="default"/>
                      <w:highlight w:val="none"/>
                      <w:lang w:val="en-US" w:eastAsia="zh-CN"/>
                    </w:rPr>
                  </w:pPr>
                  <w:r>
                    <w:rPr>
                      <w:rFonts w:hint="default"/>
                      <w:highlight w:val="none"/>
                      <w:lang w:val="en-US" w:eastAsia="zh-CN"/>
                    </w:rPr>
                    <w:t>22</w:t>
                  </w:r>
                </w:p>
              </w:tc>
              <w:tc>
                <w:tcPr>
                  <w:tcW w:w="1426" w:type="dxa"/>
                  <w:vAlign w:val="center"/>
                </w:tcPr>
                <w:p>
                  <w:pPr>
                    <w:bidi w:val="0"/>
                    <w:jc w:val="center"/>
                    <w:rPr>
                      <w:rFonts w:hint="default"/>
                      <w:highlight w:val="none"/>
                    </w:rPr>
                  </w:pPr>
                  <w:r>
                    <w:rPr>
                      <w:rFonts w:hint="default"/>
                      <w:highlight w:val="none"/>
                    </w:rPr>
                    <w:t>60</w:t>
                  </w:r>
                </w:p>
              </w:tc>
              <w:tc>
                <w:tcPr>
                  <w:tcW w:w="1382" w:type="dxa"/>
                  <w:vAlign w:val="center"/>
                </w:tcPr>
                <w:p>
                  <w:pPr>
                    <w:bidi w:val="0"/>
                    <w:jc w:val="center"/>
                    <w:rPr>
                      <w:rFonts w:hint="default"/>
                      <w:highlight w:val="none"/>
                      <w:lang w:val="en-US" w:eastAsia="zh-CN"/>
                    </w:rPr>
                  </w:pPr>
                  <w:r>
                    <w:rPr>
                      <w:rFonts w:hint="default"/>
                      <w:highlight w:val="none"/>
                      <w:lang w:val="en-US" w:eastAsia="zh-CN"/>
                    </w:rPr>
                    <w:t>36.7</w:t>
                  </w:r>
                </w:p>
              </w:tc>
              <w:tc>
                <w:tcPr>
                  <w:tcW w:w="1333" w:type="dxa"/>
                  <w:vAlign w:val="center"/>
                </w:tcPr>
                <w:p>
                  <w:pPr>
                    <w:bidi w:val="0"/>
                    <w:jc w:val="center"/>
                    <w:rPr>
                      <w:rFonts w:hint="default"/>
                      <w:highlight w:val="none"/>
                    </w:rPr>
                  </w:pPr>
                  <w:r>
                    <w:rPr>
                      <w:rFonts w:hint="default"/>
                      <w:highlight w:val="none"/>
                    </w:rPr>
                    <w:t>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432" w:hRule="atLeast"/>
                <w:jc w:val="center"/>
              </w:trPr>
              <w:tc>
                <w:tcPr>
                  <w:tcW w:w="976" w:type="dxa"/>
                  <w:vAlign w:val="center"/>
                </w:tcPr>
                <w:p>
                  <w:pPr>
                    <w:bidi w:val="0"/>
                    <w:jc w:val="center"/>
                    <w:rPr>
                      <w:rFonts w:hint="default"/>
                      <w:highlight w:val="none"/>
                    </w:rPr>
                  </w:pPr>
                  <w:r>
                    <w:rPr>
                      <w:rFonts w:hint="default"/>
                      <w:highlight w:val="none"/>
                    </w:rPr>
                    <w:t>NO</w:t>
                  </w:r>
                  <w:r>
                    <w:rPr>
                      <w:rFonts w:hint="default"/>
                      <w:highlight w:val="none"/>
                      <w:vertAlign w:val="subscript"/>
                    </w:rPr>
                    <w:t>2</w:t>
                  </w:r>
                </w:p>
              </w:tc>
              <w:tc>
                <w:tcPr>
                  <w:tcW w:w="1993" w:type="dxa"/>
                  <w:vMerge w:val="continue"/>
                  <w:vAlign w:val="center"/>
                </w:tcPr>
                <w:p>
                  <w:pPr>
                    <w:bidi w:val="0"/>
                    <w:jc w:val="center"/>
                    <w:rPr>
                      <w:rFonts w:hint="default"/>
                      <w:highlight w:val="none"/>
                    </w:rPr>
                  </w:pPr>
                </w:p>
              </w:tc>
              <w:tc>
                <w:tcPr>
                  <w:tcW w:w="1186" w:type="dxa"/>
                  <w:vAlign w:val="center"/>
                </w:tcPr>
                <w:p>
                  <w:pPr>
                    <w:bidi w:val="0"/>
                    <w:jc w:val="center"/>
                    <w:rPr>
                      <w:rFonts w:hint="default"/>
                      <w:highlight w:val="none"/>
                      <w:lang w:val="en-US" w:eastAsia="zh-CN"/>
                    </w:rPr>
                  </w:pPr>
                  <w:r>
                    <w:rPr>
                      <w:rFonts w:hint="default"/>
                      <w:highlight w:val="none"/>
                      <w:lang w:val="en-US" w:eastAsia="zh-CN"/>
                    </w:rPr>
                    <w:t>51</w:t>
                  </w:r>
                </w:p>
              </w:tc>
              <w:tc>
                <w:tcPr>
                  <w:tcW w:w="1426" w:type="dxa"/>
                  <w:vAlign w:val="center"/>
                </w:tcPr>
                <w:p>
                  <w:pPr>
                    <w:bidi w:val="0"/>
                    <w:jc w:val="center"/>
                    <w:rPr>
                      <w:rFonts w:hint="default"/>
                      <w:highlight w:val="none"/>
                    </w:rPr>
                  </w:pPr>
                  <w:r>
                    <w:rPr>
                      <w:rFonts w:hint="default"/>
                      <w:highlight w:val="none"/>
                    </w:rPr>
                    <w:t>40</w:t>
                  </w:r>
                </w:p>
              </w:tc>
              <w:tc>
                <w:tcPr>
                  <w:tcW w:w="1382" w:type="dxa"/>
                  <w:vAlign w:val="center"/>
                </w:tcPr>
                <w:p>
                  <w:pPr>
                    <w:bidi w:val="0"/>
                    <w:jc w:val="center"/>
                    <w:rPr>
                      <w:rFonts w:hint="default"/>
                      <w:highlight w:val="none"/>
                      <w:lang w:val="en-US" w:eastAsia="zh-CN"/>
                    </w:rPr>
                  </w:pPr>
                  <w:r>
                    <w:rPr>
                      <w:rFonts w:hint="default"/>
                      <w:highlight w:val="none"/>
                      <w:lang w:val="en-US" w:eastAsia="zh-CN"/>
                    </w:rPr>
                    <w:t>127.5</w:t>
                  </w:r>
                </w:p>
              </w:tc>
              <w:tc>
                <w:tcPr>
                  <w:tcW w:w="1333" w:type="dxa"/>
                  <w:vAlign w:val="center"/>
                </w:tcPr>
                <w:p>
                  <w:pPr>
                    <w:bidi w:val="0"/>
                    <w:jc w:val="center"/>
                    <w:rPr>
                      <w:rFonts w:hint="default"/>
                      <w:highlight w:val="none"/>
                    </w:rPr>
                  </w:pPr>
                  <w:r>
                    <w:rPr>
                      <w:rFonts w:hint="default"/>
                      <w:highlight w:val="none"/>
                    </w:rPr>
                    <w:t>不达标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432" w:hRule="atLeast"/>
                <w:jc w:val="center"/>
              </w:trPr>
              <w:tc>
                <w:tcPr>
                  <w:tcW w:w="976" w:type="dxa"/>
                  <w:vAlign w:val="center"/>
                </w:tcPr>
                <w:p>
                  <w:pPr>
                    <w:bidi w:val="0"/>
                    <w:jc w:val="center"/>
                    <w:rPr>
                      <w:rFonts w:hint="default"/>
                      <w:highlight w:val="none"/>
                    </w:rPr>
                  </w:pPr>
                  <w:r>
                    <w:rPr>
                      <w:rFonts w:hint="default"/>
                      <w:highlight w:val="none"/>
                    </w:rPr>
                    <w:t>PM</w:t>
                  </w:r>
                  <w:r>
                    <w:rPr>
                      <w:rFonts w:hint="default"/>
                      <w:highlight w:val="none"/>
                      <w:vertAlign w:val="subscript"/>
                    </w:rPr>
                    <w:t>10</w:t>
                  </w:r>
                </w:p>
              </w:tc>
              <w:tc>
                <w:tcPr>
                  <w:tcW w:w="1993" w:type="dxa"/>
                  <w:vMerge w:val="continue"/>
                  <w:vAlign w:val="center"/>
                </w:tcPr>
                <w:p>
                  <w:pPr>
                    <w:bidi w:val="0"/>
                    <w:jc w:val="center"/>
                    <w:rPr>
                      <w:rFonts w:hint="default"/>
                      <w:highlight w:val="none"/>
                    </w:rPr>
                  </w:pPr>
                </w:p>
              </w:tc>
              <w:tc>
                <w:tcPr>
                  <w:tcW w:w="1186" w:type="dxa"/>
                  <w:vAlign w:val="center"/>
                </w:tcPr>
                <w:p>
                  <w:pPr>
                    <w:bidi w:val="0"/>
                    <w:jc w:val="center"/>
                    <w:rPr>
                      <w:rFonts w:hint="default"/>
                      <w:highlight w:val="none"/>
                      <w:lang w:val="en-US" w:eastAsia="zh-CN"/>
                    </w:rPr>
                  </w:pPr>
                  <w:r>
                    <w:rPr>
                      <w:rFonts w:hint="default"/>
                      <w:highlight w:val="none"/>
                    </w:rPr>
                    <w:t>1</w:t>
                  </w:r>
                  <w:r>
                    <w:rPr>
                      <w:rFonts w:hint="default"/>
                      <w:highlight w:val="none"/>
                      <w:lang w:val="en-US" w:eastAsia="zh-CN"/>
                    </w:rPr>
                    <w:t>01</w:t>
                  </w:r>
                </w:p>
              </w:tc>
              <w:tc>
                <w:tcPr>
                  <w:tcW w:w="1426" w:type="dxa"/>
                  <w:vAlign w:val="center"/>
                </w:tcPr>
                <w:p>
                  <w:pPr>
                    <w:bidi w:val="0"/>
                    <w:jc w:val="center"/>
                    <w:rPr>
                      <w:rFonts w:hint="default"/>
                      <w:highlight w:val="none"/>
                    </w:rPr>
                  </w:pPr>
                  <w:r>
                    <w:rPr>
                      <w:rFonts w:hint="default"/>
                      <w:highlight w:val="none"/>
                    </w:rPr>
                    <w:t>70</w:t>
                  </w:r>
                </w:p>
              </w:tc>
              <w:tc>
                <w:tcPr>
                  <w:tcW w:w="1382" w:type="dxa"/>
                  <w:vAlign w:val="center"/>
                </w:tcPr>
                <w:p>
                  <w:pPr>
                    <w:bidi w:val="0"/>
                    <w:jc w:val="center"/>
                    <w:rPr>
                      <w:rFonts w:hint="default"/>
                      <w:highlight w:val="none"/>
                      <w:lang w:val="en-US" w:eastAsia="zh-CN"/>
                    </w:rPr>
                  </w:pPr>
                  <w:r>
                    <w:rPr>
                      <w:rFonts w:hint="default"/>
                      <w:highlight w:val="none"/>
                      <w:lang w:val="en-US" w:eastAsia="zh-CN"/>
                    </w:rPr>
                    <w:t>144.3</w:t>
                  </w:r>
                </w:p>
              </w:tc>
              <w:tc>
                <w:tcPr>
                  <w:tcW w:w="1333" w:type="dxa"/>
                  <w:vAlign w:val="center"/>
                </w:tcPr>
                <w:p>
                  <w:pPr>
                    <w:bidi w:val="0"/>
                    <w:jc w:val="center"/>
                    <w:rPr>
                      <w:rFonts w:hint="default"/>
                      <w:highlight w:val="none"/>
                    </w:rPr>
                  </w:pPr>
                  <w:r>
                    <w:rPr>
                      <w:rFonts w:hint="default"/>
                      <w:highlight w:val="none"/>
                    </w:rPr>
                    <w:t>不达标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432" w:hRule="atLeast"/>
                <w:jc w:val="center"/>
              </w:trPr>
              <w:tc>
                <w:tcPr>
                  <w:tcW w:w="976" w:type="dxa"/>
                  <w:vAlign w:val="center"/>
                </w:tcPr>
                <w:p>
                  <w:pPr>
                    <w:bidi w:val="0"/>
                    <w:jc w:val="center"/>
                    <w:rPr>
                      <w:rFonts w:hint="default"/>
                      <w:highlight w:val="none"/>
                    </w:rPr>
                  </w:pPr>
                  <w:r>
                    <w:rPr>
                      <w:rFonts w:hint="default"/>
                      <w:highlight w:val="none"/>
                    </w:rPr>
                    <w:t>PM</w:t>
                  </w:r>
                  <w:r>
                    <w:rPr>
                      <w:rFonts w:hint="default"/>
                      <w:highlight w:val="none"/>
                      <w:vertAlign w:val="subscript"/>
                    </w:rPr>
                    <w:t>2.5</w:t>
                  </w:r>
                </w:p>
              </w:tc>
              <w:tc>
                <w:tcPr>
                  <w:tcW w:w="1993" w:type="dxa"/>
                  <w:vMerge w:val="continue"/>
                  <w:vAlign w:val="center"/>
                </w:tcPr>
                <w:p>
                  <w:pPr>
                    <w:bidi w:val="0"/>
                    <w:jc w:val="center"/>
                    <w:rPr>
                      <w:rFonts w:hint="default"/>
                      <w:highlight w:val="none"/>
                    </w:rPr>
                  </w:pPr>
                </w:p>
              </w:tc>
              <w:tc>
                <w:tcPr>
                  <w:tcW w:w="1186" w:type="dxa"/>
                  <w:vAlign w:val="center"/>
                </w:tcPr>
                <w:p>
                  <w:pPr>
                    <w:bidi w:val="0"/>
                    <w:jc w:val="center"/>
                    <w:rPr>
                      <w:rFonts w:hint="default"/>
                      <w:highlight w:val="none"/>
                      <w:lang w:val="en-US" w:eastAsia="zh-CN"/>
                    </w:rPr>
                  </w:pPr>
                  <w:r>
                    <w:rPr>
                      <w:rFonts w:hint="default"/>
                      <w:highlight w:val="none"/>
                      <w:lang w:val="en-US" w:eastAsia="zh-CN"/>
                    </w:rPr>
                    <w:t>53.9</w:t>
                  </w:r>
                </w:p>
              </w:tc>
              <w:tc>
                <w:tcPr>
                  <w:tcW w:w="1426" w:type="dxa"/>
                  <w:vAlign w:val="center"/>
                </w:tcPr>
                <w:p>
                  <w:pPr>
                    <w:bidi w:val="0"/>
                    <w:jc w:val="center"/>
                    <w:rPr>
                      <w:rFonts w:hint="default"/>
                      <w:highlight w:val="none"/>
                    </w:rPr>
                  </w:pPr>
                  <w:r>
                    <w:rPr>
                      <w:rFonts w:hint="default"/>
                      <w:highlight w:val="none"/>
                    </w:rPr>
                    <w:t>35</w:t>
                  </w:r>
                </w:p>
              </w:tc>
              <w:tc>
                <w:tcPr>
                  <w:tcW w:w="1382" w:type="dxa"/>
                  <w:vAlign w:val="center"/>
                </w:tcPr>
                <w:p>
                  <w:pPr>
                    <w:bidi w:val="0"/>
                    <w:jc w:val="center"/>
                    <w:rPr>
                      <w:rFonts w:hint="default"/>
                      <w:highlight w:val="none"/>
                      <w:lang w:val="en-US" w:eastAsia="zh-CN"/>
                    </w:rPr>
                  </w:pPr>
                  <w:r>
                    <w:rPr>
                      <w:rFonts w:hint="default"/>
                      <w:highlight w:val="none"/>
                      <w:lang w:val="en-US" w:eastAsia="zh-CN"/>
                    </w:rPr>
                    <w:t>154</w:t>
                  </w:r>
                </w:p>
              </w:tc>
              <w:tc>
                <w:tcPr>
                  <w:tcW w:w="1333" w:type="dxa"/>
                  <w:vAlign w:val="center"/>
                </w:tcPr>
                <w:p>
                  <w:pPr>
                    <w:bidi w:val="0"/>
                    <w:jc w:val="center"/>
                    <w:rPr>
                      <w:rFonts w:hint="default"/>
                      <w:highlight w:val="none"/>
                    </w:rPr>
                  </w:pPr>
                  <w:r>
                    <w:rPr>
                      <w:rFonts w:hint="default"/>
                      <w:highlight w:val="none"/>
                    </w:rPr>
                    <w:t>不达标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90" w:hRule="atLeast"/>
                <w:jc w:val="center"/>
              </w:trPr>
              <w:tc>
                <w:tcPr>
                  <w:tcW w:w="976" w:type="dxa"/>
                  <w:vAlign w:val="center"/>
                </w:tcPr>
                <w:p>
                  <w:pPr>
                    <w:bidi w:val="0"/>
                    <w:jc w:val="center"/>
                    <w:rPr>
                      <w:rFonts w:hint="default"/>
                      <w:highlight w:val="none"/>
                    </w:rPr>
                  </w:pPr>
                  <w:r>
                    <w:rPr>
                      <w:rFonts w:hint="default"/>
                      <w:highlight w:val="none"/>
                    </w:rPr>
                    <w:t>CO</w:t>
                  </w:r>
                </w:p>
              </w:tc>
              <w:tc>
                <w:tcPr>
                  <w:tcW w:w="1993" w:type="dxa"/>
                  <w:vAlign w:val="center"/>
                </w:tcPr>
                <w:p>
                  <w:pPr>
                    <w:bidi w:val="0"/>
                    <w:jc w:val="center"/>
                    <w:rPr>
                      <w:rFonts w:hint="default"/>
                      <w:highlight w:val="none"/>
                    </w:rPr>
                  </w:pPr>
                  <w:r>
                    <w:rPr>
                      <w:rFonts w:hint="default"/>
                      <w:highlight w:val="none"/>
                    </w:rPr>
                    <w:t>日平均质量浓度的第95百分位数</w:t>
                  </w:r>
                </w:p>
              </w:tc>
              <w:tc>
                <w:tcPr>
                  <w:tcW w:w="1186" w:type="dxa"/>
                  <w:vAlign w:val="center"/>
                </w:tcPr>
                <w:p>
                  <w:pPr>
                    <w:bidi w:val="0"/>
                    <w:jc w:val="center"/>
                    <w:rPr>
                      <w:rFonts w:hint="default"/>
                      <w:highlight w:val="none"/>
                    </w:rPr>
                  </w:pPr>
                  <w:r>
                    <w:rPr>
                      <w:rFonts w:hint="default"/>
                      <w:highlight w:val="none"/>
                      <w:lang w:val="en-US" w:eastAsia="zh-CN"/>
                    </w:rPr>
                    <w:t>29</w:t>
                  </w:r>
                  <w:r>
                    <w:rPr>
                      <w:rFonts w:hint="default"/>
                      <w:highlight w:val="none"/>
                    </w:rPr>
                    <w:t>00</w:t>
                  </w:r>
                </w:p>
              </w:tc>
              <w:tc>
                <w:tcPr>
                  <w:tcW w:w="1426" w:type="dxa"/>
                  <w:vAlign w:val="center"/>
                </w:tcPr>
                <w:p>
                  <w:pPr>
                    <w:bidi w:val="0"/>
                    <w:jc w:val="center"/>
                    <w:rPr>
                      <w:rFonts w:hint="default"/>
                      <w:highlight w:val="none"/>
                    </w:rPr>
                  </w:pPr>
                  <w:r>
                    <w:rPr>
                      <w:rFonts w:hint="default"/>
                      <w:highlight w:val="none"/>
                    </w:rPr>
                    <w:t>4000</w:t>
                  </w:r>
                </w:p>
              </w:tc>
              <w:tc>
                <w:tcPr>
                  <w:tcW w:w="1382" w:type="dxa"/>
                  <w:vAlign w:val="center"/>
                </w:tcPr>
                <w:p>
                  <w:pPr>
                    <w:bidi w:val="0"/>
                    <w:jc w:val="center"/>
                    <w:rPr>
                      <w:rFonts w:hint="default"/>
                      <w:highlight w:val="none"/>
                    </w:rPr>
                  </w:pPr>
                  <w:r>
                    <w:rPr>
                      <w:rFonts w:hint="default"/>
                      <w:highlight w:val="none"/>
                      <w:lang w:val="en-US" w:eastAsia="zh-CN"/>
                    </w:rPr>
                    <w:t>72.5</w:t>
                  </w:r>
                </w:p>
              </w:tc>
              <w:tc>
                <w:tcPr>
                  <w:tcW w:w="1333" w:type="dxa"/>
                  <w:vAlign w:val="center"/>
                </w:tcPr>
                <w:p>
                  <w:pPr>
                    <w:bidi w:val="0"/>
                    <w:jc w:val="center"/>
                    <w:rPr>
                      <w:rFonts w:hint="default"/>
                      <w:highlight w:val="none"/>
                    </w:rPr>
                  </w:pPr>
                  <w:r>
                    <w:rPr>
                      <w:rFonts w:hint="default"/>
                      <w:highlight w:val="none"/>
                    </w:rPr>
                    <w:t>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30" w:type="dxa"/>
                  <w:bottom w:w="0" w:type="dxa"/>
                  <w:right w:w="30" w:type="dxa"/>
                </w:tblCellMar>
              </w:tblPrEx>
              <w:trPr>
                <w:trHeight w:val="580" w:hRule="atLeast"/>
                <w:jc w:val="center"/>
              </w:trPr>
              <w:tc>
                <w:tcPr>
                  <w:tcW w:w="976" w:type="dxa"/>
                  <w:vAlign w:val="center"/>
                </w:tcPr>
                <w:p>
                  <w:pPr>
                    <w:bidi w:val="0"/>
                    <w:jc w:val="center"/>
                    <w:rPr>
                      <w:rFonts w:hint="default"/>
                      <w:highlight w:val="none"/>
                    </w:rPr>
                  </w:pPr>
                  <w:r>
                    <w:rPr>
                      <w:rFonts w:hint="default"/>
                      <w:highlight w:val="none"/>
                    </w:rPr>
                    <w:t>O</w:t>
                  </w:r>
                  <w:r>
                    <w:rPr>
                      <w:rFonts w:hint="default"/>
                      <w:highlight w:val="none"/>
                      <w:vertAlign w:val="subscript"/>
                    </w:rPr>
                    <w:t>3</w:t>
                  </w:r>
                </w:p>
              </w:tc>
              <w:tc>
                <w:tcPr>
                  <w:tcW w:w="1993" w:type="dxa"/>
                  <w:vAlign w:val="center"/>
                </w:tcPr>
                <w:p>
                  <w:pPr>
                    <w:bidi w:val="0"/>
                    <w:jc w:val="center"/>
                    <w:rPr>
                      <w:rFonts w:hint="default"/>
                      <w:highlight w:val="none"/>
                    </w:rPr>
                  </w:pPr>
                  <w:r>
                    <w:rPr>
                      <w:rFonts w:hint="default"/>
                      <w:highlight w:val="none"/>
                    </w:rPr>
                    <w:t>日最大8h平均浓度的第90百分位数</w:t>
                  </w:r>
                </w:p>
              </w:tc>
              <w:tc>
                <w:tcPr>
                  <w:tcW w:w="1186" w:type="dxa"/>
                  <w:vAlign w:val="center"/>
                </w:tcPr>
                <w:p>
                  <w:pPr>
                    <w:bidi w:val="0"/>
                    <w:jc w:val="center"/>
                    <w:rPr>
                      <w:rFonts w:hint="default"/>
                      <w:highlight w:val="none"/>
                      <w:lang w:eastAsia="zh-CN"/>
                    </w:rPr>
                  </w:pPr>
                  <w:r>
                    <w:rPr>
                      <w:rFonts w:hint="default"/>
                      <w:highlight w:val="none"/>
                    </w:rPr>
                    <w:t>19</w:t>
                  </w:r>
                  <w:r>
                    <w:rPr>
                      <w:rFonts w:hint="default"/>
                      <w:highlight w:val="none"/>
                      <w:lang w:val="en-US" w:eastAsia="zh-CN"/>
                    </w:rPr>
                    <w:t>0</w:t>
                  </w:r>
                </w:p>
              </w:tc>
              <w:tc>
                <w:tcPr>
                  <w:tcW w:w="1426" w:type="dxa"/>
                  <w:vAlign w:val="center"/>
                </w:tcPr>
                <w:p>
                  <w:pPr>
                    <w:bidi w:val="0"/>
                    <w:jc w:val="center"/>
                    <w:rPr>
                      <w:rFonts w:hint="default"/>
                      <w:highlight w:val="none"/>
                    </w:rPr>
                  </w:pPr>
                  <w:r>
                    <w:rPr>
                      <w:rFonts w:hint="default"/>
                      <w:highlight w:val="none"/>
                    </w:rPr>
                    <w:t>160</w:t>
                  </w:r>
                </w:p>
              </w:tc>
              <w:tc>
                <w:tcPr>
                  <w:tcW w:w="1382" w:type="dxa"/>
                  <w:vAlign w:val="center"/>
                </w:tcPr>
                <w:p>
                  <w:pPr>
                    <w:bidi w:val="0"/>
                    <w:jc w:val="center"/>
                    <w:rPr>
                      <w:rFonts w:hint="default"/>
                      <w:highlight w:val="none"/>
                      <w:lang w:val="en-US" w:eastAsia="zh-CN"/>
                    </w:rPr>
                  </w:pPr>
                  <w:r>
                    <w:rPr>
                      <w:rFonts w:hint="default"/>
                      <w:highlight w:val="none"/>
                      <w:lang w:val="en-US" w:eastAsia="zh-CN"/>
                    </w:rPr>
                    <w:t>118.8</w:t>
                  </w:r>
                </w:p>
              </w:tc>
              <w:tc>
                <w:tcPr>
                  <w:tcW w:w="1333" w:type="dxa"/>
                  <w:vAlign w:val="center"/>
                </w:tcPr>
                <w:p>
                  <w:pPr>
                    <w:bidi w:val="0"/>
                    <w:jc w:val="center"/>
                    <w:rPr>
                      <w:rFonts w:hint="default"/>
                      <w:highlight w:val="none"/>
                    </w:rPr>
                  </w:pPr>
                  <w:r>
                    <w:rPr>
                      <w:rFonts w:hint="default"/>
                      <w:highlight w:val="none"/>
                    </w:rPr>
                    <w:t>不达标</w:t>
                  </w:r>
                </w:p>
              </w:tc>
            </w:tr>
          </w:tbl>
          <w:p>
            <w:pPr>
              <w:pStyle w:val="57"/>
              <w:spacing w:line="480" w:lineRule="exact"/>
              <w:ind w:firstLine="480"/>
              <w:jc w:val="both"/>
              <w:rPr>
                <w:rFonts w:hint="default" w:ascii="Times New Roman" w:hAnsi="Times New Roman" w:cs="Times New Roman"/>
                <w:bCs/>
                <w:sz w:val="24"/>
                <w:highlight w:val="none"/>
              </w:rPr>
            </w:pPr>
            <w:r>
              <w:rPr>
                <w:rFonts w:hint="default" w:ascii="Times New Roman" w:hAnsi="Times New Roman" w:cs="Times New Roman"/>
                <w:bCs/>
                <w:sz w:val="24"/>
                <w:highlight w:val="none"/>
              </w:rPr>
              <w:t>由表</w:t>
            </w:r>
            <w:r>
              <w:rPr>
                <w:rFonts w:hint="default" w:ascii="Times New Roman" w:hAnsi="Times New Roman" w:cs="Times New Roman"/>
                <w:bCs/>
                <w:sz w:val="24"/>
                <w:highlight w:val="none"/>
                <w:lang w:val="en-US" w:eastAsia="zh-CN"/>
              </w:rPr>
              <w:t>6</w:t>
            </w:r>
            <w:r>
              <w:rPr>
                <w:rFonts w:hint="default" w:ascii="Times New Roman" w:hAnsi="Times New Roman" w:cs="Times New Roman"/>
                <w:bCs/>
                <w:sz w:val="24"/>
                <w:highlight w:val="none"/>
              </w:rPr>
              <w:t>可知，SO</w:t>
            </w:r>
            <w:r>
              <w:rPr>
                <w:rFonts w:hint="default" w:ascii="Times New Roman" w:hAnsi="Times New Roman" w:cs="Times New Roman"/>
                <w:bCs/>
                <w:sz w:val="24"/>
                <w:highlight w:val="none"/>
                <w:vertAlign w:val="subscript"/>
              </w:rPr>
              <w:t>2</w:t>
            </w:r>
            <w:r>
              <w:rPr>
                <w:rFonts w:hint="default" w:ascii="Times New Roman" w:hAnsi="Times New Roman" w:cs="Times New Roman"/>
                <w:bCs/>
                <w:sz w:val="24"/>
                <w:highlight w:val="none"/>
              </w:rPr>
              <w:t>的年平均质量浓度、CO的日平均质量浓度的第95百分位数满足《环境空气质量标准》（GB3095-2012）及其修改单中二级标准；NO</w:t>
            </w:r>
            <w:r>
              <w:rPr>
                <w:rFonts w:hint="default" w:ascii="Times New Roman" w:hAnsi="Times New Roman" w:cs="Times New Roman"/>
                <w:bCs/>
                <w:sz w:val="24"/>
                <w:highlight w:val="none"/>
                <w:vertAlign w:val="subscript"/>
              </w:rPr>
              <w:t>2</w:t>
            </w:r>
            <w:r>
              <w:rPr>
                <w:rFonts w:hint="default" w:ascii="Times New Roman" w:hAnsi="Times New Roman" w:cs="Times New Roman"/>
                <w:bCs/>
                <w:sz w:val="24"/>
                <w:highlight w:val="none"/>
              </w:rPr>
              <w:t>、PM</w:t>
            </w:r>
            <w:r>
              <w:rPr>
                <w:rFonts w:hint="default" w:ascii="Times New Roman" w:hAnsi="Times New Roman" w:cs="Times New Roman"/>
                <w:bCs/>
                <w:sz w:val="24"/>
                <w:highlight w:val="none"/>
                <w:vertAlign w:val="subscript"/>
              </w:rPr>
              <w:t>2.5</w:t>
            </w:r>
            <w:r>
              <w:rPr>
                <w:rFonts w:hint="default" w:ascii="Times New Roman" w:hAnsi="Times New Roman" w:cs="Times New Roman"/>
                <w:bCs/>
                <w:sz w:val="24"/>
                <w:highlight w:val="none"/>
              </w:rPr>
              <w:t>、PM</w:t>
            </w:r>
            <w:r>
              <w:rPr>
                <w:rFonts w:hint="default" w:ascii="Times New Roman" w:hAnsi="Times New Roman" w:cs="Times New Roman"/>
                <w:bCs/>
                <w:sz w:val="24"/>
                <w:highlight w:val="none"/>
                <w:vertAlign w:val="subscript"/>
              </w:rPr>
              <w:t>10</w:t>
            </w:r>
            <w:r>
              <w:rPr>
                <w:rFonts w:hint="default" w:ascii="Times New Roman" w:hAnsi="Times New Roman" w:cs="Times New Roman"/>
                <w:bCs/>
                <w:sz w:val="24"/>
                <w:highlight w:val="none"/>
              </w:rPr>
              <w:t>的年平均质量浓度和O</w:t>
            </w:r>
            <w:r>
              <w:rPr>
                <w:rFonts w:hint="default" w:ascii="Times New Roman" w:hAnsi="Times New Roman" w:cs="Times New Roman"/>
                <w:bCs/>
                <w:sz w:val="24"/>
                <w:highlight w:val="none"/>
                <w:vertAlign w:val="subscript"/>
              </w:rPr>
              <w:t>3</w:t>
            </w:r>
            <w:r>
              <w:rPr>
                <w:rFonts w:hint="default" w:ascii="Times New Roman" w:hAnsi="Times New Roman" w:cs="Times New Roman"/>
                <w:bCs/>
                <w:sz w:val="24"/>
                <w:highlight w:val="none"/>
              </w:rPr>
              <w:t>的日最大8h平均浓度的第90百分位数不满足《环境空气质量标准》（GB3095-2012）及其修改单中二级标准，根据《环境影响评价技术导则 大气环境》(HJ2.2-2018)，6.4.1.1 城市环境空气质量达标情况评价指标为SO</w:t>
            </w:r>
            <w:r>
              <w:rPr>
                <w:rFonts w:hint="default" w:ascii="Times New Roman" w:hAnsi="Times New Roman" w:cs="Times New Roman"/>
                <w:bCs/>
                <w:sz w:val="24"/>
                <w:highlight w:val="none"/>
                <w:vertAlign w:val="subscript"/>
              </w:rPr>
              <w:t>2</w:t>
            </w:r>
            <w:r>
              <w:rPr>
                <w:rFonts w:hint="default" w:ascii="Times New Roman" w:hAnsi="Times New Roman" w:cs="Times New Roman"/>
                <w:bCs/>
                <w:sz w:val="24"/>
                <w:highlight w:val="none"/>
              </w:rPr>
              <w:t>、NO</w:t>
            </w:r>
            <w:r>
              <w:rPr>
                <w:rFonts w:hint="default" w:ascii="Times New Roman" w:hAnsi="Times New Roman" w:cs="Times New Roman"/>
                <w:bCs/>
                <w:sz w:val="24"/>
                <w:highlight w:val="none"/>
                <w:vertAlign w:val="subscript"/>
              </w:rPr>
              <w:t>2</w:t>
            </w:r>
            <w:r>
              <w:rPr>
                <w:rFonts w:hint="default" w:ascii="Times New Roman" w:hAnsi="Times New Roman" w:cs="Times New Roman"/>
                <w:bCs/>
                <w:sz w:val="24"/>
                <w:highlight w:val="none"/>
              </w:rPr>
              <w:t>、PM</w:t>
            </w:r>
            <w:r>
              <w:rPr>
                <w:rFonts w:hint="default" w:ascii="Times New Roman" w:hAnsi="Times New Roman" w:cs="Times New Roman"/>
                <w:bCs/>
                <w:sz w:val="24"/>
                <w:highlight w:val="none"/>
                <w:vertAlign w:val="subscript"/>
              </w:rPr>
              <w:t>10</w:t>
            </w:r>
            <w:r>
              <w:rPr>
                <w:rFonts w:hint="default" w:ascii="Times New Roman" w:hAnsi="Times New Roman" w:cs="Times New Roman"/>
                <w:bCs/>
                <w:sz w:val="24"/>
                <w:highlight w:val="none"/>
              </w:rPr>
              <w:t>、PM</w:t>
            </w:r>
            <w:r>
              <w:rPr>
                <w:rFonts w:hint="default" w:ascii="Times New Roman" w:hAnsi="Times New Roman" w:cs="Times New Roman"/>
                <w:bCs/>
                <w:sz w:val="24"/>
                <w:highlight w:val="none"/>
                <w:vertAlign w:val="subscript"/>
              </w:rPr>
              <w:t>2.5</w:t>
            </w:r>
            <w:r>
              <w:rPr>
                <w:rFonts w:hint="default" w:ascii="Times New Roman" w:hAnsi="Times New Roman" w:cs="Times New Roman"/>
                <w:bCs/>
                <w:sz w:val="24"/>
                <w:highlight w:val="none"/>
              </w:rPr>
              <w:t>、CO和O</w:t>
            </w:r>
            <w:r>
              <w:rPr>
                <w:rFonts w:hint="default" w:ascii="Times New Roman" w:hAnsi="Times New Roman" w:cs="Times New Roman"/>
                <w:bCs/>
                <w:sz w:val="24"/>
                <w:highlight w:val="none"/>
                <w:vertAlign w:val="subscript"/>
              </w:rPr>
              <w:t>3</w:t>
            </w:r>
            <w:r>
              <w:rPr>
                <w:rFonts w:hint="default" w:ascii="Times New Roman" w:hAnsi="Times New Roman" w:cs="Times New Roman"/>
                <w:bCs/>
                <w:sz w:val="24"/>
                <w:highlight w:val="none"/>
              </w:rPr>
              <w:t>，六项污染物全部达标即为城市环境空气质量达标。通过以上数据判定，项目所在区域环境空气质量不达标，属于不达标区。</w:t>
            </w:r>
          </w:p>
          <w:p>
            <w:pPr>
              <w:autoSpaceDE w:val="0"/>
              <w:autoSpaceDN w:val="0"/>
              <w:adjustRightInd w:val="0"/>
              <w:snapToGrid w:val="0"/>
              <w:spacing w:line="480" w:lineRule="exact"/>
              <w:ind w:firstLine="472" w:firstLineChars="196"/>
              <w:rPr>
                <w:b/>
                <w:sz w:val="24"/>
                <w:szCs w:val="24"/>
                <w:highlight w:val="none"/>
              </w:rPr>
            </w:pPr>
            <w:r>
              <w:rPr>
                <w:b/>
                <w:sz w:val="24"/>
                <w:szCs w:val="24"/>
                <w:highlight w:val="none"/>
              </w:rPr>
              <w:t>2、声环境</w:t>
            </w:r>
          </w:p>
          <w:p>
            <w:pPr>
              <w:pStyle w:val="23"/>
              <w:tabs>
                <w:tab w:val="left" w:pos="4148"/>
              </w:tabs>
              <w:adjustRightInd w:val="0"/>
              <w:snapToGrid w:val="0"/>
              <w:spacing w:line="480" w:lineRule="exact"/>
              <w:ind w:firstLine="480" w:firstLineChars="200"/>
              <w:rPr>
                <w:rFonts w:hint="eastAsia" w:ascii="Times New Roman" w:hAnsi="Times New Roman" w:cs="Times New Roman"/>
                <w:sz w:val="24"/>
                <w:szCs w:val="24"/>
                <w:highlight w:val="none"/>
              </w:rPr>
            </w:pPr>
            <w:r>
              <w:rPr>
                <w:rFonts w:ascii="Times New Roman" w:hAnsi="Times New Roman" w:cs="Times New Roman"/>
                <w:sz w:val="24"/>
                <w:szCs w:val="24"/>
                <w:highlight w:val="none"/>
              </w:rPr>
              <w:t>根据迁安市环境监测站声环境现状监测数据，区域环境噪声为：昼间45.6～54.9dB(A)，夜间41.1～44.3dB(A)，声环境现状满足《声环境质量标准》(GB3096-2008)中</w:t>
            </w:r>
            <w:r>
              <w:rPr>
                <w:rFonts w:hint="eastAsia" w:ascii="Times New Roman" w:hAnsi="Times New Roman" w:cs="Times New Roman"/>
                <w:sz w:val="24"/>
                <w:szCs w:val="24"/>
                <w:highlight w:val="none"/>
                <w:lang w:val="en-US" w:eastAsia="zh-CN"/>
              </w:rPr>
              <w:t>1</w:t>
            </w:r>
            <w:r>
              <w:rPr>
                <w:rFonts w:ascii="Times New Roman" w:hAnsi="Times New Roman" w:cs="Times New Roman"/>
                <w:sz w:val="24"/>
                <w:szCs w:val="24"/>
                <w:highlight w:val="none"/>
              </w:rPr>
              <w:t>类标准要求，声环境质量良好。</w:t>
            </w:r>
          </w:p>
          <w:p>
            <w:pPr>
              <w:pStyle w:val="23"/>
              <w:tabs>
                <w:tab w:val="left" w:pos="4148"/>
              </w:tabs>
              <w:adjustRightInd w:val="0"/>
              <w:snapToGrid w:val="0"/>
              <w:spacing w:line="48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480" w:lineRule="exact"/>
              <w:rPr>
                <w:rFonts w:hint="eastAsia" w:ascii="Times New Roman" w:hAnsi="Times New Roman"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4" w:hRule="atLeast"/>
          <w:jc w:val="center"/>
        </w:trPr>
        <w:tc>
          <w:tcPr>
            <w:tcW w:w="8747" w:type="dxa"/>
            <w:noWrap w:val="0"/>
            <w:vAlign w:val="top"/>
          </w:tcPr>
          <w:p>
            <w:pPr>
              <w:suppressAutoHyphens/>
              <w:topLinePunct/>
              <w:rPr>
                <w:b/>
                <w:sz w:val="28"/>
                <w:szCs w:val="28"/>
                <w:highlight w:val="none"/>
              </w:rPr>
            </w:pPr>
            <w:r>
              <w:rPr>
                <w:b/>
                <w:sz w:val="28"/>
                <w:szCs w:val="28"/>
                <w:highlight w:val="none"/>
              </w:rPr>
              <w:t>主要环境保护目标(列出名单及保护级别)：</w:t>
            </w:r>
          </w:p>
          <w:p>
            <w:pPr>
              <w:pStyle w:val="23"/>
              <w:tabs>
                <w:tab w:val="left" w:pos="4148"/>
              </w:tabs>
              <w:adjustRightInd w:val="0"/>
              <w:snapToGrid w:val="0"/>
              <w:spacing w:line="480" w:lineRule="exact"/>
              <w:ind w:firstLine="480" w:firstLineChars="200"/>
              <w:rPr>
                <w:rFonts w:hint="eastAsia" w:ascii="Times New Roman" w:hAnsi="Times New Roman" w:cs="Times New Roman"/>
                <w:sz w:val="24"/>
                <w:szCs w:val="24"/>
                <w:highlight w:val="none"/>
              </w:rPr>
            </w:pPr>
            <w:r>
              <w:rPr>
                <w:rFonts w:ascii="Times New Roman" w:hAnsi="Times New Roman" w:cs="Times New Roman"/>
                <w:sz w:val="24"/>
                <w:szCs w:val="24"/>
                <w:highlight w:val="none"/>
              </w:rPr>
              <w:t>项目主要环境保护目标见表</w:t>
            </w:r>
            <w:r>
              <w:rPr>
                <w:rFonts w:hint="eastAsia" w:ascii="Times New Roman" w:hAnsi="Times New Roman" w:cs="Times New Roman"/>
                <w:sz w:val="24"/>
                <w:szCs w:val="24"/>
                <w:highlight w:val="none"/>
              </w:rPr>
              <w:t>7</w:t>
            </w:r>
            <w:r>
              <w:rPr>
                <w:rFonts w:ascii="Times New Roman" w:hAnsi="Times New Roman" w:cs="Times New Roman"/>
                <w:sz w:val="24"/>
                <w:szCs w:val="24"/>
                <w:highlight w:val="none"/>
              </w:rPr>
              <w:t>。</w:t>
            </w:r>
          </w:p>
          <w:p>
            <w:pPr>
              <w:pStyle w:val="6"/>
              <w:spacing w:line="500" w:lineRule="exact"/>
              <w:ind w:firstLine="482" w:firstLineChars="200"/>
              <w:jc w:val="center"/>
              <w:rPr>
                <w:rFonts w:hint="eastAsia"/>
                <w:b/>
                <w:sz w:val="24"/>
                <w:szCs w:val="24"/>
                <w:highlight w:val="none"/>
              </w:rPr>
            </w:pPr>
            <w:r>
              <w:rPr>
                <w:b/>
                <w:sz w:val="24"/>
                <w:szCs w:val="24"/>
                <w:highlight w:val="none"/>
              </w:rPr>
              <w:t>表</w:t>
            </w:r>
            <w:r>
              <w:rPr>
                <w:rFonts w:hint="eastAsia"/>
                <w:b/>
                <w:sz w:val="24"/>
                <w:szCs w:val="24"/>
                <w:highlight w:val="none"/>
              </w:rPr>
              <w:t>7</w:t>
            </w:r>
            <w:r>
              <w:rPr>
                <w:b/>
                <w:sz w:val="24"/>
                <w:szCs w:val="24"/>
                <w:highlight w:val="none"/>
              </w:rPr>
              <w:t xml:space="preserve">  </w:t>
            </w:r>
            <w:r>
              <w:rPr>
                <w:rFonts w:hint="eastAsia"/>
                <w:b/>
                <w:sz w:val="24"/>
                <w:szCs w:val="24"/>
                <w:highlight w:val="none"/>
              </w:rPr>
              <w:t xml:space="preserve">  </w:t>
            </w:r>
            <w:r>
              <w:rPr>
                <w:b/>
                <w:sz w:val="24"/>
                <w:szCs w:val="24"/>
                <w:highlight w:val="none"/>
              </w:rPr>
              <w:t>环境保护目标</w:t>
            </w:r>
          </w:p>
          <w:tbl>
            <w:tblPr>
              <w:tblStyle w:val="36"/>
              <w:tblW w:w="853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49"/>
              <w:gridCol w:w="1346"/>
              <w:gridCol w:w="1292"/>
              <w:gridCol w:w="940"/>
              <w:gridCol w:w="692"/>
              <w:gridCol w:w="924"/>
              <w:gridCol w:w="925"/>
              <w:gridCol w:w="10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789"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 w:val="0"/>
                      <w:bCs/>
                      <w:kern w:val="0"/>
                      <w:sz w:val="21"/>
                      <w:szCs w:val="21"/>
                      <w:highlight w:val="none"/>
                      <w:lang w:eastAsia="zh-CN"/>
                    </w:rPr>
                  </w:pPr>
                  <w:r>
                    <w:rPr>
                      <w:rFonts w:hint="default" w:ascii="Times New Roman" w:hAnsi="Times New Roman" w:cs="Times New Roman"/>
                      <w:b w:val="0"/>
                      <w:bCs/>
                      <w:kern w:val="0"/>
                      <w:sz w:val="21"/>
                      <w:szCs w:val="21"/>
                      <w:highlight w:val="none"/>
                      <w:lang w:eastAsia="zh-CN"/>
                    </w:rPr>
                    <w:t>名称</w:t>
                  </w:r>
                </w:p>
              </w:tc>
              <w:tc>
                <w:tcPr>
                  <w:tcW w:w="1544" w:type="pct"/>
                  <w:gridSpan w:val="2"/>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经纬度（</w:t>
                  </w:r>
                  <w:r>
                    <w:rPr>
                      <w:rFonts w:hint="default" w:ascii="Times New Roman" w:hAnsi="Times New Roman" w:cs="Times New Roman"/>
                      <w:b w:val="0"/>
                      <w:bCs/>
                      <w:kern w:val="0"/>
                      <w:sz w:val="21"/>
                      <w:szCs w:val="21"/>
                      <w:highlight w:val="none"/>
                      <w:vertAlign w:val="superscript"/>
                    </w:rPr>
                    <w:t>0</w:t>
                  </w:r>
                  <w:r>
                    <w:rPr>
                      <w:rFonts w:hint="default" w:ascii="Times New Roman" w:hAnsi="Times New Roman" w:cs="Times New Roman"/>
                      <w:b w:val="0"/>
                      <w:bCs/>
                      <w:kern w:val="0"/>
                      <w:sz w:val="21"/>
                      <w:szCs w:val="21"/>
                      <w:highlight w:val="none"/>
                    </w:rPr>
                    <w:t>）</w:t>
                  </w:r>
                </w:p>
              </w:tc>
              <w:tc>
                <w:tcPr>
                  <w:tcW w:w="550"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保护</w:t>
                  </w:r>
                </w:p>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 w:val="0"/>
                      <w:bCs/>
                      <w:kern w:val="0"/>
                      <w:sz w:val="21"/>
                      <w:szCs w:val="21"/>
                      <w:highlight w:val="none"/>
                      <w:lang w:val="en-US" w:eastAsia="zh-CN" w:bidi="ar-SA"/>
                    </w:rPr>
                  </w:pPr>
                  <w:r>
                    <w:rPr>
                      <w:rFonts w:hint="default" w:ascii="Times New Roman" w:hAnsi="Times New Roman" w:cs="Times New Roman"/>
                      <w:b w:val="0"/>
                      <w:bCs/>
                      <w:kern w:val="0"/>
                      <w:sz w:val="21"/>
                      <w:szCs w:val="21"/>
                      <w:highlight w:val="none"/>
                    </w:rPr>
                    <w:t>对象</w:t>
                  </w:r>
                </w:p>
              </w:tc>
              <w:tc>
                <w:tcPr>
                  <w:tcW w:w="405"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保护</w:t>
                  </w:r>
                </w:p>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 w:val="0"/>
                      <w:bCs/>
                      <w:kern w:val="0"/>
                      <w:sz w:val="21"/>
                      <w:szCs w:val="21"/>
                      <w:highlight w:val="none"/>
                      <w:lang w:val="en-US" w:eastAsia="zh-CN" w:bidi="ar-SA"/>
                    </w:rPr>
                  </w:pPr>
                  <w:r>
                    <w:rPr>
                      <w:rFonts w:hint="default" w:ascii="Times New Roman" w:hAnsi="Times New Roman" w:cs="Times New Roman"/>
                      <w:b w:val="0"/>
                      <w:bCs/>
                      <w:kern w:val="0"/>
                      <w:sz w:val="21"/>
                      <w:szCs w:val="21"/>
                      <w:highlight w:val="none"/>
                    </w:rPr>
                    <w:t>内容</w:t>
                  </w:r>
                </w:p>
              </w:tc>
              <w:tc>
                <w:tcPr>
                  <w:tcW w:w="541"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 w:val="0"/>
                      <w:bCs/>
                      <w:kern w:val="0"/>
                      <w:sz w:val="21"/>
                      <w:szCs w:val="21"/>
                      <w:highlight w:val="none"/>
                      <w:lang w:val="en-US" w:eastAsia="zh-CN" w:bidi="ar-SA"/>
                    </w:rPr>
                  </w:pPr>
                  <w:r>
                    <w:rPr>
                      <w:rFonts w:hint="default" w:ascii="Times New Roman" w:hAnsi="Times New Roman" w:cs="Times New Roman"/>
                      <w:b w:val="0"/>
                      <w:bCs/>
                      <w:kern w:val="0"/>
                      <w:sz w:val="21"/>
                      <w:szCs w:val="21"/>
                      <w:highlight w:val="none"/>
                      <w:lang w:eastAsia="zh-CN"/>
                    </w:rPr>
                    <w:t>环境功能区</w:t>
                  </w:r>
                </w:p>
              </w:tc>
              <w:tc>
                <w:tcPr>
                  <w:tcW w:w="541"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相对</w:t>
                  </w:r>
                  <w:r>
                    <w:rPr>
                      <w:rFonts w:hint="default" w:ascii="Times New Roman" w:hAnsi="Times New Roman" w:cs="Times New Roman"/>
                      <w:b w:val="0"/>
                      <w:bCs/>
                      <w:kern w:val="0"/>
                      <w:sz w:val="21"/>
                      <w:szCs w:val="21"/>
                      <w:highlight w:val="none"/>
                      <w:lang w:eastAsia="zh-CN"/>
                    </w:rPr>
                    <w:t>厂址</w:t>
                  </w:r>
                  <w:r>
                    <w:rPr>
                      <w:rFonts w:hint="default" w:ascii="Times New Roman" w:hAnsi="Times New Roman" w:cs="Times New Roman"/>
                      <w:b w:val="0"/>
                      <w:bCs/>
                      <w:kern w:val="0"/>
                      <w:sz w:val="21"/>
                      <w:szCs w:val="21"/>
                      <w:highlight w:val="none"/>
                    </w:rPr>
                    <w:t>方位</w:t>
                  </w:r>
                </w:p>
              </w:tc>
              <w:tc>
                <w:tcPr>
                  <w:tcW w:w="626" w:type="pct"/>
                  <w:vMerge w:val="restar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 w:val="0"/>
                      <w:bCs/>
                      <w:kern w:val="0"/>
                      <w:sz w:val="21"/>
                      <w:szCs w:val="21"/>
                      <w:highlight w:val="none"/>
                      <w:lang w:val="en-US" w:eastAsia="zh-CN"/>
                    </w:rPr>
                  </w:pPr>
                  <w:r>
                    <w:rPr>
                      <w:rFonts w:hint="default" w:ascii="Times New Roman" w:hAnsi="Times New Roman" w:cs="Times New Roman"/>
                      <w:b w:val="0"/>
                      <w:bCs/>
                      <w:kern w:val="0"/>
                      <w:sz w:val="21"/>
                      <w:szCs w:val="21"/>
                      <w:highlight w:val="none"/>
                      <w:lang w:val="en-US" w:eastAsia="zh-CN"/>
                    </w:rPr>
                    <w:t>相对厂界距离（m）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789"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Cs/>
                      <w:kern w:val="0"/>
                      <w:sz w:val="21"/>
                      <w:szCs w:val="21"/>
                      <w:highlight w:val="none"/>
                    </w:rPr>
                  </w:pPr>
                </w:p>
              </w:tc>
              <w:tc>
                <w:tcPr>
                  <w:tcW w:w="78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经度</w:t>
                  </w:r>
                </w:p>
              </w:tc>
              <w:tc>
                <w:tcPr>
                  <w:tcW w:w="756"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纬度</w:t>
                  </w:r>
                </w:p>
              </w:tc>
              <w:tc>
                <w:tcPr>
                  <w:tcW w:w="550"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Cs/>
                      <w:kern w:val="0"/>
                      <w:sz w:val="21"/>
                      <w:szCs w:val="21"/>
                      <w:highlight w:val="none"/>
                      <w:lang w:val="en-US" w:eastAsia="zh-CN" w:bidi="ar-SA"/>
                    </w:rPr>
                  </w:pPr>
                </w:p>
              </w:tc>
              <w:tc>
                <w:tcPr>
                  <w:tcW w:w="405"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Cs/>
                      <w:kern w:val="0"/>
                      <w:sz w:val="21"/>
                      <w:szCs w:val="21"/>
                      <w:highlight w:val="none"/>
                      <w:lang w:val="en-US" w:eastAsia="zh-CN" w:bidi="ar-SA"/>
                    </w:rPr>
                  </w:pPr>
                </w:p>
              </w:tc>
              <w:tc>
                <w:tcPr>
                  <w:tcW w:w="541"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Cs/>
                      <w:kern w:val="0"/>
                      <w:sz w:val="21"/>
                      <w:szCs w:val="21"/>
                      <w:highlight w:val="none"/>
                      <w:lang w:val="en-US" w:eastAsia="zh-CN" w:bidi="ar-SA"/>
                    </w:rPr>
                  </w:pPr>
                </w:p>
              </w:tc>
              <w:tc>
                <w:tcPr>
                  <w:tcW w:w="541"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Cs/>
                      <w:kern w:val="0"/>
                      <w:sz w:val="21"/>
                      <w:szCs w:val="21"/>
                      <w:highlight w:val="none"/>
                    </w:rPr>
                  </w:pPr>
                </w:p>
              </w:tc>
              <w:tc>
                <w:tcPr>
                  <w:tcW w:w="626" w:type="pct"/>
                  <w:vMerge w:val="continue"/>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bCs/>
                      <w:kern w:val="0"/>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6"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eastAsia="zh-CN"/>
                    </w:rPr>
                  </w:pPr>
                  <w:r>
                    <w:rPr>
                      <w:rFonts w:hint="default" w:ascii="Times New Roman" w:hAnsi="Times New Roman" w:cs="Times New Roman"/>
                      <w:szCs w:val="21"/>
                      <w:highlight w:val="none"/>
                    </w:rPr>
                    <w:t>迁安市人民医院</w:t>
                  </w:r>
                  <w:r>
                    <w:rPr>
                      <w:rFonts w:hint="default" w:ascii="Times New Roman" w:hAnsi="Times New Roman" w:cs="Times New Roman"/>
                      <w:highlight w:val="none"/>
                      <w:lang w:eastAsia="zh-CN"/>
                    </w:rPr>
                    <w:t>主楼</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rPr>
                    <w:t>118.728132</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rPr>
                    <w:t>39.987495</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rPr>
                    <w:t>医院</w:t>
                  </w:r>
                </w:p>
              </w:tc>
              <w:tc>
                <w:tcPr>
                  <w:tcW w:w="405"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cs="Times New Roman"/>
                      <w:kern w:val="0"/>
                      <w:sz w:val="21"/>
                      <w:szCs w:val="21"/>
                      <w:highlight w:val="none"/>
                      <w:lang w:eastAsia="zh-CN"/>
                    </w:rPr>
                    <w:t>声环境</w:t>
                  </w:r>
                </w:p>
              </w:tc>
              <w:tc>
                <w:tcPr>
                  <w:tcW w:w="541"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bCs/>
                      <w:kern w:val="0"/>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声环境</w:t>
                  </w:r>
                  <w:r>
                    <w:rPr>
                      <w:rFonts w:hint="default" w:ascii="Times New Roman" w:hAnsi="Times New Roman" w:cs="Times New Roman"/>
                      <w:color w:val="auto"/>
                      <w:kern w:val="2"/>
                      <w:sz w:val="21"/>
                      <w:szCs w:val="21"/>
                      <w:highlight w:val="none"/>
                      <w:lang w:val="en-US" w:eastAsia="zh-CN" w:bidi="ar-SA"/>
                    </w:rPr>
                    <w:t>1</w:t>
                  </w:r>
                  <w:r>
                    <w:rPr>
                      <w:rFonts w:hint="default" w:ascii="Times New Roman" w:hAnsi="Times New Roman" w:eastAsia="宋体" w:cs="Times New Roman"/>
                      <w:color w:val="auto"/>
                      <w:kern w:val="2"/>
                      <w:sz w:val="21"/>
                      <w:szCs w:val="21"/>
                      <w:highlight w:val="none"/>
                      <w:lang w:val="en-US" w:eastAsia="zh-CN" w:bidi="ar-SA"/>
                    </w:rPr>
                    <w:t>类</w:t>
                  </w:r>
                </w:p>
              </w:tc>
              <w:tc>
                <w:tcPr>
                  <w:tcW w:w="541"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lang w:eastAsia="zh-CN"/>
                    </w:rPr>
                    <w:t>东</w:t>
                  </w:r>
                </w:p>
              </w:tc>
              <w:tc>
                <w:tcPr>
                  <w:tcW w:w="62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6"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rPr>
                    <w:t>迁安市人民医院</w:t>
                  </w:r>
                  <w:r>
                    <w:rPr>
                      <w:rFonts w:hint="default" w:ascii="Times New Roman" w:hAnsi="Times New Roman" w:cs="Times New Roman"/>
                      <w:highlight w:val="none"/>
                      <w:lang w:eastAsia="zh-CN"/>
                    </w:rPr>
                    <w:t>主楼</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 w:val="21"/>
                      <w:szCs w:val="21"/>
                      <w:highlight w:val="none"/>
                    </w:rPr>
                    <w:t>118.728132</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 w:val="21"/>
                      <w:szCs w:val="21"/>
                      <w:highlight w:val="none"/>
                    </w:rPr>
                    <w:t>39.987495</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rPr>
                    <w:t>医院</w:t>
                  </w:r>
                </w:p>
              </w:tc>
              <w:tc>
                <w:tcPr>
                  <w:tcW w:w="405" w:type="pct"/>
                  <w:vMerge w:val="restar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kern w:val="0"/>
                      <w:sz w:val="21"/>
                      <w:szCs w:val="21"/>
                      <w:highlight w:val="none"/>
                    </w:rPr>
                  </w:pPr>
                  <w:r>
                    <w:rPr>
                      <w:rFonts w:hint="default" w:ascii="Times New Roman" w:hAnsi="Times New Roman" w:cs="Times New Roman"/>
                      <w:kern w:val="0"/>
                      <w:sz w:val="21"/>
                      <w:szCs w:val="21"/>
                      <w:highlight w:val="none"/>
                    </w:rPr>
                    <w:t>环境</w:t>
                  </w:r>
                </w:p>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cs="Times New Roman"/>
                      <w:kern w:val="0"/>
                      <w:sz w:val="21"/>
                      <w:szCs w:val="21"/>
                      <w:highlight w:val="none"/>
                    </w:rPr>
                    <w:t>空气</w:t>
                  </w:r>
                </w:p>
              </w:tc>
              <w:tc>
                <w:tcPr>
                  <w:tcW w:w="541" w:type="pct"/>
                  <w:vMerge w:val="restar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eastAsia="宋体" w:cs="Times New Roman"/>
                      <w:kern w:val="0"/>
                      <w:sz w:val="21"/>
                      <w:szCs w:val="21"/>
                      <w:highlight w:val="none"/>
                    </w:rPr>
                    <w:t>环境空气二级</w:t>
                  </w:r>
                </w:p>
              </w:tc>
              <w:tc>
                <w:tcPr>
                  <w:tcW w:w="541"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 w:val="21"/>
                      <w:szCs w:val="21"/>
                      <w:highlight w:val="none"/>
                      <w:lang w:eastAsia="zh-CN"/>
                    </w:rPr>
                    <w:t>东</w:t>
                  </w:r>
                </w:p>
              </w:tc>
              <w:tc>
                <w:tcPr>
                  <w:tcW w:w="62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 w:val="21"/>
                      <w:szCs w:val="21"/>
                      <w:highlight w:val="none"/>
                      <w:lang w:val="en-US" w:eastAsia="zh-CN"/>
                    </w:rPr>
                    <w:t>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2"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Cs w:val="21"/>
                      <w:highlight w:val="none"/>
                    </w:rPr>
                  </w:pPr>
                  <w:r>
                    <w:rPr>
                      <w:rFonts w:hint="default" w:ascii="Times New Roman" w:hAnsi="Times New Roman" w:cs="Times New Roman"/>
                      <w:szCs w:val="21"/>
                      <w:highlight w:val="none"/>
                    </w:rPr>
                    <w:t>迁安市惠民小区</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rPr>
                    <w:t>118.714743</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rPr>
                    <w:t>39.986196</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 w:val="21"/>
                      <w:szCs w:val="21"/>
                      <w:highlight w:val="none"/>
                    </w:rPr>
                    <w:t>居</w:t>
                  </w:r>
                  <w:r>
                    <w:rPr>
                      <w:rFonts w:hint="default" w:ascii="Times New Roman" w:hAnsi="Times New Roman" w:cs="Times New Roman"/>
                      <w:sz w:val="21"/>
                      <w:szCs w:val="21"/>
                      <w:highlight w:val="none"/>
                      <w:lang w:eastAsia="zh-CN"/>
                    </w:rPr>
                    <w:t>民</w:t>
                  </w:r>
                </w:p>
              </w:tc>
              <w:tc>
                <w:tcPr>
                  <w:tcW w:w="405"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p>
              </w:tc>
              <w:tc>
                <w:tcPr>
                  <w:tcW w:w="541"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p>
              </w:tc>
              <w:tc>
                <w:tcPr>
                  <w:tcW w:w="541" w:type="pct"/>
                  <w:noWrap w:val="0"/>
                  <w:vAlign w:val="center"/>
                </w:tcPr>
                <w:p>
                  <w:pPr>
                    <w:jc w:val="center"/>
                    <w:rPr>
                      <w:rFonts w:hint="default" w:ascii="Times New Roman" w:hAnsi="Times New Roman" w:eastAsia="宋体" w:cs="Times New Roman"/>
                      <w:sz w:val="21"/>
                      <w:szCs w:val="21"/>
                      <w:highlight w:val="none"/>
                      <w:lang w:eastAsia="zh-CN"/>
                    </w:rPr>
                  </w:pPr>
                  <w:r>
                    <w:rPr>
                      <w:rFonts w:hint="default" w:ascii="Times New Roman" w:hAnsi="Times New Roman" w:cs="Times New Roman"/>
                      <w:szCs w:val="21"/>
                      <w:highlight w:val="none"/>
                    </w:rPr>
                    <w:t>西南</w:t>
                  </w:r>
                </w:p>
              </w:tc>
              <w:tc>
                <w:tcPr>
                  <w:tcW w:w="626" w:type="pct"/>
                  <w:noWrap w:val="0"/>
                  <w:vAlign w:val="center"/>
                </w:tcPr>
                <w:p>
                  <w:pPr>
                    <w:jc w:val="center"/>
                    <w:rPr>
                      <w:rFonts w:hint="default" w:ascii="Times New Roman" w:hAnsi="Times New Roman" w:cs="Times New Roman"/>
                      <w:sz w:val="21"/>
                      <w:szCs w:val="21"/>
                      <w:highlight w:val="none"/>
                      <w:lang w:val="en-US" w:eastAsia="zh-CN"/>
                    </w:rPr>
                  </w:pPr>
                  <w:r>
                    <w:rPr>
                      <w:rFonts w:hint="default" w:ascii="Times New Roman" w:hAnsi="Times New Roman" w:cs="Times New Roman"/>
                      <w:szCs w:val="21"/>
                      <w:highlight w:val="none"/>
                    </w:rPr>
                    <w:t>140m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Cs w:val="21"/>
                      <w:highlight w:val="none"/>
                      <w:lang w:val="en-US" w:eastAsia="zh-CN"/>
                    </w:rPr>
                  </w:pPr>
                  <w:r>
                    <w:rPr>
                      <w:rFonts w:hint="default" w:ascii="Times New Roman" w:hAnsi="Times New Roman" w:cs="Times New Roman"/>
                      <w:szCs w:val="21"/>
                      <w:highlight w:val="none"/>
                      <w:lang w:eastAsia="zh-CN"/>
                    </w:rPr>
                    <w:t>洪富庄村</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118.726501</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39.981264</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居</w:t>
                  </w:r>
                  <w:r>
                    <w:rPr>
                      <w:rFonts w:hint="default" w:ascii="Times New Roman" w:hAnsi="Times New Roman" w:cs="Times New Roman"/>
                      <w:sz w:val="21"/>
                      <w:szCs w:val="21"/>
                      <w:highlight w:val="none"/>
                      <w:lang w:eastAsia="zh-CN"/>
                    </w:rPr>
                    <w:t>民</w:t>
                  </w:r>
                </w:p>
              </w:tc>
              <w:tc>
                <w:tcPr>
                  <w:tcW w:w="405"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p>
              </w:tc>
              <w:tc>
                <w:tcPr>
                  <w:tcW w:w="541"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p>
              </w:tc>
              <w:tc>
                <w:tcPr>
                  <w:tcW w:w="541" w:type="pct"/>
                  <w:noWrap w:val="0"/>
                  <w:vAlign w:val="center"/>
                </w:tcPr>
                <w:p>
                  <w:pPr>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lang w:eastAsia="zh-CN"/>
                    </w:rPr>
                    <w:t>南</w:t>
                  </w:r>
                </w:p>
              </w:tc>
              <w:tc>
                <w:tcPr>
                  <w:tcW w:w="626" w:type="pct"/>
                  <w:noWrap w:val="0"/>
                  <w:vAlign w:val="center"/>
                </w:tcPr>
                <w:p>
                  <w:pPr>
                    <w:jc w:val="center"/>
                    <w:rPr>
                      <w:rFonts w:hint="default" w:ascii="Times New Roman" w:hAnsi="Times New Roman" w:cs="Times New Roman"/>
                      <w:sz w:val="21"/>
                      <w:szCs w:val="21"/>
                      <w:highlight w:val="none"/>
                      <w:lang w:val="en-US" w:eastAsia="zh-CN"/>
                    </w:rPr>
                  </w:pPr>
                  <w:r>
                    <w:rPr>
                      <w:rFonts w:hint="default" w:ascii="Times New Roman" w:hAnsi="Times New Roman" w:cs="Times New Roman"/>
                      <w:szCs w:val="21"/>
                      <w:highlight w:val="none"/>
                      <w:lang w:val="en-US" w:eastAsia="zh-CN"/>
                    </w:rPr>
                    <w:t>384m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2"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Cs w:val="21"/>
                      <w:highlight w:val="none"/>
                      <w:lang w:val="en-US" w:eastAsia="zh-CN"/>
                    </w:rPr>
                  </w:pPr>
                  <w:r>
                    <w:rPr>
                      <w:rFonts w:hint="default" w:ascii="Times New Roman" w:hAnsi="Times New Roman" w:cs="Times New Roman"/>
                      <w:szCs w:val="21"/>
                      <w:highlight w:val="none"/>
                      <w:lang w:val="en-US" w:eastAsia="zh-CN"/>
                    </w:rPr>
                    <w:t>石岩庄村</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118.722467</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39.993890</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居</w:t>
                  </w:r>
                  <w:r>
                    <w:rPr>
                      <w:rFonts w:hint="default" w:ascii="Times New Roman" w:hAnsi="Times New Roman" w:cs="Times New Roman"/>
                      <w:sz w:val="21"/>
                      <w:szCs w:val="21"/>
                      <w:highlight w:val="none"/>
                      <w:lang w:eastAsia="zh-CN"/>
                    </w:rPr>
                    <w:t>民</w:t>
                  </w:r>
                </w:p>
              </w:tc>
              <w:tc>
                <w:tcPr>
                  <w:tcW w:w="405"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p>
              </w:tc>
              <w:tc>
                <w:tcPr>
                  <w:tcW w:w="541"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p>
              </w:tc>
              <w:tc>
                <w:tcPr>
                  <w:tcW w:w="541" w:type="pct"/>
                  <w:noWrap w:val="0"/>
                  <w:vAlign w:val="center"/>
                </w:tcPr>
                <w:p>
                  <w:pPr>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lang w:eastAsia="zh-CN"/>
                    </w:rPr>
                    <w:t>西北</w:t>
                  </w:r>
                </w:p>
              </w:tc>
              <w:tc>
                <w:tcPr>
                  <w:tcW w:w="626" w:type="pct"/>
                  <w:noWrap w:val="0"/>
                  <w:vAlign w:val="center"/>
                </w:tcPr>
                <w:p>
                  <w:pPr>
                    <w:jc w:val="center"/>
                    <w:rPr>
                      <w:rFonts w:hint="default" w:ascii="Times New Roman" w:hAnsi="Times New Roman" w:cs="Times New Roman"/>
                      <w:sz w:val="21"/>
                      <w:szCs w:val="21"/>
                      <w:highlight w:val="none"/>
                      <w:lang w:val="en-US" w:eastAsia="zh-CN"/>
                    </w:rPr>
                  </w:pPr>
                  <w:r>
                    <w:rPr>
                      <w:rFonts w:hint="default" w:ascii="Times New Roman" w:hAnsi="Times New Roman" w:cs="Times New Roman"/>
                      <w:szCs w:val="21"/>
                      <w:highlight w:val="none"/>
                      <w:lang w:val="en-US" w:eastAsia="zh-CN"/>
                    </w:rPr>
                    <w:t>475m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2" w:hRule="atLeast"/>
              </w:trPr>
              <w:tc>
                <w:tcPr>
                  <w:tcW w:w="789"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Cs w:val="21"/>
                      <w:highlight w:val="none"/>
                      <w:lang w:eastAsia="zh-CN"/>
                    </w:rPr>
                  </w:pPr>
                  <w:r>
                    <w:rPr>
                      <w:rFonts w:hint="default" w:ascii="Times New Roman" w:hAnsi="Times New Roman" w:cs="Times New Roman"/>
                      <w:szCs w:val="21"/>
                      <w:highlight w:val="none"/>
                      <w:lang w:val="en-US" w:eastAsia="zh-CN"/>
                    </w:rPr>
                    <w:t>崔庄村</w:t>
                  </w:r>
                </w:p>
              </w:tc>
              <w:tc>
                <w:tcPr>
                  <w:tcW w:w="788"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118.713756</w:t>
                  </w:r>
                </w:p>
              </w:tc>
              <w:tc>
                <w:tcPr>
                  <w:tcW w:w="756"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39.988432</w:t>
                  </w:r>
                </w:p>
              </w:tc>
              <w:tc>
                <w:tcPr>
                  <w:tcW w:w="550" w:type="pct"/>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居</w:t>
                  </w:r>
                  <w:r>
                    <w:rPr>
                      <w:rFonts w:hint="default" w:ascii="Times New Roman" w:hAnsi="Times New Roman" w:cs="Times New Roman"/>
                      <w:sz w:val="21"/>
                      <w:szCs w:val="21"/>
                      <w:highlight w:val="none"/>
                      <w:lang w:eastAsia="zh-CN"/>
                    </w:rPr>
                    <w:t>民</w:t>
                  </w:r>
                </w:p>
              </w:tc>
              <w:tc>
                <w:tcPr>
                  <w:tcW w:w="405"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SA"/>
                    </w:rPr>
                  </w:pPr>
                </w:p>
              </w:tc>
              <w:tc>
                <w:tcPr>
                  <w:tcW w:w="541" w:type="pct"/>
                  <w:vMerge w:val="continue"/>
                  <w:noWrap w:val="0"/>
                  <w:vAlign w:val="center"/>
                </w:tcPr>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default" w:ascii="Times New Roman" w:hAnsi="Times New Roman" w:eastAsia="宋体" w:cs="Times New Roman"/>
                      <w:kern w:val="2"/>
                      <w:sz w:val="21"/>
                      <w:szCs w:val="21"/>
                      <w:highlight w:val="none"/>
                      <w:lang w:val="en-US" w:eastAsia="zh-CN" w:bidi="ar-SA"/>
                    </w:rPr>
                  </w:pPr>
                </w:p>
              </w:tc>
              <w:tc>
                <w:tcPr>
                  <w:tcW w:w="541" w:type="pct"/>
                  <w:noWrap w:val="0"/>
                  <w:vAlign w:val="center"/>
                </w:tcPr>
                <w:p>
                  <w:pPr>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lang w:eastAsia="zh-CN"/>
                    </w:rPr>
                    <w:t>西</w:t>
                  </w:r>
                </w:p>
              </w:tc>
              <w:tc>
                <w:tcPr>
                  <w:tcW w:w="626" w:type="pct"/>
                  <w:noWrap w:val="0"/>
                  <w:vAlign w:val="center"/>
                </w:tcPr>
                <w:p>
                  <w:pPr>
                    <w:jc w:val="center"/>
                    <w:rPr>
                      <w:rFonts w:hint="default" w:ascii="Times New Roman" w:hAnsi="Times New Roman" w:cs="Times New Roman"/>
                      <w:sz w:val="21"/>
                      <w:szCs w:val="21"/>
                      <w:highlight w:val="none"/>
                      <w:lang w:val="en-US" w:eastAsia="zh-CN"/>
                    </w:rPr>
                  </w:pPr>
                  <w:r>
                    <w:rPr>
                      <w:rFonts w:hint="default" w:ascii="Times New Roman" w:hAnsi="Times New Roman" w:cs="Times New Roman"/>
                      <w:szCs w:val="21"/>
                      <w:highlight w:val="none"/>
                      <w:lang w:val="en-US" w:eastAsia="zh-CN"/>
                    </w:rPr>
                    <w:t>688m</w:t>
                  </w:r>
                </w:p>
              </w:tc>
            </w:tr>
          </w:tbl>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ind w:firstLine="480" w:firstLineChars="200"/>
              <w:rPr>
                <w:rFonts w:hint="eastAsia" w:ascii="Times New Roman" w:hAnsi="Times New Roman" w:cs="Times New Roman"/>
                <w:sz w:val="24"/>
                <w:szCs w:val="24"/>
                <w:highlight w:val="none"/>
              </w:rPr>
            </w:pPr>
          </w:p>
          <w:p>
            <w:pPr>
              <w:pStyle w:val="23"/>
              <w:tabs>
                <w:tab w:val="left" w:pos="4148"/>
              </w:tabs>
              <w:adjustRightInd w:val="0"/>
              <w:snapToGrid w:val="0"/>
              <w:spacing w:line="500" w:lineRule="exact"/>
              <w:rPr>
                <w:rFonts w:hint="eastAsia" w:ascii="Times New Roman" w:hAnsi="Times New Roman" w:cs="Times New Roman"/>
                <w:szCs w:val="24"/>
                <w:highlight w:val="none"/>
              </w:rPr>
            </w:pPr>
          </w:p>
        </w:tc>
      </w:tr>
    </w:tbl>
    <w:p>
      <w:pPr>
        <w:pStyle w:val="46"/>
        <w:outlineLvl w:val="0"/>
        <w:rPr>
          <w:rFonts w:hint="eastAsia" w:eastAsia="黑体"/>
          <w:b/>
          <w:spacing w:val="0"/>
          <w:szCs w:val="32"/>
          <w:highlight w:val="none"/>
        </w:rPr>
      </w:pPr>
      <w:r>
        <w:rPr>
          <w:rFonts w:eastAsia="黑体"/>
          <w:b/>
          <w:spacing w:val="0"/>
          <w:szCs w:val="32"/>
          <w:highlight w:val="none"/>
        </w:rPr>
        <w:t>评价适用标准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7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10" w:hRule="atLeast"/>
          <w:jc w:val="center"/>
        </w:trPr>
        <w:tc>
          <w:tcPr>
            <w:tcW w:w="685" w:type="dxa"/>
            <w:noWrap w:val="0"/>
            <w:vAlign w:val="center"/>
          </w:tcPr>
          <w:p>
            <w:pPr>
              <w:pStyle w:val="46"/>
              <w:spacing w:line="240" w:lineRule="auto"/>
              <w:jc w:val="center"/>
              <w:rPr>
                <w:b/>
                <w:spacing w:val="0"/>
                <w:sz w:val="24"/>
                <w:szCs w:val="24"/>
                <w:highlight w:val="none"/>
              </w:rPr>
            </w:pPr>
            <w:r>
              <w:rPr>
                <w:b/>
                <w:spacing w:val="0"/>
                <w:sz w:val="24"/>
                <w:szCs w:val="24"/>
                <w:highlight w:val="none"/>
              </w:rPr>
              <w:t>环</w:t>
            </w:r>
          </w:p>
          <w:p>
            <w:pPr>
              <w:pStyle w:val="46"/>
              <w:spacing w:line="240" w:lineRule="auto"/>
              <w:jc w:val="center"/>
              <w:rPr>
                <w:b/>
                <w:spacing w:val="0"/>
                <w:sz w:val="24"/>
                <w:szCs w:val="24"/>
                <w:highlight w:val="none"/>
              </w:rPr>
            </w:pPr>
            <w:r>
              <w:rPr>
                <w:b/>
                <w:spacing w:val="0"/>
                <w:sz w:val="24"/>
                <w:szCs w:val="24"/>
                <w:highlight w:val="none"/>
              </w:rPr>
              <w:t>境</w:t>
            </w:r>
          </w:p>
          <w:p>
            <w:pPr>
              <w:pStyle w:val="46"/>
              <w:spacing w:line="240" w:lineRule="auto"/>
              <w:jc w:val="center"/>
              <w:rPr>
                <w:b/>
                <w:spacing w:val="0"/>
                <w:sz w:val="24"/>
                <w:szCs w:val="24"/>
                <w:highlight w:val="none"/>
              </w:rPr>
            </w:pPr>
            <w:r>
              <w:rPr>
                <w:b/>
                <w:spacing w:val="0"/>
                <w:sz w:val="24"/>
                <w:szCs w:val="24"/>
                <w:highlight w:val="none"/>
              </w:rPr>
              <w:t>质</w:t>
            </w:r>
          </w:p>
          <w:p>
            <w:pPr>
              <w:pStyle w:val="46"/>
              <w:spacing w:line="240" w:lineRule="auto"/>
              <w:jc w:val="center"/>
              <w:rPr>
                <w:b/>
                <w:spacing w:val="0"/>
                <w:sz w:val="24"/>
                <w:szCs w:val="24"/>
                <w:highlight w:val="none"/>
              </w:rPr>
            </w:pPr>
            <w:r>
              <w:rPr>
                <w:b/>
                <w:spacing w:val="0"/>
                <w:sz w:val="24"/>
                <w:szCs w:val="24"/>
                <w:highlight w:val="none"/>
              </w:rPr>
              <w:t>量</w:t>
            </w:r>
          </w:p>
          <w:p>
            <w:pPr>
              <w:pStyle w:val="46"/>
              <w:spacing w:line="240" w:lineRule="auto"/>
              <w:jc w:val="center"/>
              <w:rPr>
                <w:b/>
                <w:spacing w:val="0"/>
                <w:sz w:val="24"/>
                <w:szCs w:val="24"/>
                <w:highlight w:val="none"/>
              </w:rPr>
            </w:pPr>
            <w:r>
              <w:rPr>
                <w:b/>
                <w:spacing w:val="0"/>
                <w:sz w:val="24"/>
                <w:szCs w:val="24"/>
                <w:highlight w:val="none"/>
              </w:rPr>
              <w:t>标</w:t>
            </w:r>
          </w:p>
          <w:p>
            <w:pPr>
              <w:pStyle w:val="46"/>
              <w:spacing w:line="240" w:lineRule="auto"/>
              <w:jc w:val="center"/>
              <w:rPr>
                <w:b/>
                <w:spacing w:val="0"/>
                <w:sz w:val="28"/>
                <w:highlight w:val="none"/>
              </w:rPr>
            </w:pPr>
            <w:r>
              <w:rPr>
                <w:b/>
                <w:spacing w:val="0"/>
                <w:sz w:val="24"/>
                <w:szCs w:val="24"/>
                <w:highlight w:val="none"/>
              </w:rPr>
              <w:t>准</w:t>
            </w:r>
          </w:p>
        </w:tc>
        <w:tc>
          <w:tcPr>
            <w:tcW w:w="7857" w:type="dxa"/>
            <w:noWrap w:val="0"/>
            <w:vAlign w:val="top"/>
          </w:tcPr>
          <w:p>
            <w:pPr>
              <w:spacing w:line="480" w:lineRule="exact"/>
              <w:ind w:firstLine="480" w:firstLineChars="200"/>
              <w:rPr>
                <w:kern w:val="24"/>
                <w:sz w:val="24"/>
                <w:szCs w:val="24"/>
                <w:highlight w:val="none"/>
              </w:rPr>
            </w:pPr>
            <w:r>
              <w:rPr>
                <w:kern w:val="24"/>
                <w:sz w:val="24"/>
                <w:szCs w:val="24"/>
                <w:highlight w:val="none"/>
              </w:rPr>
              <w:t>1、环境空气执行《环境空气质量标准》(GB3095-2012)二级标准，具体标准见表</w:t>
            </w:r>
            <w:r>
              <w:rPr>
                <w:rFonts w:hint="eastAsia"/>
                <w:kern w:val="24"/>
                <w:sz w:val="24"/>
                <w:szCs w:val="24"/>
                <w:highlight w:val="none"/>
              </w:rPr>
              <w:t>8</w:t>
            </w:r>
            <w:r>
              <w:rPr>
                <w:kern w:val="24"/>
                <w:sz w:val="24"/>
                <w:szCs w:val="24"/>
                <w:highlight w:val="none"/>
              </w:rPr>
              <w:t>。</w:t>
            </w:r>
          </w:p>
          <w:p>
            <w:pPr>
              <w:adjustRightInd w:val="0"/>
              <w:snapToGrid w:val="0"/>
              <w:spacing w:before="93" w:beforeLines="30"/>
              <w:ind w:firstLine="482"/>
              <w:jc w:val="center"/>
              <w:rPr>
                <w:b/>
                <w:sz w:val="24"/>
                <w:highlight w:val="none"/>
              </w:rPr>
            </w:pPr>
            <w:r>
              <w:rPr>
                <w:b/>
                <w:sz w:val="24"/>
                <w:szCs w:val="24"/>
                <w:highlight w:val="none"/>
              </w:rPr>
              <w:t>表</w:t>
            </w:r>
            <w:r>
              <w:rPr>
                <w:rFonts w:hint="eastAsia"/>
                <w:b/>
                <w:sz w:val="24"/>
                <w:szCs w:val="24"/>
                <w:highlight w:val="none"/>
              </w:rPr>
              <w:t>8</w:t>
            </w:r>
            <w:r>
              <w:rPr>
                <w:b/>
                <w:sz w:val="24"/>
                <w:szCs w:val="24"/>
                <w:highlight w:val="none"/>
              </w:rPr>
              <w:t xml:space="preserve">   </w:t>
            </w:r>
            <w:r>
              <w:rPr>
                <w:rFonts w:hint="eastAsia"/>
                <w:b/>
                <w:sz w:val="24"/>
                <w:szCs w:val="24"/>
                <w:highlight w:val="none"/>
              </w:rPr>
              <w:t xml:space="preserve"> </w:t>
            </w:r>
            <w:r>
              <w:rPr>
                <w:b/>
                <w:sz w:val="24"/>
                <w:szCs w:val="24"/>
                <w:highlight w:val="none"/>
              </w:rPr>
              <w:t>环境空气质量标准</w:t>
            </w:r>
          </w:p>
          <w:tbl>
            <w:tblPr>
              <w:tblStyle w:val="36"/>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949"/>
              <w:gridCol w:w="1007"/>
              <w:gridCol w:w="982"/>
              <w:gridCol w:w="1890"/>
              <w:gridCol w:w="775"/>
              <w:gridCol w:w="102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restart"/>
                  <w:tcBorders>
                    <w:tl2br w:val="nil"/>
                    <w:tr2bl w:val="nil"/>
                  </w:tcBorders>
                  <w:noWrap w:val="0"/>
                  <w:vAlign w:val="center"/>
                </w:tcPr>
                <w:p>
                  <w:pPr>
                    <w:spacing w:line="360" w:lineRule="exact"/>
                    <w:jc w:val="center"/>
                    <w:rPr>
                      <w:b w:val="0"/>
                      <w:bCs w:val="0"/>
                      <w:szCs w:val="21"/>
                      <w:highlight w:val="none"/>
                    </w:rPr>
                  </w:pPr>
                  <w:r>
                    <w:rPr>
                      <w:b w:val="0"/>
                      <w:bCs w:val="0"/>
                      <w:szCs w:val="21"/>
                      <w:highlight w:val="none"/>
                    </w:rPr>
                    <w:t>标 准 名 称</w:t>
                  </w:r>
                </w:p>
              </w:tc>
              <w:tc>
                <w:tcPr>
                  <w:tcW w:w="662" w:type="pct"/>
                  <w:vMerge w:val="restart"/>
                  <w:tcBorders>
                    <w:tl2br w:val="nil"/>
                    <w:tr2bl w:val="nil"/>
                  </w:tcBorders>
                  <w:noWrap w:val="0"/>
                  <w:vAlign w:val="center"/>
                </w:tcPr>
                <w:p>
                  <w:pPr>
                    <w:spacing w:line="360" w:lineRule="exact"/>
                    <w:jc w:val="center"/>
                    <w:rPr>
                      <w:b w:val="0"/>
                      <w:bCs w:val="0"/>
                      <w:szCs w:val="21"/>
                      <w:highlight w:val="none"/>
                    </w:rPr>
                  </w:pPr>
                  <w:r>
                    <w:rPr>
                      <w:b w:val="0"/>
                      <w:bCs w:val="0"/>
                      <w:szCs w:val="21"/>
                      <w:highlight w:val="none"/>
                    </w:rPr>
                    <w:t>级 别</w:t>
                  </w:r>
                </w:p>
              </w:tc>
              <w:tc>
                <w:tcPr>
                  <w:tcW w:w="1885" w:type="pct"/>
                  <w:gridSpan w:val="2"/>
                  <w:vMerge w:val="restart"/>
                  <w:tcBorders>
                    <w:tl2br w:val="nil"/>
                    <w:tr2bl w:val="nil"/>
                  </w:tcBorders>
                  <w:noWrap w:val="0"/>
                  <w:vAlign w:val="center"/>
                </w:tcPr>
                <w:p>
                  <w:pPr>
                    <w:spacing w:line="360" w:lineRule="exact"/>
                    <w:jc w:val="center"/>
                    <w:rPr>
                      <w:b w:val="0"/>
                      <w:bCs w:val="0"/>
                      <w:szCs w:val="21"/>
                      <w:highlight w:val="none"/>
                    </w:rPr>
                  </w:pPr>
                  <w:r>
                    <w:rPr>
                      <w:b w:val="0"/>
                      <w:bCs w:val="0"/>
                      <w:szCs w:val="21"/>
                      <w:highlight w:val="none"/>
                    </w:rPr>
                    <w:t>污染物名称</w:t>
                  </w:r>
                </w:p>
              </w:tc>
              <w:tc>
                <w:tcPr>
                  <w:tcW w:w="1173" w:type="pct"/>
                  <w:gridSpan w:val="2"/>
                  <w:tcBorders>
                    <w:tl2br w:val="nil"/>
                    <w:tr2bl w:val="nil"/>
                  </w:tcBorders>
                  <w:noWrap w:val="0"/>
                  <w:vAlign w:val="center"/>
                </w:tcPr>
                <w:p>
                  <w:pPr>
                    <w:spacing w:line="360" w:lineRule="exact"/>
                    <w:jc w:val="center"/>
                    <w:rPr>
                      <w:b/>
                      <w:bCs/>
                      <w:szCs w:val="21"/>
                      <w:highlight w:val="none"/>
                    </w:rPr>
                  </w:pPr>
                  <w:r>
                    <w:rPr>
                      <w:b w:val="0"/>
                      <w:bCs w:val="0"/>
                      <w:szCs w:val="21"/>
                      <w:highlight w:val="none"/>
                    </w:rPr>
                    <w:t>浓度限值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widowControl/>
                    <w:spacing w:line="360" w:lineRule="exact"/>
                    <w:jc w:val="center"/>
                    <w:rPr>
                      <w:szCs w:val="21"/>
                      <w:highlight w:val="none"/>
                    </w:rPr>
                  </w:pPr>
                </w:p>
              </w:tc>
              <w:tc>
                <w:tcPr>
                  <w:tcW w:w="662" w:type="pct"/>
                  <w:vMerge w:val="continue"/>
                  <w:tcBorders>
                    <w:tl2br w:val="nil"/>
                    <w:tr2bl w:val="nil"/>
                  </w:tcBorders>
                  <w:noWrap w:val="0"/>
                  <w:vAlign w:val="center"/>
                </w:tcPr>
                <w:p>
                  <w:pPr>
                    <w:widowControl/>
                    <w:spacing w:line="360" w:lineRule="exact"/>
                    <w:jc w:val="center"/>
                    <w:rPr>
                      <w:szCs w:val="21"/>
                      <w:highlight w:val="none"/>
                    </w:rPr>
                  </w:pPr>
                </w:p>
              </w:tc>
              <w:tc>
                <w:tcPr>
                  <w:tcW w:w="1885" w:type="pct"/>
                  <w:gridSpan w:val="2"/>
                  <w:vMerge w:val="continue"/>
                  <w:tcBorders>
                    <w:tl2br w:val="nil"/>
                    <w:tr2bl w:val="nil"/>
                  </w:tcBorders>
                  <w:noWrap w:val="0"/>
                  <w:vAlign w:val="center"/>
                </w:tcPr>
                <w:p>
                  <w:pPr>
                    <w:widowControl/>
                    <w:spacing w:line="360" w:lineRule="exact"/>
                    <w:jc w:val="center"/>
                    <w:rPr>
                      <w:szCs w:val="21"/>
                      <w:highlight w:val="none"/>
                    </w:rPr>
                  </w:pP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单 位</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数 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restart"/>
                  <w:tcBorders>
                    <w:tl2br w:val="nil"/>
                    <w:tr2bl w:val="nil"/>
                  </w:tcBorders>
                  <w:noWrap w:val="0"/>
                  <w:vAlign w:val="center"/>
                </w:tcPr>
                <w:p>
                  <w:pPr>
                    <w:spacing w:line="360" w:lineRule="exact"/>
                    <w:jc w:val="center"/>
                    <w:rPr>
                      <w:szCs w:val="21"/>
                      <w:highlight w:val="none"/>
                    </w:rPr>
                  </w:pPr>
                  <w:r>
                    <w:rPr>
                      <w:szCs w:val="21"/>
                      <w:highlight w:val="none"/>
                    </w:rPr>
                    <w:t>《环境空气质量标准》(GB3095-</w:t>
                  </w:r>
                  <w:r>
                    <w:rPr>
                      <w:rFonts w:hint="eastAsia"/>
                      <w:szCs w:val="21"/>
                      <w:highlight w:val="none"/>
                    </w:rPr>
                    <w:t>2012</w:t>
                  </w:r>
                  <w:r>
                    <w:rPr>
                      <w:szCs w:val="21"/>
                      <w:highlight w:val="none"/>
                    </w:rPr>
                    <w:t>)</w:t>
                  </w:r>
                </w:p>
              </w:tc>
              <w:tc>
                <w:tcPr>
                  <w:tcW w:w="662" w:type="pct"/>
                  <w:vMerge w:val="restart"/>
                  <w:tcBorders>
                    <w:tl2br w:val="nil"/>
                    <w:tr2bl w:val="nil"/>
                  </w:tcBorders>
                  <w:noWrap w:val="0"/>
                  <w:vAlign w:val="center"/>
                </w:tcPr>
                <w:p>
                  <w:pPr>
                    <w:spacing w:line="360" w:lineRule="exact"/>
                    <w:jc w:val="center"/>
                    <w:rPr>
                      <w:szCs w:val="21"/>
                      <w:highlight w:val="none"/>
                    </w:rPr>
                  </w:pPr>
                  <w:r>
                    <w:rPr>
                      <w:szCs w:val="21"/>
                      <w:highlight w:val="none"/>
                    </w:rPr>
                    <w:t>二级</w:t>
                  </w:r>
                </w:p>
              </w:tc>
              <w:tc>
                <w:tcPr>
                  <w:tcW w:w="645" w:type="pct"/>
                  <w:tcBorders>
                    <w:tl2br w:val="nil"/>
                    <w:tr2bl w:val="nil"/>
                  </w:tcBorders>
                  <w:noWrap w:val="0"/>
                  <w:vAlign w:val="center"/>
                </w:tcPr>
                <w:p>
                  <w:pPr>
                    <w:spacing w:line="360" w:lineRule="exact"/>
                    <w:jc w:val="center"/>
                    <w:rPr>
                      <w:szCs w:val="21"/>
                      <w:highlight w:val="none"/>
                    </w:rPr>
                  </w:pPr>
                  <w:r>
                    <w:rPr>
                      <w:szCs w:val="21"/>
                      <w:highlight w:val="none"/>
                    </w:rPr>
                    <w:t>TSP</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tcBorders>
                    <w:tl2br w:val="nil"/>
                    <w:tr2bl w:val="nil"/>
                  </w:tcBorders>
                  <w:noWrap w:val="0"/>
                  <w:vAlign w:val="center"/>
                </w:tcPr>
                <w:p>
                  <w:pPr>
                    <w:spacing w:line="360" w:lineRule="exact"/>
                    <w:jc w:val="center"/>
                    <w:rPr>
                      <w:rFonts w:hint="eastAsia"/>
                      <w:szCs w:val="21"/>
                      <w:highlight w:val="none"/>
                    </w:rPr>
                  </w:pPr>
                  <w:r>
                    <w:rPr>
                      <w:rFonts w:hint="eastAsia"/>
                      <w:szCs w:val="21"/>
                      <w:highlight w:val="none"/>
                    </w:rPr>
                    <w:t>PM</w:t>
                  </w:r>
                  <w:r>
                    <w:rPr>
                      <w:rFonts w:hint="eastAsia"/>
                      <w:szCs w:val="21"/>
                      <w:highlight w:val="none"/>
                      <w:vertAlign w:val="subscript"/>
                    </w:rPr>
                    <w:t>10</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rFonts w:hint="eastAsia"/>
                      <w:szCs w:val="21"/>
                      <w:highlight w:val="none"/>
                    </w:rPr>
                  </w:pPr>
                  <w:r>
                    <w:rPr>
                      <w:rFonts w:hint="eastAsia"/>
                      <w:szCs w:val="21"/>
                      <w:highlight w:val="none"/>
                    </w:rP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restart"/>
                  <w:tcBorders>
                    <w:tl2br w:val="nil"/>
                    <w:tr2bl w:val="nil"/>
                  </w:tcBorders>
                  <w:noWrap w:val="0"/>
                  <w:vAlign w:val="center"/>
                </w:tcPr>
                <w:p>
                  <w:pPr>
                    <w:spacing w:line="360" w:lineRule="exact"/>
                    <w:jc w:val="center"/>
                    <w:rPr>
                      <w:szCs w:val="21"/>
                      <w:highlight w:val="none"/>
                    </w:rPr>
                  </w:pPr>
                  <w:r>
                    <w:rPr>
                      <w:szCs w:val="21"/>
                      <w:highlight w:val="none"/>
                    </w:rPr>
                    <w:t>SO</w:t>
                  </w:r>
                  <w:r>
                    <w:rPr>
                      <w:szCs w:val="21"/>
                      <w:highlight w:val="none"/>
                      <w:vertAlign w:val="subscript"/>
                    </w:rPr>
                    <w:t>2</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continue"/>
                  <w:tcBorders>
                    <w:tl2br w:val="nil"/>
                    <w:tr2bl w:val="nil"/>
                  </w:tcBorders>
                  <w:noWrap w:val="0"/>
                  <w:vAlign w:val="center"/>
                </w:tcPr>
                <w:p>
                  <w:pPr>
                    <w:spacing w:line="360" w:lineRule="exact"/>
                    <w:jc w:val="center"/>
                    <w:rPr>
                      <w:szCs w:val="21"/>
                      <w:highlight w:val="none"/>
                    </w:rPr>
                  </w:pP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1小时平均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restart"/>
                  <w:tcBorders>
                    <w:tl2br w:val="nil"/>
                    <w:tr2bl w:val="nil"/>
                  </w:tcBorders>
                  <w:noWrap w:val="0"/>
                  <w:vAlign w:val="center"/>
                </w:tcPr>
                <w:p>
                  <w:pPr>
                    <w:spacing w:line="360" w:lineRule="exact"/>
                    <w:jc w:val="center"/>
                    <w:rPr>
                      <w:szCs w:val="21"/>
                      <w:highlight w:val="none"/>
                    </w:rPr>
                  </w:pPr>
                  <w:r>
                    <w:rPr>
                      <w:szCs w:val="21"/>
                      <w:highlight w:val="none"/>
                    </w:rPr>
                    <w:t>NO</w:t>
                  </w:r>
                  <w:r>
                    <w:rPr>
                      <w:szCs w:val="21"/>
                      <w:highlight w:val="none"/>
                      <w:vertAlign w:val="subscript"/>
                    </w:rPr>
                    <w:t>2</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rFonts w:hint="eastAsia"/>
                      <w:szCs w:val="21"/>
                      <w:highlight w:val="none"/>
                    </w:rPr>
                    <w:t>8</w:t>
                  </w:r>
                  <w:r>
                    <w:rPr>
                      <w:szCs w:val="21"/>
                      <w:highlight w:val="none"/>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97" w:hRule="exac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continue"/>
                  <w:tcBorders>
                    <w:tl2br w:val="nil"/>
                    <w:tr2bl w:val="nil"/>
                  </w:tcBorders>
                  <w:noWrap w:val="0"/>
                  <w:vAlign w:val="center"/>
                </w:tcPr>
                <w:p>
                  <w:pPr>
                    <w:spacing w:line="360" w:lineRule="exact"/>
                    <w:jc w:val="center"/>
                    <w:rPr>
                      <w:szCs w:val="21"/>
                      <w:highlight w:val="none"/>
                    </w:rPr>
                  </w:pP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1小时平均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2</w:t>
                  </w:r>
                  <w:r>
                    <w:rPr>
                      <w:rFonts w:hint="eastAsia"/>
                      <w:szCs w:val="21"/>
                      <w:highlight w:val="none"/>
                    </w:rPr>
                    <w:t>0</w:t>
                  </w:r>
                  <w:r>
                    <w:rPr>
                      <w:szCs w:val="21"/>
                      <w:highlight w:val="none"/>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78" w:hRule="atLeas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restart"/>
                  <w:tcBorders>
                    <w:tl2br w:val="nil"/>
                    <w:tr2bl w:val="nil"/>
                  </w:tcBorders>
                  <w:noWrap w:val="0"/>
                  <w:vAlign w:val="center"/>
                </w:tcPr>
                <w:p>
                  <w:pPr>
                    <w:spacing w:line="360" w:lineRule="exact"/>
                    <w:jc w:val="center"/>
                    <w:rPr>
                      <w:szCs w:val="21"/>
                      <w:highlight w:val="none"/>
                    </w:rPr>
                  </w:pPr>
                  <w:r>
                    <w:rPr>
                      <w:highlight w:val="none"/>
                    </w:rPr>
                    <w:t>CO</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vMerge w:val="restart"/>
                  <w:tcBorders>
                    <w:tl2br w:val="nil"/>
                    <w:tr2bl w:val="nil"/>
                  </w:tcBorders>
                  <w:noWrap w:val="0"/>
                  <w:vAlign w:val="center"/>
                </w:tcPr>
                <w:p>
                  <w:pPr>
                    <w:spacing w:line="360" w:lineRule="exact"/>
                    <w:jc w:val="center"/>
                    <w:rPr>
                      <w:szCs w:val="21"/>
                      <w:highlight w:val="none"/>
                      <w:vertAlign w:val="superscript"/>
                    </w:rPr>
                  </w:pPr>
                  <w:r>
                    <w:rPr>
                      <w:rFonts w:hint="eastAsia"/>
                      <w:szCs w:val="21"/>
                      <w:highlight w:val="none"/>
                    </w:rPr>
                    <w:t>m</w:t>
                  </w:r>
                  <w:r>
                    <w:rPr>
                      <w:szCs w:val="21"/>
                      <w:highlight w:val="none"/>
                    </w:rPr>
                    <w:t>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78" w:hRule="atLeast"/>
                <w:jc w:val="center"/>
              </w:trPr>
              <w:tc>
                <w:tcPr>
                  <w:tcW w:w="1279" w:type="pct"/>
                  <w:vMerge w:val="continue"/>
                  <w:tcBorders>
                    <w:tl2br w:val="nil"/>
                    <w:tr2bl w:val="nil"/>
                  </w:tcBorders>
                  <w:noWrap w:val="0"/>
                  <w:vAlign w:val="center"/>
                </w:tcPr>
                <w:p>
                  <w:pPr>
                    <w:spacing w:line="360" w:lineRule="exact"/>
                    <w:jc w:val="center"/>
                    <w:rPr>
                      <w:highlight w:val="none"/>
                    </w:rPr>
                  </w:pPr>
                </w:p>
              </w:tc>
              <w:tc>
                <w:tcPr>
                  <w:tcW w:w="662" w:type="pct"/>
                  <w:vMerge w:val="continue"/>
                  <w:tcBorders>
                    <w:tl2br w:val="nil"/>
                    <w:tr2bl w:val="nil"/>
                  </w:tcBorders>
                  <w:noWrap w:val="0"/>
                  <w:vAlign w:val="center"/>
                </w:tcPr>
                <w:p>
                  <w:pPr>
                    <w:spacing w:line="360" w:lineRule="exact"/>
                    <w:jc w:val="center"/>
                    <w:rPr>
                      <w:highlight w:val="none"/>
                    </w:rPr>
                  </w:pPr>
                </w:p>
              </w:tc>
              <w:tc>
                <w:tcPr>
                  <w:tcW w:w="645" w:type="pct"/>
                  <w:vMerge w:val="continue"/>
                  <w:tcBorders>
                    <w:tl2br w:val="nil"/>
                    <w:tr2bl w:val="nil"/>
                  </w:tcBorders>
                  <w:noWrap w:val="0"/>
                  <w:vAlign w:val="center"/>
                </w:tcPr>
                <w:p>
                  <w:pPr>
                    <w:spacing w:line="360" w:lineRule="exact"/>
                    <w:jc w:val="center"/>
                    <w:rPr>
                      <w:highlight w:val="none"/>
                    </w:rPr>
                  </w:pP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1小时平均</w:t>
                  </w:r>
                </w:p>
              </w:tc>
              <w:tc>
                <w:tcPr>
                  <w:tcW w:w="497" w:type="pct"/>
                  <w:vMerge w:val="continue"/>
                  <w:tcBorders>
                    <w:tl2br w:val="nil"/>
                    <w:tr2bl w:val="nil"/>
                  </w:tcBorders>
                  <w:noWrap w:val="0"/>
                  <w:vAlign w:val="center"/>
                </w:tcPr>
                <w:p>
                  <w:pPr>
                    <w:spacing w:line="360" w:lineRule="exact"/>
                    <w:jc w:val="center"/>
                    <w:rPr>
                      <w:szCs w:val="21"/>
                      <w:highlight w:val="none"/>
                    </w:rPr>
                  </w:pP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78" w:hRule="atLeas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vMerge w:val="restart"/>
                  <w:tcBorders>
                    <w:tl2br w:val="nil"/>
                    <w:tr2bl w:val="nil"/>
                  </w:tcBorders>
                  <w:noWrap w:val="0"/>
                  <w:vAlign w:val="center"/>
                </w:tcPr>
                <w:p>
                  <w:pPr>
                    <w:spacing w:line="360" w:lineRule="exact"/>
                    <w:jc w:val="center"/>
                    <w:rPr>
                      <w:szCs w:val="21"/>
                      <w:highlight w:val="none"/>
                    </w:rPr>
                  </w:pPr>
                  <w:r>
                    <w:rPr>
                      <w:szCs w:val="21"/>
                      <w:highlight w:val="none"/>
                    </w:rPr>
                    <w:t>O</w:t>
                  </w:r>
                  <w:r>
                    <w:rPr>
                      <w:szCs w:val="21"/>
                      <w:highlight w:val="none"/>
                      <w:vertAlign w:val="subscript"/>
                    </w:rPr>
                    <w:t>2</w:t>
                  </w:r>
                </w:p>
              </w:tc>
              <w:tc>
                <w:tcPr>
                  <w:tcW w:w="1240" w:type="pct"/>
                  <w:tcBorders>
                    <w:tl2br w:val="nil"/>
                    <w:tr2bl w:val="nil"/>
                  </w:tcBorders>
                  <w:noWrap w:val="0"/>
                  <w:vAlign w:val="center"/>
                </w:tcPr>
                <w:p>
                  <w:pPr>
                    <w:pStyle w:val="57"/>
                    <w:tabs>
                      <w:tab w:val="center" w:pos="4153"/>
                      <w:tab w:val="right" w:pos="8306"/>
                    </w:tabs>
                    <w:adjustRightInd w:val="0"/>
                    <w:snapToGrid w:val="0"/>
                    <w:spacing w:line="360" w:lineRule="exact"/>
                    <w:rPr>
                      <w:szCs w:val="21"/>
                      <w:highlight w:val="none"/>
                    </w:rPr>
                  </w:pPr>
                  <w:r>
                    <w:rPr>
                      <w:highlight w:val="none"/>
                    </w:rPr>
                    <w:t>日最大8小时平均</w:t>
                  </w:r>
                </w:p>
              </w:tc>
              <w:tc>
                <w:tcPr>
                  <w:tcW w:w="497" w:type="pct"/>
                  <w:vMerge w:val="restart"/>
                  <w:tcBorders>
                    <w:tl2br w:val="nil"/>
                    <w:tr2bl w:val="nil"/>
                  </w:tcBorders>
                  <w:noWrap w:val="0"/>
                  <w:vAlign w:val="center"/>
                </w:tcPr>
                <w:p>
                  <w:pPr>
                    <w:spacing w:line="360" w:lineRule="exact"/>
                    <w:jc w:val="center"/>
                    <w:rPr>
                      <w:szCs w:val="21"/>
                      <w:highlight w:val="none"/>
                      <w:vertAlign w:val="superscript"/>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78" w:hRule="atLeast"/>
                <w:jc w:val="center"/>
              </w:trPr>
              <w:tc>
                <w:tcPr>
                  <w:tcW w:w="1279" w:type="pct"/>
                  <w:vMerge w:val="continue"/>
                  <w:tcBorders>
                    <w:tl2br w:val="nil"/>
                    <w:tr2bl w:val="nil"/>
                  </w:tcBorders>
                  <w:noWrap w:val="0"/>
                  <w:vAlign w:val="center"/>
                </w:tcPr>
                <w:p>
                  <w:pPr>
                    <w:spacing w:line="360" w:lineRule="exact"/>
                    <w:jc w:val="center"/>
                    <w:rPr>
                      <w:highlight w:val="none"/>
                    </w:rPr>
                  </w:pPr>
                </w:p>
              </w:tc>
              <w:tc>
                <w:tcPr>
                  <w:tcW w:w="662" w:type="pct"/>
                  <w:vMerge w:val="continue"/>
                  <w:tcBorders>
                    <w:tl2br w:val="nil"/>
                    <w:tr2bl w:val="nil"/>
                  </w:tcBorders>
                  <w:noWrap w:val="0"/>
                  <w:vAlign w:val="center"/>
                </w:tcPr>
                <w:p>
                  <w:pPr>
                    <w:spacing w:line="360" w:lineRule="exact"/>
                    <w:jc w:val="center"/>
                    <w:rPr>
                      <w:highlight w:val="none"/>
                    </w:rPr>
                  </w:pPr>
                </w:p>
              </w:tc>
              <w:tc>
                <w:tcPr>
                  <w:tcW w:w="645" w:type="pct"/>
                  <w:vMerge w:val="continue"/>
                  <w:tcBorders>
                    <w:tl2br w:val="nil"/>
                    <w:tr2bl w:val="nil"/>
                  </w:tcBorders>
                  <w:noWrap w:val="0"/>
                  <w:vAlign w:val="center"/>
                </w:tcPr>
                <w:p>
                  <w:pPr>
                    <w:spacing w:line="360" w:lineRule="exact"/>
                    <w:jc w:val="center"/>
                    <w:rPr>
                      <w:highlight w:val="none"/>
                    </w:rPr>
                  </w:pPr>
                </w:p>
              </w:tc>
              <w:tc>
                <w:tcPr>
                  <w:tcW w:w="1240" w:type="pct"/>
                  <w:tcBorders>
                    <w:tl2br w:val="nil"/>
                    <w:tr2bl w:val="nil"/>
                  </w:tcBorders>
                  <w:noWrap w:val="0"/>
                  <w:vAlign w:val="center"/>
                </w:tcPr>
                <w:p>
                  <w:pPr>
                    <w:pStyle w:val="57"/>
                    <w:tabs>
                      <w:tab w:val="center" w:pos="4153"/>
                      <w:tab w:val="right" w:pos="8306"/>
                    </w:tabs>
                    <w:adjustRightInd w:val="0"/>
                    <w:snapToGrid w:val="0"/>
                    <w:spacing w:line="360" w:lineRule="exact"/>
                    <w:rPr>
                      <w:szCs w:val="21"/>
                      <w:highlight w:val="none"/>
                    </w:rPr>
                  </w:pPr>
                  <w:r>
                    <w:rPr>
                      <w:highlight w:val="none"/>
                    </w:rPr>
                    <w:t>1小时平均</w:t>
                  </w:r>
                </w:p>
              </w:tc>
              <w:tc>
                <w:tcPr>
                  <w:tcW w:w="497" w:type="pct"/>
                  <w:vMerge w:val="continue"/>
                  <w:tcBorders>
                    <w:tl2br w:val="nil"/>
                    <w:tr2bl w:val="nil"/>
                  </w:tcBorders>
                  <w:noWrap w:val="0"/>
                  <w:vAlign w:val="center"/>
                </w:tcPr>
                <w:p>
                  <w:pPr>
                    <w:spacing w:line="360" w:lineRule="exact"/>
                    <w:jc w:val="center"/>
                    <w:rPr>
                      <w:szCs w:val="21"/>
                      <w:highlight w:val="none"/>
                    </w:rPr>
                  </w:pPr>
                </w:p>
              </w:tc>
              <w:tc>
                <w:tcPr>
                  <w:tcW w:w="676" w:type="pct"/>
                  <w:tcBorders>
                    <w:tl2br w:val="nil"/>
                    <w:tr2bl w:val="nil"/>
                  </w:tcBorders>
                  <w:noWrap w:val="0"/>
                  <w:vAlign w:val="center"/>
                </w:tcPr>
                <w:p>
                  <w:pPr>
                    <w:spacing w:line="360" w:lineRule="exact"/>
                    <w:jc w:val="center"/>
                    <w:rPr>
                      <w:szCs w:val="21"/>
                      <w:highlight w:val="none"/>
                    </w:rPr>
                  </w:pPr>
                  <w:r>
                    <w:rPr>
                      <w:szCs w:val="21"/>
                      <w:highlight w:val="none"/>
                    </w:rP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1279" w:type="pct"/>
                  <w:vMerge w:val="continue"/>
                  <w:tcBorders>
                    <w:tl2br w:val="nil"/>
                    <w:tr2bl w:val="nil"/>
                  </w:tcBorders>
                  <w:noWrap w:val="0"/>
                  <w:vAlign w:val="center"/>
                </w:tcPr>
                <w:p>
                  <w:pPr>
                    <w:spacing w:line="360" w:lineRule="exact"/>
                    <w:jc w:val="center"/>
                    <w:rPr>
                      <w:szCs w:val="21"/>
                      <w:highlight w:val="none"/>
                    </w:rPr>
                  </w:pPr>
                </w:p>
              </w:tc>
              <w:tc>
                <w:tcPr>
                  <w:tcW w:w="662" w:type="pct"/>
                  <w:vMerge w:val="continue"/>
                  <w:tcBorders>
                    <w:tl2br w:val="nil"/>
                    <w:tr2bl w:val="nil"/>
                  </w:tcBorders>
                  <w:noWrap w:val="0"/>
                  <w:vAlign w:val="center"/>
                </w:tcPr>
                <w:p>
                  <w:pPr>
                    <w:spacing w:line="360" w:lineRule="exact"/>
                    <w:jc w:val="center"/>
                    <w:rPr>
                      <w:szCs w:val="21"/>
                      <w:highlight w:val="none"/>
                    </w:rPr>
                  </w:pPr>
                </w:p>
              </w:tc>
              <w:tc>
                <w:tcPr>
                  <w:tcW w:w="645" w:type="pct"/>
                  <w:tcBorders>
                    <w:tl2br w:val="nil"/>
                    <w:tr2bl w:val="nil"/>
                  </w:tcBorders>
                  <w:noWrap w:val="0"/>
                  <w:vAlign w:val="center"/>
                </w:tcPr>
                <w:p>
                  <w:pPr>
                    <w:spacing w:line="360" w:lineRule="exact"/>
                    <w:jc w:val="center"/>
                    <w:rPr>
                      <w:szCs w:val="21"/>
                      <w:highlight w:val="none"/>
                    </w:rPr>
                  </w:pPr>
                  <w:r>
                    <w:rPr>
                      <w:highlight w:val="none"/>
                    </w:rPr>
                    <w:t>PM</w:t>
                  </w:r>
                  <w:r>
                    <w:rPr>
                      <w:highlight w:val="none"/>
                      <w:vertAlign w:val="subscript"/>
                    </w:rPr>
                    <w:t>2.5</w:t>
                  </w:r>
                </w:p>
              </w:tc>
              <w:tc>
                <w:tcPr>
                  <w:tcW w:w="1240" w:type="pct"/>
                  <w:tcBorders>
                    <w:tl2br w:val="nil"/>
                    <w:tr2bl w:val="nil"/>
                  </w:tcBorders>
                  <w:noWrap w:val="0"/>
                  <w:vAlign w:val="center"/>
                </w:tcPr>
                <w:p>
                  <w:pPr>
                    <w:spacing w:line="360" w:lineRule="exact"/>
                    <w:jc w:val="center"/>
                    <w:rPr>
                      <w:szCs w:val="21"/>
                      <w:highlight w:val="none"/>
                    </w:rPr>
                  </w:pPr>
                  <w:r>
                    <w:rPr>
                      <w:szCs w:val="21"/>
                      <w:highlight w:val="none"/>
                    </w:rPr>
                    <w:t>日平均</w:t>
                  </w:r>
                </w:p>
              </w:tc>
              <w:tc>
                <w:tcPr>
                  <w:tcW w:w="497" w:type="pct"/>
                  <w:tcBorders>
                    <w:tl2br w:val="nil"/>
                    <w:tr2bl w:val="nil"/>
                  </w:tcBorders>
                  <w:noWrap w:val="0"/>
                  <w:vAlign w:val="center"/>
                </w:tcPr>
                <w:p>
                  <w:pPr>
                    <w:spacing w:line="360" w:lineRule="exact"/>
                    <w:jc w:val="center"/>
                    <w:rPr>
                      <w:szCs w:val="21"/>
                      <w:highlight w:val="none"/>
                    </w:rPr>
                  </w:pPr>
                  <w:r>
                    <w:rPr>
                      <w:szCs w:val="21"/>
                      <w:highlight w:val="none"/>
                    </w:rPr>
                    <w:t>μg/m</w:t>
                  </w:r>
                  <w:r>
                    <w:rPr>
                      <w:szCs w:val="21"/>
                      <w:highlight w:val="none"/>
                      <w:vertAlign w:val="superscript"/>
                    </w:rPr>
                    <w:t>3</w:t>
                  </w:r>
                </w:p>
              </w:tc>
              <w:tc>
                <w:tcPr>
                  <w:tcW w:w="676" w:type="pct"/>
                  <w:tcBorders>
                    <w:tl2br w:val="nil"/>
                    <w:tr2bl w:val="nil"/>
                  </w:tcBorders>
                  <w:noWrap w:val="0"/>
                  <w:vAlign w:val="center"/>
                </w:tcPr>
                <w:p>
                  <w:pPr>
                    <w:spacing w:line="360" w:lineRule="exact"/>
                    <w:jc w:val="center"/>
                    <w:rPr>
                      <w:rFonts w:hint="eastAsia"/>
                      <w:szCs w:val="21"/>
                      <w:highlight w:val="none"/>
                    </w:rPr>
                  </w:pPr>
                  <w:r>
                    <w:rPr>
                      <w:rFonts w:hint="eastAsia"/>
                      <w:szCs w:val="21"/>
                      <w:highlight w:val="none"/>
                    </w:rPr>
                    <w:t>75</w:t>
                  </w:r>
                </w:p>
              </w:tc>
            </w:tr>
          </w:tbl>
          <w:p>
            <w:pPr>
              <w:spacing w:line="480" w:lineRule="exact"/>
              <w:ind w:firstLine="480" w:firstLineChars="200"/>
              <w:rPr>
                <w:kern w:val="24"/>
                <w:sz w:val="24"/>
                <w:szCs w:val="24"/>
                <w:highlight w:val="none"/>
              </w:rPr>
            </w:pPr>
            <w:r>
              <w:rPr>
                <w:kern w:val="24"/>
                <w:sz w:val="24"/>
                <w:szCs w:val="24"/>
                <w:highlight w:val="none"/>
              </w:rPr>
              <w:t>2、</w:t>
            </w:r>
            <w:r>
              <w:rPr>
                <w:rFonts w:hint="eastAsia" w:ascii="宋体" w:hAnsi="宋体" w:cs="宋体"/>
                <w:sz w:val="24"/>
                <w:highlight w:val="none"/>
              </w:rPr>
              <w:t>迁安市健康体检管理中心新建项目</w:t>
            </w:r>
            <w:r>
              <w:rPr>
                <w:kern w:val="24"/>
                <w:sz w:val="24"/>
                <w:szCs w:val="24"/>
                <w:highlight w:val="none"/>
              </w:rPr>
              <w:t>声环境执行《声环境质量标准》(GB3096-2008)标准</w:t>
            </w:r>
            <w:r>
              <w:rPr>
                <w:rFonts w:hint="eastAsia"/>
                <w:kern w:val="24"/>
                <w:sz w:val="24"/>
                <w:szCs w:val="24"/>
                <w:highlight w:val="none"/>
              </w:rPr>
              <w:t>；东厂界</w:t>
            </w:r>
            <w:r>
              <w:rPr>
                <w:rFonts w:hint="eastAsia"/>
                <w:kern w:val="24"/>
                <w:sz w:val="24"/>
                <w:szCs w:val="24"/>
                <w:highlight w:val="none"/>
                <w:lang w:eastAsia="zh-CN"/>
              </w:rPr>
              <w:t>、</w:t>
            </w:r>
            <w:r>
              <w:rPr>
                <w:rFonts w:hint="eastAsia"/>
                <w:kern w:val="24"/>
                <w:sz w:val="24"/>
                <w:szCs w:val="24"/>
                <w:highlight w:val="none"/>
              </w:rPr>
              <w:t>南厂界和北厂界外执行</w:t>
            </w:r>
            <w:r>
              <w:rPr>
                <w:rFonts w:hint="eastAsia"/>
                <w:kern w:val="24"/>
                <w:sz w:val="24"/>
                <w:szCs w:val="24"/>
                <w:highlight w:val="none"/>
                <w:lang w:val="en-US" w:eastAsia="zh-CN"/>
              </w:rPr>
              <w:t>1</w:t>
            </w:r>
            <w:r>
              <w:rPr>
                <w:rFonts w:hint="eastAsia"/>
                <w:kern w:val="24"/>
                <w:sz w:val="24"/>
                <w:szCs w:val="24"/>
                <w:highlight w:val="none"/>
              </w:rPr>
              <w:t>类标准，西厂界执行4a类标准。</w:t>
            </w:r>
            <w:r>
              <w:rPr>
                <w:kern w:val="24"/>
                <w:sz w:val="24"/>
                <w:szCs w:val="24"/>
                <w:highlight w:val="none"/>
              </w:rPr>
              <w:t>其标准值如下：</w:t>
            </w:r>
          </w:p>
          <w:p>
            <w:pPr>
              <w:spacing w:line="480" w:lineRule="exact"/>
              <w:ind w:firstLine="480" w:firstLineChars="200"/>
              <w:rPr>
                <w:rFonts w:hint="eastAsia"/>
                <w:kern w:val="24"/>
                <w:sz w:val="24"/>
                <w:szCs w:val="24"/>
                <w:highlight w:val="none"/>
              </w:rPr>
            </w:pPr>
            <w:r>
              <w:rPr>
                <w:rFonts w:hint="eastAsia"/>
                <w:kern w:val="24"/>
                <w:sz w:val="24"/>
                <w:szCs w:val="24"/>
                <w:highlight w:val="none"/>
                <w:lang w:val="en-US" w:eastAsia="zh-CN"/>
              </w:rPr>
              <w:t>1</w:t>
            </w:r>
            <w:r>
              <w:rPr>
                <w:rFonts w:hint="eastAsia"/>
                <w:kern w:val="24"/>
                <w:sz w:val="24"/>
                <w:szCs w:val="24"/>
                <w:highlight w:val="none"/>
              </w:rPr>
              <w:t xml:space="preserve">类标准： </w:t>
            </w:r>
            <w:r>
              <w:rPr>
                <w:kern w:val="24"/>
                <w:sz w:val="24"/>
                <w:szCs w:val="24"/>
                <w:highlight w:val="none"/>
              </w:rPr>
              <w:t>昼间：</w:t>
            </w:r>
            <w:r>
              <w:rPr>
                <w:rFonts w:hint="eastAsia"/>
                <w:kern w:val="24"/>
                <w:sz w:val="24"/>
                <w:szCs w:val="24"/>
                <w:highlight w:val="none"/>
                <w:lang w:val="en-US" w:eastAsia="zh-CN"/>
              </w:rPr>
              <w:t>55</w:t>
            </w:r>
            <w:r>
              <w:rPr>
                <w:kern w:val="24"/>
                <w:sz w:val="24"/>
                <w:szCs w:val="24"/>
                <w:highlight w:val="none"/>
              </w:rPr>
              <w:t>dB(A)，夜间：</w:t>
            </w:r>
            <w:r>
              <w:rPr>
                <w:rFonts w:hint="eastAsia"/>
                <w:kern w:val="24"/>
                <w:sz w:val="24"/>
                <w:szCs w:val="24"/>
                <w:highlight w:val="none"/>
                <w:lang w:val="en-US" w:eastAsia="zh-CN"/>
              </w:rPr>
              <w:t>45</w:t>
            </w:r>
            <w:r>
              <w:rPr>
                <w:kern w:val="24"/>
                <w:sz w:val="24"/>
                <w:szCs w:val="24"/>
                <w:highlight w:val="none"/>
              </w:rPr>
              <w:t>dB(A)</w:t>
            </w:r>
            <w:r>
              <w:rPr>
                <w:rFonts w:hint="eastAsia"/>
                <w:kern w:val="24"/>
                <w:sz w:val="24"/>
                <w:szCs w:val="24"/>
                <w:highlight w:val="none"/>
              </w:rPr>
              <w:t>；</w:t>
            </w:r>
          </w:p>
          <w:p>
            <w:pPr>
              <w:spacing w:line="480" w:lineRule="exact"/>
              <w:ind w:firstLine="480" w:firstLineChars="200"/>
              <w:rPr>
                <w:rFonts w:hint="eastAsia"/>
                <w:kern w:val="24"/>
                <w:sz w:val="24"/>
                <w:szCs w:val="24"/>
                <w:highlight w:val="none"/>
              </w:rPr>
            </w:pPr>
            <w:r>
              <w:rPr>
                <w:rFonts w:hint="eastAsia"/>
                <w:kern w:val="24"/>
                <w:sz w:val="24"/>
                <w:szCs w:val="24"/>
                <w:highlight w:val="none"/>
              </w:rPr>
              <w:t>4a类标准：</w:t>
            </w:r>
            <w:r>
              <w:rPr>
                <w:kern w:val="24"/>
                <w:sz w:val="24"/>
                <w:szCs w:val="24"/>
                <w:highlight w:val="none"/>
              </w:rPr>
              <w:t>昼间：</w:t>
            </w:r>
            <w:r>
              <w:rPr>
                <w:rFonts w:hint="eastAsia"/>
                <w:kern w:val="24"/>
                <w:sz w:val="24"/>
                <w:szCs w:val="24"/>
                <w:highlight w:val="none"/>
              </w:rPr>
              <w:t>70</w:t>
            </w:r>
            <w:r>
              <w:rPr>
                <w:kern w:val="24"/>
                <w:sz w:val="24"/>
                <w:szCs w:val="24"/>
                <w:highlight w:val="none"/>
              </w:rPr>
              <w:t>dB(A)，夜间：</w:t>
            </w:r>
            <w:r>
              <w:rPr>
                <w:rFonts w:hint="eastAsia"/>
                <w:kern w:val="24"/>
                <w:sz w:val="24"/>
                <w:szCs w:val="24"/>
                <w:highlight w:val="none"/>
              </w:rPr>
              <w:t>55</w:t>
            </w:r>
            <w:r>
              <w:rPr>
                <w:kern w:val="24"/>
                <w:sz w:val="24"/>
                <w:szCs w:val="24"/>
                <w:highlight w:val="none"/>
              </w:rPr>
              <w:t>dB(A)</w:t>
            </w:r>
            <w:r>
              <w:rPr>
                <w:rFonts w:hint="eastAsia"/>
                <w:kern w:val="24"/>
                <w:sz w:val="24"/>
                <w:szCs w:val="24"/>
                <w:highlight w:val="none"/>
              </w:rPr>
              <w:t>。</w:t>
            </w:r>
          </w:p>
          <w:p>
            <w:pPr>
              <w:spacing w:line="480" w:lineRule="exact"/>
              <w:ind w:firstLine="480" w:firstLineChars="200"/>
              <w:jc w:val="center"/>
              <w:rPr>
                <w:rFonts w:hint="eastAsia"/>
                <w:kern w:val="24"/>
                <w:sz w:val="24"/>
                <w:szCs w:val="24"/>
                <w:highlight w:val="none"/>
              </w:rPr>
            </w:pPr>
          </w:p>
          <w:p>
            <w:pPr>
              <w:spacing w:line="480" w:lineRule="exact"/>
              <w:ind w:firstLine="480" w:firstLineChars="200"/>
              <w:jc w:val="center"/>
              <w:rPr>
                <w:rFonts w:hint="eastAsia"/>
                <w:kern w:val="24"/>
                <w:sz w:val="24"/>
                <w:szCs w:val="24"/>
                <w:highlight w:val="none"/>
              </w:rPr>
            </w:pPr>
          </w:p>
          <w:p>
            <w:pPr>
              <w:spacing w:line="480" w:lineRule="exact"/>
              <w:ind w:firstLine="480" w:firstLineChars="200"/>
              <w:jc w:val="center"/>
              <w:rPr>
                <w:rFonts w:hint="eastAsia"/>
                <w:kern w:val="24"/>
                <w:sz w:val="24"/>
                <w:szCs w:val="24"/>
                <w:highlight w:val="none"/>
              </w:rPr>
            </w:pPr>
          </w:p>
          <w:p>
            <w:pPr>
              <w:spacing w:line="480" w:lineRule="exact"/>
              <w:ind w:firstLine="480" w:firstLineChars="200"/>
              <w:jc w:val="center"/>
              <w:rPr>
                <w:rFonts w:hint="eastAsia"/>
                <w:kern w:val="24"/>
                <w:sz w:val="24"/>
                <w:szCs w:val="24"/>
                <w:highlight w:val="none"/>
              </w:rPr>
            </w:pPr>
          </w:p>
          <w:p>
            <w:pPr>
              <w:spacing w:line="480" w:lineRule="exact"/>
              <w:ind w:firstLine="480" w:firstLineChars="200"/>
              <w:jc w:val="center"/>
              <w:rPr>
                <w:rFonts w:hint="eastAsia"/>
                <w:kern w:val="24"/>
                <w:sz w:val="24"/>
                <w:szCs w:val="24"/>
                <w:highlight w:val="none"/>
              </w:rPr>
            </w:pPr>
          </w:p>
          <w:p>
            <w:pPr>
              <w:spacing w:line="480" w:lineRule="exact"/>
              <w:rPr>
                <w:rFonts w:hint="eastAsia"/>
                <w:kern w:val="24"/>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8" w:hRule="atLeast"/>
          <w:jc w:val="center"/>
        </w:trPr>
        <w:tc>
          <w:tcPr>
            <w:tcW w:w="685" w:type="dxa"/>
            <w:noWrap w:val="0"/>
            <w:vAlign w:val="center"/>
          </w:tcPr>
          <w:p>
            <w:pPr>
              <w:pStyle w:val="46"/>
              <w:jc w:val="center"/>
              <w:rPr>
                <w:b/>
                <w:spacing w:val="0"/>
                <w:sz w:val="24"/>
                <w:szCs w:val="24"/>
                <w:highlight w:val="none"/>
              </w:rPr>
            </w:pPr>
            <w:r>
              <w:rPr>
                <w:b/>
                <w:spacing w:val="0"/>
                <w:sz w:val="24"/>
                <w:szCs w:val="24"/>
                <w:highlight w:val="none"/>
              </w:rPr>
              <w:t>污</w:t>
            </w:r>
          </w:p>
          <w:p>
            <w:pPr>
              <w:pStyle w:val="46"/>
              <w:jc w:val="center"/>
              <w:rPr>
                <w:b/>
                <w:spacing w:val="0"/>
                <w:sz w:val="24"/>
                <w:szCs w:val="24"/>
                <w:highlight w:val="none"/>
              </w:rPr>
            </w:pPr>
            <w:r>
              <w:rPr>
                <w:b/>
                <w:spacing w:val="0"/>
                <w:sz w:val="24"/>
                <w:szCs w:val="24"/>
                <w:highlight w:val="none"/>
              </w:rPr>
              <w:t>染</w:t>
            </w:r>
          </w:p>
          <w:p>
            <w:pPr>
              <w:pStyle w:val="46"/>
              <w:jc w:val="center"/>
              <w:rPr>
                <w:b/>
                <w:spacing w:val="0"/>
                <w:sz w:val="24"/>
                <w:szCs w:val="24"/>
                <w:highlight w:val="none"/>
              </w:rPr>
            </w:pPr>
            <w:r>
              <w:rPr>
                <w:b/>
                <w:spacing w:val="0"/>
                <w:sz w:val="24"/>
                <w:szCs w:val="24"/>
                <w:highlight w:val="none"/>
              </w:rPr>
              <w:t>物</w:t>
            </w:r>
          </w:p>
          <w:p>
            <w:pPr>
              <w:pStyle w:val="46"/>
              <w:jc w:val="center"/>
              <w:rPr>
                <w:b/>
                <w:spacing w:val="0"/>
                <w:sz w:val="24"/>
                <w:szCs w:val="24"/>
                <w:highlight w:val="none"/>
              </w:rPr>
            </w:pPr>
            <w:r>
              <w:rPr>
                <w:b/>
                <w:spacing w:val="0"/>
                <w:sz w:val="24"/>
                <w:szCs w:val="24"/>
                <w:highlight w:val="none"/>
              </w:rPr>
              <w:t>排</w:t>
            </w:r>
          </w:p>
          <w:p>
            <w:pPr>
              <w:pStyle w:val="46"/>
              <w:jc w:val="center"/>
              <w:rPr>
                <w:b/>
                <w:spacing w:val="0"/>
                <w:sz w:val="24"/>
                <w:szCs w:val="24"/>
                <w:highlight w:val="none"/>
              </w:rPr>
            </w:pPr>
            <w:r>
              <w:rPr>
                <w:b/>
                <w:spacing w:val="0"/>
                <w:sz w:val="24"/>
                <w:szCs w:val="24"/>
                <w:highlight w:val="none"/>
              </w:rPr>
              <w:t>放</w:t>
            </w:r>
          </w:p>
          <w:p>
            <w:pPr>
              <w:pStyle w:val="46"/>
              <w:jc w:val="center"/>
              <w:rPr>
                <w:b/>
                <w:spacing w:val="0"/>
                <w:sz w:val="24"/>
                <w:szCs w:val="24"/>
                <w:highlight w:val="none"/>
              </w:rPr>
            </w:pPr>
            <w:r>
              <w:rPr>
                <w:b/>
                <w:spacing w:val="0"/>
                <w:sz w:val="24"/>
                <w:szCs w:val="24"/>
                <w:highlight w:val="none"/>
              </w:rPr>
              <w:t>标</w:t>
            </w:r>
          </w:p>
          <w:p>
            <w:pPr>
              <w:pStyle w:val="46"/>
              <w:jc w:val="center"/>
              <w:rPr>
                <w:rFonts w:hint="eastAsia"/>
                <w:b/>
                <w:spacing w:val="0"/>
                <w:sz w:val="24"/>
                <w:szCs w:val="24"/>
                <w:highlight w:val="none"/>
              </w:rPr>
            </w:pPr>
            <w:r>
              <w:rPr>
                <w:b/>
                <w:spacing w:val="0"/>
                <w:sz w:val="24"/>
                <w:szCs w:val="24"/>
                <w:highlight w:val="none"/>
              </w:rPr>
              <w:t>准</w:t>
            </w:r>
          </w:p>
          <w:p>
            <w:pPr>
              <w:pStyle w:val="46"/>
              <w:rPr>
                <w:rFonts w:hint="eastAsia"/>
                <w:b/>
                <w:spacing w:val="0"/>
                <w:sz w:val="24"/>
                <w:szCs w:val="24"/>
                <w:highlight w:val="none"/>
              </w:rPr>
            </w:pPr>
          </w:p>
        </w:tc>
        <w:tc>
          <w:tcPr>
            <w:tcW w:w="7857" w:type="dxa"/>
            <w:noWrap w:val="0"/>
            <w:vAlign w:val="top"/>
          </w:tcPr>
          <w:p>
            <w:pPr>
              <w:tabs>
                <w:tab w:val="left" w:pos="810"/>
              </w:tabs>
              <w:adjustRightInd w:val="0"/>
              <w:snapToGrid w:val="0"/>
              <w:spacing w:line="480" w:lineRule="exact"/>
              <w:ind w:firstLine="480" w:firstLineChars="200"/>
              <w:rPr>
                <w:sz w:val="24"/>
                <w:szCs w:val="24"/>
                <w:highlight w:val="none"/>
              </w:rPr>
            </w:pPr>
            <w:r>
              <w:rPr>
                <w:sz w:val="24"/>
                <w:szCs w:val="24"/>
                <w:highlight w:val="none"/>
              </w:rPr>
              <w:t>1</w:t>
            </w:r>
            <w:r>
              <w:rPr>
                <w:rFonts w:hint="eastAsia"/>
                <w:sz w:val="24"/>
                <w:szCs w:val="24"/>
                <w:highlight w:val="none"/>
              </w:rPr>
              <w:t>、</w:t>
            </w:r>
            <w:r>
              <w:rPr>
                <w:rFonts w:hint="eastAsia" w:hAnsi="宋体" w:cs="宋体"/>
                <w:color w:val="000000"/>
                <w:sz w:val="24"/>
                <w:szCs w:val="24"/>
                <w:highlight w:val="none"/>
                <w:lang w:bidi="ar"/>
              </w:rPr>
              <w:t>施工</w:t>
            </w:r>
            <w:r>
              <w:rPr>
                <w:sz w:val="24"/>
                <w:szCs w:val="24"/>
                <w:highlight w:val="none"/>
              </w:rPr>
              <w:t>扬尘执行《施工场地扬尘排放标准》（DB13/2934-2019）表1扬尘排放浓度限值</w:t>
            </w:r>
            <w:r>
              <w:rPr>
                <w:rFonts w:hint="eastAsia"/>
                <w:sz w:val="24"/>
                <w:szCs w:val="24"/>
                <w:highlight w:val="none"/>
              </w:rPr>
              <w:t>标准</w:t>
            </w:r>
            <w:r>
              <w:rPr>
                <w:sz w:val="24"/>
                <w:szCs w:val="24"/>
                <w:highlight w:val="none"/>
                <w:lang w:bidi="en-US"/>
              </w:rPr>
              <w:t>。</w:t>
            </w:r>
            <w:r>
              <w:rPr>
                <w:sz w:val="24"/>
                <w:szCs w:val="24"/>
                <w:highlight w:val="none"/>
              </w:rPr>
              <w:t>具体标准值见表</w:t>
            </w:r>
            <w:r>
              <w:rPr>
                <w:rFonts w:hint="eastAsia"/>
                <w:sz w:val="24"/>
                <w:szCs w:val="24"/>
                <w:highlight w:val="none"/>
              </w:rPr>
              <w:t>9</w:t>
            </w:r>
            <w:r>
              <w:rPr>
                <w:sz w:val="24"/>
                <w:szCs w:val="24"/>
                <w:highlight w:val="none"/>
              </w:rPr>
              <w:t>。</w:t>
            </w:r>
          </w:p>
          <w:p>
            <w:pPr>
              <w:tabs>
                <w:tab w:val="left" w:pos="810"/>
              </w:tabs>
              <w:adjustRightInd w:val="0"/>
              <w:snapToGrid w:val="0"/>
              <w:spacing w:line="480" w:lineRule="exact"/>
              <w:jc w:val="center"/>
              <w:rPr>
                <w:b/>
                <w:bCs/>
                <w:sz w:val="24"/>
                <w:szCs w:val="24"/>
                <w:highlight w:val="none"/>
              </w:rPr>
            </w:pPr>
            <w:r>
              <w:rPr>
                <w:b/>
                <w:bCs/>
                <w:sz w:val="24"/>
                <w:szCs w:val="24"/>
                <w:highlight w:val="none"/>
              </w:rPr>
              <w:t>表</w:t>
            </w:r>
            <w:r>
              <w:rPr>
                <w:rFonts w:hint="eastAsia"/>
                <w:b/>
                <w:bCs/>
                <w:sz w:val="24"/>
                <w:szCs w:val="24"/>
                <w:highlight w:val="none"/>
              </w:rPr>
              <w:t>9</w:t>
            </w:r>
            <w:r>
              <w:rPr>
                <w:b/>
                <w:bCs/>
                <w:sz w:val="24"/>
                <w:szCs w:val="24"/>
                <w:highlight w:val="none"/>
              </w:rPr>
              <w:t xml:space="preserve"> </w:t>
            </w:r>
            <w:r>
              <w:rPr>
                <w:rFonts w:hint="eastAsia"/>
                <w:b/>
                <w:bCs/>
                <w:sz w:val="24"/>
                <w:szCs w:val="24"/>
                <w:highlight w:val="none"/>
              </w:rPr>
              <w:t xml:space="preserve">  </w:t>
            </w:r>
            <w:r>
              <w:rPr>
                <w:b/>
                <w:bCs/>
                <w:sz w:val="24"/>
                <w:szCs w:val="24"/>
                <w:highlight w:val="none"/>
              </w:rPr>
              <w:t xml:space="preserve"> 施工期废气排放标准</w:t>
            </w:r>
          </w:p>
          <w:tbl>
            <w:tblPr>
              <w:tblStyle w:val="36"/>
              <w:tblpPr w:leftFromText="180" w:rightFromText="180" w:vertAnchor="text" w:tblpXSpec="center" w:tblpY="7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14"/>
              <w:gridCol w:w="876"/>
              <w:gridCol w:w="1739"/>
              <w:gridCol w:w="22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3" w:hRule="atLeast"/>
                <w:jc w:val="center"/>
              </w:trPr>
              <w:tc>
                <w:tcPr>
                  <w:tcW w:w="2814" w:type="dxa"/>
                  <w:noWrap w:val="0"/>
                  <w:vAlign w:val="center"/>
                </w:tcPr>
                <w:p>
                  <w:pPr>
                    <w:tabs>
                      <w:tab w:val="left" w:pos="810"/>
                    </w:tabs>
                    <w:spacing w:line="360" w:lineRule="exact"/>
                    <w:jc w:val="center"/>
                    <w:rPr>
                      <w:b w:val="0"/>
                      <w:bCs w:val="0"/>
                      <w:szCs w:val="21"/>
                      <w:highlight w:val="none"/>
                    </w:rPr>
                  </w:pPr>
                  <w:r>
                    <w:rPr>
                      <w:b w:val="0"/>
                      <w:bCs w:val="0"/>
                      <w:szCs w:val="21"/>
                      <w:highlight w:val="none"/>
                    </w:rPr>
                    <w:t>标准名称</w:t>
                  </w:r>
                </w:p>
              </w:tc>
              <w:tc>
                <w:tcPr>
                  <w:tcW w:w="876" w:type="dxa"/>
                  <w:noWrap w:val="0"/>
                  <w:vAlign w:val="center"/>
                </w:tcPr>
                <w:p>
                  <w:pPr>
                    <w:tabs>
                      <w:tab w:val="left" w:pos="810"/>
                    </w:tabs>
                    <w:spacing w:line="360" w:lineRule="exact"/>
                    <w:jc w:val="center"/>
                    <w:rPr>
                      <w:b w:val="0"/>
                      <w:bCs w:val="0"/>
                      <w:szCs w:val="21"/>
                      <w:highlight w:val="none"/>
                    </w:rPr>
                  </w:pPr>
                  <w:r>
                    <w:rPr>
                      <w:b w:val="0"/>
                      <w:bCs w:val="0"/>
                      <w:szCs w:val="21"/>
                      <w:highlight w:val="none"/>
                    </w:rPr>
                    <w:t>污染物</w:t>
                  </w:r>
                </w:p>
              </w:tc>
              <w:tc>
                <w:tcPr>
                  <w:tcW w:w="1739" w:type="dxa"/>
                  <w:noWrap w:val="0"/>
                  <w:vAlign w:val="center"/>
                </w:tcPr>
                <w:p>
                  <w:pPr>
                    <w:tabs>
                      <w:tab w:val="left" w:pos="810"/>
                    </w:tabs>
                    <w:spacing w:line="360" w:lineRule="exact"/>
                    <w:jc w:val="center"/>
                    <w:rPr>
                      <w:rFonts w:hint="eastAsia"/>
                      <w:b w:val="0"/>
                      <w:bCs w:val="0"/>
                      <w:szCs w:val="21"/>
                      <w:highlight w:val="none"/>
                    </w:rPr>
                  </w:pPr>
                  <w:r>
                    <w:rPr>
                      <w:rFonts w:hint="eastAsia"/>
                      <w:b w:val="0"/>
                      <w:bCs w:val="0"/>
                      <w:szCs w:val="21"/>
                      <w:highlight w:val="none"/>
                    </w:rPr>
                    <w:t>监测点浓度要求</w:t>
                  </w:r>
                </w:p>
              </w:tc>
              <w:tc>
                <w:tcPr>
                  <w:tcW w:w="2208" w:type="dxa"/>
                  <w:noWrap w:val="0"/>
                  <w:vAlign w:val="center"/>
                </w:tcPr>
                <w:p>
                  <w:pPr>
                    <w:tabs>
                      <w:tab w:val="left" w:pos="810"/>
                    </w:tabs>
                    <w:spacing w:line="360" w:lineRule="exact"/>
                    <w:jc w:val="center"/>
                    <w:rPr>
                      <w:rFonts w:hint="eastAsia"/>
                      <w:b w:val="0"/>
                      <w:bCs w:val="0"/>
                      <w:szCs w:val="21"/>
                      <w:highlight w:val="none"/>
                    </w:rPr>
                  </w:pPr>
                  <w:r>
                    <w:rPr>
                      <w:rFonts w:hint="eastAsia"/>
                      <w:b w:val="0"/>
                      <w:bCs w:val="0"/>
                      <w:szCs w:val="21"/>
                      <w:highlight w:val="none"/>
                    </w:rP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3" w:hRule="atLeast"/>
                <w:jc w:val="center"/>
              </w:trPr>
              <w:tc>
                <w:tcPr>
                  <w:tcW w:w="2814" w:type="dxa"/>
                  <w:noWrap w:val="0"/>
                  <w:vAlign w:val="center"/>
                </w:tcPr>
                <w:p>
                  <w:pPr>
                    <w:tabs>
                      <w:tab w:val="left" w:pos="810"/>
                    </w:tabs>
                    <w:spacing w:line="360" w:lineRule="exact"/>
                    <w:jc w:val="center"/>
                    <w:rPr>
                      <w:szCs w:val="21"/>
                      <w:highlight w:val="none"/>
                    </w:rPr>
                  </w:pPr>
                  <w:r>
                    <w:rPr>
                      <w:szCs w:val="21"/>
                      <w:highlight w:val="none"/>
                    </w:rPr>
                    <w:t>《施工场地扬尘排放标准》（DB13/2934-2019）表1</w:t>
                  </w:r>
                </w:p>
              </w:tc>
              <w:tc>
                <w:tcPr>
                  <w:tcW w:w="876" w:type="dxa"/>
                  <w:noWrap w:val="0"/>
                  <w:vAlign w:val="center"/>
                </w:tcPr>
                <w:p>
                  <w:pPr>
                    <w:pStyle w:val="6"/>
                    <w:spacing w:line="360" w:lineRule="exact"/>
                    <w:ind w:firstLine="0"/>
                    <w:jc w:val="center"/>
                    <w:rPr>
                      <w:szCs w:val="21"/>
                      <w:highlight w:val="none"/>
                    </w:rPr>
                  </w:pPr>
                  <w:r>
                    <w:rPr>
                      <w:rFonts w:hint="eastAsia"/>
                      <w:szCs w:val="21"/>
                      <w:highlight w:val="none"/>
                    </w:rPr>
                    <w:t>PM</w:t>
                  </w:r>
                  <w:r>
                    <w:rPr>
                      <w:rFonts w:hint="eastAsia"/>
                      <w:szCs w:val="21"/>
                      <w:highlight w:val="none"/>
                      <w:vertAlign w:val="subscript"/>
                    </w:rPr>
                    <w:t>10</w:t>
                  </w:r>
                </w:p>
              </w:tc>
              <w:tc>
                <w:tcPr>
                  <w:tcW w:w="1739" w:type="dxa"/>
                  <w:noWrap w:val="0"/>
                  <w:vAlign w:val="center"/>
                </w:tcPr>
                <w:p>
                  <w:pPr>
                    <w:pStyle w:val="6"/>
                    <w:spacing w:line="360" w:lineRule="exact"/>
                    <w:ind w:firstLine="0"/>
                    <w:jc w:val="center"/>
                    <w:rPr>
                      <w:szCs w:val="21"/>
                      <w:highlight w:val="none"/>
                    </w:rPr>
                  </w:pPr>
                  <w:r>
                    <w:rPr>
                      <w:highlight w:val="none"/>
                    </w:rPr>
                    <w:t>80μg/m</w:t>
                  </w:r>
                  <w:r>
                    <w:rPr>
                      <w:highlight w:val="none"/>
                      <w:vertAlign w:val="superscript"/>
                    </w:rPr>
                    <w:t>3</w:t>
                  </w:r>
                  <w:r>
                    <w:rPr>
                      <w:highlight w:val="none"/>
                      <w:vertAlign w:val="superscript"/>
                    </w:rPr>
                    <w:fldChar w:fldCharType="begin"/>
                  </w:r>
                  <w:r>
                    <w:rPr>
                      <w:highlight w:val="none"/>
                      <w:vertAlign w:val="superscript"/>
                    </w:rPr>
                    <w:instrText xml:space="preserve"> = 1 \* GB3 \* MERGEFORMAT </w:instrText>
                  </w:r>
                  <w:r>
                    <w:rPr>
                      <w:highlight w:val="none"/>
                      <w:vertAlign w:val="superscript"/>
                    </w:rPr>
                    <w:fldChar w:fldCharType="separate"/>
                  </w:r>
                  <w:r>
                    <w:rPr>
                      <w:highlight w:val="none"/>
                    </w:rPr>
                    <w:t>①</w:t>
                  </w:r>
                  <w:r>
                    <w:rPr>
                      <w:highlight w:val="none"/>
                      <w:vertAlign w:val="superscript"/>
                    </w:rPr>
                    <w:fldChar w:fldCharType="end"/>
                  </w:r>
                </w:p>
              </w:tc>
              <w:tc>
                <w:tcPr>
                  <w:tcW w:w="2208" w:type="dxa"/>
                  <w:noWrap w:val="0"/>
                  <w:vAlign w:val="center"/>
                </w:tcPr>
                <w:p>
                  <w:pPr>
                    <w:pStyle w:val="6"/>
                    <w:spacing w:line="360" w:lineRule="exact"/>
                    <w:ind w:firstLine="0"/>
                    <w:jc w:val="center"/>
                    <w:rPr>
                      <w:highlight w:val="none"/>
                    </w:rPr>
                  </w:pPr>
                  <w:r>
                    <w:rPr>
                      <w:szCs w:val="21"/>
                      <w:highlight w:val="none"/>
                    </w:rPr>
                    <w:t>≤2天</w:t>
                  </w:r>
                </w:p>
              </w:tc>
            </w:tr>
          </w:tbl>
          <w:p>
            <w:pPr>
              <w:widowControl/>
              <w:spacing w:line="320" w:lineRule="exact"/>
              <w:rPr>
                <w:szCs w:val="21"/>
                <w:highlight w:val="none"/>
              </w:rPr>
            </w:pPr>
            <w:r>
              <w:rPr>
                <w:szCs w:val="21"/>
                <w:highlight w:val="none"/>
              </w:rPr>
              <w:t>注</w:t>
            </w:r>
            <w:r>
              <w:rPr>
                <w:szCs w:val="21"/>
                <w:highlight w:val="none"/>
              </w:rPr>
              <w:fldChar w:fldCharType="begin"/>
            </w:r>
            <w:r>
              <w:rPr>
                <w:szCs w:val="21"/>
                <w:highlight w:val="none"/>
              </w:rPr>
              <w:instrText xml:space="preserve"> = 1 \* GB3 \* MERGEFORMAT </w:instrText>
            </w:r>
            <w:r>
              <w:rPr>
                <w:szCs w:val="21"/>
                <w:highlight w:val="none"/>
              </w:rPr>
              <w:fldChar w:fldCharType="separate"/>
            </w:r>
            <w:r>
              <w:rPr>
                <w:szCs w:val="21"/>
                <w:highlight w:val="none"/>
              </w:rPr>
              <w:t>①</w:t>
            </w:r>
            <w:r>
              <w:rPr>
                <w:szCs w:val="21"/>
                <w:highlight w:val="none"/>
              </w:rPr>
              <w:fldChar w:fldCharType="end"/>
            </w:r>
            <w:r>
              <w:rPr>
                <w:szCs w:val="21"/>
                <w:highlight w:val="none"/>
              </w:rPr>
              <w:t>：指监测点PM</w:t>
            </w:r>
            <w:r>
              <w:rPr>
                <w:szCs w:val="21"/>
                <w:highlight w:val="none"/>
                <w:vertAlign w:val="subscript"/>
              </w:rPr>
              <w:t>10</w:t>
            </w:r>
            <w:r>
              <w:rPr>
                <w:szCs w:val="21"/>
                <w:highlight w:val="none"/>
              </w:rPr>
              <w:t>小时平均浓度实测值与同时段所属县（市、区）PM</w:t>
            </w:r>
            <w:r>
              <w:rPr>
                <w:szCs w:val="21"/>
                <w:highlight w:val="none"/>
                <w:vertAlign w:val="subscript"/>
              </w:rPr>
              <w:t>10</w:t>
            </w:r>
            <w:r>
              <w:rPr>
                <w:szCs w:val="21"/>
                <w:highlight w:val="none"/>
              </w:rPr>
              <w:t>小时平均浓度的差值。当县（市、区）PM</w:t>
            </w:r>
            <w:r>
              <w:rPr>
                <w:szCs w:val="21"/>
                <w:highlight w:val="none"/>
                <w:vertAlign w:val="subscript"/>
              </w:rPr>
              <w:t>10</w:t>
            </w:r>
            <w:r>
              <w:rPr>
                <w:szCs w:val="21"/>
                <w:highlight w:val="none"/>
              </w:rPr>
              <w:t>小时浓度值大于150μg/m</w:t>
            </w:r>
            <w:r>
              <w:rPr>
                <w:szCs w:val="21"/>
                <w:highlight w:val="none"/>
                <w:vertAlign w:val="superscript"/>
              </w:rPr>
              <w:t>3</w:t>
            </w:r>
            <w:r>
              <w:rPr>
                <w:szCs w:val="21"/>
                <w:highlight w:val="none"/>
              </w:rPr>
              <w:t>时，以150μg/m</w:t>
            </w:r>
            <w:r>
              <w:rPr>
                <w:szCs w:val="21"/>
                <w:highlight w:val="none"/>
                <w:vertAlign w:val="superscript"/>
              </w:rPr>
              <w:t>3</w:t>
            </w:r>
            <w:r>
              <w:rPr>
                <w:szCs w:val="21"/>
                <w:highlight w:val="none"/>
              </w:rPr>
              <w:t>计</w:t>
            </w:r>
          </w:p>
          <w:p>
            <w:pPr>
              <w:tabs>
                <w:tab w:val="left" w:pos="810"/>
              </w:tabs>
              <w:spacing w:line="480" w:lineRule="exact"/>
              <w:ind w:firstLine="480" w:firstLineChars="200"/>
              <w:rPr>
                <w:sz w:val="24"/>
                <w:szCs w:val="24"/>
                <w:highlight w:val="none"/>
              </w:rPr>
            </w:pPr>
            <w:r>
              <w:rPr>
                <w:sz w:val="24"/>
                <w:szCs w:val="24"/>
                <w:highlight w:val="none"/>
              </w:rPr>
              <w:t>2、施工期噪声执行《建筑施工场界环境噪声排放标准》(GB12523-2011)</w:t>
            </w:r>
          </w:p>
          <w:p>
            <w:pPr>
              <w:tabs>
                <w:tab w:val="left" w:pos="810"/>
              </w:tabs>
              <w:spacing w:line="480" w:lineRule="exact"/>
              <w:rPr>
                <w:sz w:val="24"/>
                <w:szCs w:val="24"/>
                <w:highlight w:val="none"/>
              </w:rPr>
            </w:pPr>
            <w:r>
              <w:rPr>
                <w:sz w:val="24"/>
                <w:szCs w:val="24"/>
                <w:highlight w:val="none"/>
              </w:rPr>
              <w:t>标准值，见表</w:t>
            </w:r>
            <w:r>
              <w:rPr>
                <w:rFonts w:hint="eastAsia"/>
                <w:sz w:val="24"/>
                <w:szCs w:val="24"/>
                <w:highlight w:val="none"/>
              </w:rPr>
              <w:t>10</w:t>
            </w:r>
            <w:r>
              <w:rPr>
                <w:sz w:val="24"/>
                <w:szCs w:val="24"/>
                <w:highlight w:val="none"/>
              </w:rPr>
              <w:t>。</w:t>
            </w:r>
          </w:p>
          <w:p>
            <w:pPr>
              <w:tabs>
                <w:tab w:val="left" w:pos="810"/>
              </w:tabs>
              <w:adjustRightInd w:val="0"/>
              <w:snapToGrid w:val="0"/>
              <w:spacing w:line="240" w:lineRule="auto"/>
              <w:jc w:val="center"/>
              <w:rPr>
                <w:b/>
                <w:bCs/>
                <w:sz w:val="24"/>
                <w:szCs w:val="24"/>
                <w:highlight w:val="none"/>
              </w:rPr>
            </w:pPr>
            <w:r>
              <w:rPr>
                <w:b/>
                <w:bCs/>
                <w:sz w:val="24"/>
                <w:szCs w:val="24"/>
                <w:highlight w:val="none"/>
              </w:rPr>
              <w:t>表1</w:t>
            </w:r>
            <w:r>
              <w:rPr>
                <w:rFonts w:hint="eastAsia"/>
                <w:b/>
                <w:bCs/>
                <w:sz w:val="24"/>
                <w:szCs w:val="24"/>
                <w:highlight w:val="none"/>
              </w:rPr>
              <w:t>0</w:t>
            </w:r>
            <w:r>
              <w:rPr>
                <w:b/>
                <w:bCs/>
                <w:sz w:val="24"/>
                <w:szCs w:val="24"/>
                <w:highlight w:val="none"/>
              </w:rPr>
              <w:t xml:space="preserve"> </w:t>
            </w:r>
            <w:r>
              <w:rPr>
                <w:rFonts w:hint="eastAsia"/>
                <w:b/>
                <w:bCs/>
                <w:sz w:val="24"/>
                <w:szCs w:val="24"/>
                <w:highlight w:val="none"/>
              </w:rPr>
              <w:t xml:space="preserve">  </w:t>
            </w:r>
            <w:r>
              <w:rPr>
                <w:b/>
                <w:bCs/>
                <w:sz w:val="24"/>
                <w:szCs w:val="24"/>
                <w:highlight w:val="none"/>
              </w:rPr>
              <w:t xml:space="preserve"> 施工期噪声排放标准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0"/>
              <w:gridCol w:w="1670"/>
              <w:gridCol w:w="15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4380" w:type="dxa"/>
                  <w:tcBorders>
                    <w:top w:val="single" w:color="auto" w:sz="4" w:space="0"/>
                    <w:left w:val="single" w:color="auto" w:sz="4" w:space="0"/>
                    <w:tl2br w:val="single" w:color="auto" w:sz="4" w:space="0"/>
                  </w:tcBorders>
                  <w:noWrap w:val="0"/>
                  <w:vAlign w:val="center"/>
                </w:tcPr>
                <w:p>
                  <w:pPr>
                    <w:spacing w:line="360" w:lineRule="exact"/>
                    <w:jc w:val="center"/>
                    <w:rPr>
                      <w:rFonts w:eastAsia="宋体"/>
                      <w:b w:val="0"/>
                      <w:bCs w:val="0"/>
                      <w:kern w:val="24"/>
                      <w:szCs w:val="21"/>
                      <w:highlight w:val="none"/>
                    </w:rPr>
                  </w:pPr>
                  <w:r>
                    <w:rPr>
                      <w:rFonts w:eastAsia="宋体"/>
                      <w:b w:val="0"/>
                      <w:bCs w:val="0"/>
                      <w:kern w:val="24"/>
                      <w:szCs w:val="21"/>
                      <w:highlight w:val="none"/>
                    </w:rPr>
                    <w:t xml:space="preserve">              </w:t>
                  </w:r>
                  <w:r>
                    <w:rPr>
                      <w:rFonts w:hAnsi="宋体" w:eastAsia="宋体"/>
                      <w:b w:val="0"/>
                      <w:bCs w:val="0"/>
                      <w:kern w:val="24"/>
                      <w:szCs w:val="21"/>
                      <w:highlight w:val="none"/>
                    </w:rPr>
                    <w:t>执行时段</w:t>
                  </w:r>
                </w:p>
                <w:p>
                  <w:pPr>
                    <w:spacing w:line="360" w:lineRule="exact"/>
                    <w:ind w:firstLine="630" w:firstLineChars="300"/>
                    <w:rPr>
                      <w:rFonts w:eastAsia="宋体"/>
                      <w:b w:val="0"/>
                      <w:bCs w:val="0"/>
                      <w:kern w:val="24"/>
                      <w:szCs w:val="21"/>
                      <w:highlight w:val="none"/>
                    </w:rPr>
                  </w:pPr>
                  <w:r>
                    <w:rPr>
                      <w:rFonts w:eastAsia="宋体"/>
                      <w:b w:val="0"/>
                      <w:bCs w:val="0"/>
                      <w:kern w:val="24"/>
                      <w:szCs w:val="21"/>
                      <w:highlight w:val="none"/>
                    </w:rPr>
                    <w:t xml:space="preserve"> </w:t>
                  </w:r>
                  <w:r>
                    <w:rPr>
                      <w:rFonts w:hAnsi="宋体" w:eastAsia="宋体"/>
                      <w:b w:val="0"/>
                      <w:bCs w:val="0"/>
                      <w:kern w:val="24"/>
                      <w:szCs w:val="21"/>
                      <w:highlight w:val="none"/>
                    </w:rPr>
                    <w:t>标准类别</w:t>
                  </w:r>
                </w:p>
              </w:tc>
              <w:tc>
                <w:tcPr>
                  <w:tcW w:w="1670" w:type="dxa"/>
                  <w:tcBorders>
                    <w:top w:val="single" w:color="auto" w:sz="4" w:space="0"/>
                  </w:tcBorders>
                  <w:noWrap w:val="0"/>
                  <w:vAlign w:val="center"/>
                </w:tcPr>
                <w:p>
                  <w:pPr>
                    <w:spacing w:line="360" w:lineRule="exact"/>
                    <w:jc w:val="center"/>
                    <w:rPr>
                      <w:rFonts w:eastAsia="宋体"/>
                      <w:b w:val="0"/>
                      <w:bCs w:val="0"/>
                      <w:kern w:val="24"/>
                      <w:szCs w:val="21"/>
                      <w:highlight w:val="none"/>
                    </w:rPr>
                  </w:pPr>
                  <w:r>
                    <w:rPr>
                      <w:rFonts w:hAnsi="宋体" w:eastAsia="宋体"/>
                      <w:b w:val="0"/>
                      <w:bCs w:val="0"/>
                      <w:kern w:val="24"/>
                      <w:szCs w:val="21"/>
                      <w:highlight w:val="none"/>
                    </w:rPr>
                    <w:t>昼</w:t>
                  </w:r>
                  <w:r>
                    <w:rPr>
                      <w:rFonts w:eastAsia="宋体"/>
                      <w:b w:val="0"/>
                      <w:bCs w:val="0"/>
                      <w:kern w:val="24"/>
                      <w:szCs w:val="21"/>
                      <w:highlight w:val="none"/>
                    </w:rPr>
                    <w:t xml:space="preserve">    </w:t>
                  </w:r>
                  <w:r>
                    <w:rPr>
                      <w:rFonts w:hAnsi="宋体" w:eastAsia="宋体"/>
                      <w:b w:val="0"/>
                      <w:bCs w:val="0"/>
                      <w:kern w:val="24"/>
                      <w:szCs w:val="21"/>
                      <w:highlight w:val="none"/>
                    </w:rPr>
                    <w:t>间</w:t>
                  </w:r>
                </w:p>
              </w:tc>
              <w:tc>
                <w:tcPr>
                  <w:tcW w:w="1562" w:type="dxa"/>
                  <w:tcBorders>
                    <w:top w:val="single" w:color="auto" w:sz="4" w:space="0"/>
                    <w:right w:val="single" w:color="auto" w:sz="4" w:space="0"/>
                  </w:tcBorders>
                  <w:noWrap w:val="0"/>
                  <w:vAlign w:val="center"/>
                </w:tcPr>
                <w:p>
                  <w:pPr>
                    <w:spacing w:line="360" w:lineRule="exact"/>
                    <w:jc w:val="center"/>
                    <w:rPr>
                      <w:rFonts w:eastAsia="宋体"/>
                      <w:b w:val="0"/>
                      <w:bCs w:val="0"/>
                      <w:kern w:val="24"/>
                      <w:szCs w:val="21"/>
                      <w:highlight w:val="none"/>
                    </w:rPr>
                  </w:pPr>
                  <w:r>
                    <w:rPr>
                      <w:rFonts w:hAnsi="宋体" w:eastAsia="宋体"/>
                      <w:b w:val="0"/>
                      <w:bCs w:val="0"/>
                      <w:kern w:val="24"/>
                      <w:szCs w:val="21"/>
                      <w:highlight w:val="none"/>
                    </w:rPr>
                    <w:t>夜</w:t>
                  </w:r>
                  <w:r>
                    <w:rPr>
                      <w:rFonts w:eastAsia="宋体"/>
                      <w:b w:val="0"/>
                      <w:bCs w:val="0"/>
                      <w:kern w:val="24"/>
                      <w:szCs w:val="21"/>
                      <w:highlight w:val="none"/>
                    </w:rPr>
                    <w:t xml:space="preserve">    </w:t>
                  </w:r>
                  <w:r>
                    <w:rPr>
                      <w:rFonts w:hAnsi="宋体" w:eastAsia="宋体"/>
                      <w:b w:val="0"/>
                      <w:bCs w:val="0"/>
                      <w:kern w:val="24"/>
                      <w:szCs w:val="21"/>
                      <w:highlight w:val="none"/>
                    </w:rPr>
                    <w:t>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380" w:type="dxa"/>
                  <w:tcBorders>
                    <w:left w:val="single" w:color="auto" w:sz="4" w:space="0"/>
                  </w:tcBorders>
                  <w:noWrap w:val="0"/>
                  <w:vAlign w:val="center"/>
                </w:tcPr>
                <w:p>
                  <w:pPr>
                    <w:spacing w:line="360" w:lineRule="exact"/>
                    <w:jc w:val="center"/>
                    <w:rPr>
                      <w:rFonts w:eastAsia="宋体"/>
                      <w:kern w:val="24"/>
                      <w:szCs w:val="21"/>
                      <w:highlight w:val="none"/>
                    </w:rPr>
                  </w:pPr>
                  <w:r>
                    <w:rPr>
                      <w:sz w:val="24"/>
                      <w:szCs w:val="24"/>
                      <w:highlight w:val="none"/>
                    </w:rPr>
                    <w:t>《建筑施工场界环境噪声排放标准》(GB12523-2011)</w:t>
                  </w:r>
                </w:p>
              </w:tc>
              <w:tc>
                <w:tcPr>
                  <w:tcW w:w="1670" w:type="dxa"/>
                  <w:noWrap w:val="0"/>
                  <w:vAlign w:val="center"/>
                </w:tcPr>
                <w:p>
                  <w:pPr>
                    <w:spacing w:line="360" w:lineRule="exact"/>
                    <w:jc w:val="center"/>
                    <w:rPr>
                      <w:rFonts w:eastAsia="宋体"/>
                      <w:kern w:val="24"/>
                      <w:szCs w:val="21"/>
                      <w:highlight w:val="none"/>
                    </w:rPr>
                  </w:pPr>
                  <w:r>
                    <w:rPr>
                      <w:rFonts w:hint="eastAsia" w:eastAsia="宋体"/>
                      <w:kern w:val="24"/>
                      <w:szCs w:val="21"/>
                      <w:highlight w:val="none"/>
                      <w:lang w:val="en-US" w:eastAsia="zh-CN"/>
                    </w:rPr>
                    <w:t>70</w:t>
                  </w:r>
                  <w:r>
                    <w:rPr>
                      <w:rFonts w:eastAsia="宋体"/>
                      <w:kern w:val="24"/>
                      <w:szCs w:val="21"/>
                      <w:highlight w:val="none"/>
                    </w:rPr>
                    <w:t>dB(A)</w:t>
                  </w:r>
                </w:p>
              </w:tc>
              <w:tc>
                <w:tcPr>
                  <w:tcW w:w="1562" w:type="dxa"/>
                  <w:tcBorders>
                    <w:right w:val="single" w:color="auto" w:sz="4" w:space="0"/>
                  </w:tcBorders>
                  <w:noWrap w:val="0"/>
                  <w:vAlign w:val="center"/>
                </w:tcPr>
                <w:p>
                  <w:pPr>
                    <w:spacing w:line="360" w:lineRule="exact"/>
                    <w:jc w:val="center"/>
                    <w:rPr>
                      <w:rFonts w:eastAsia="宋体"/>
                      <w:kern w:val="24"/>
                      <w:szCs w:val="21"/>
                      <w:highlight w:val="none"/>
                    </w:rPr>
                  </w:pPr>
                  <w:r>
                    <w:rPr>
                      <w:rFonts w:hint="eastAsia" w:eastAsia="宋体"/>
                      <w:kern w:val="24"/>
                      <w:szCs w:val="21"/>
                      <w:highlight w:val="none"/>
                      <w:lang w:val="en-US" w:eastAsia="zh-CN"/>
                    </w:rPr>
                    <w:t>5</w:t>
                  </w:r>
                  <w:r>
                    <w:rPr>
                      <w:rFonts w:hint="eastAsia" w:eastAsia="宋体"/>
                      <w:kern w:val="24"/>
                      <w:szCs w:val="21"/>
                      <w:highlight w:val="none"/>
                    </w:rPr>
                    <w:t>5</w:t>
                  </w:r>
                  <w:r>
                    <w:rPr>
                      <w:rFonts w:eastAsia="宋体"/>
                      <w:kern w:val="24"/>
                      <w:szCs w:val="21"/>
                      <w:highlight w:val="none"/>
                    </w:rPr>
                    <w:t>dB(A)</w:t>
                  </w:r>
                </w:p>
              </w:tc>
            </w:tr>
          </w:tbl>
          <w:p>
            <w:pPr>
              <w:tabs>
                <w:tab w:val="left" w:pos="810"/>
              </w:tabs>
              <w:adjustRightInd w:val="0"/>
              <w:snapToGrid w:val="0"/>
              <w:spacing w:line="480" w:lineRule="exact"/>
              <w:ind w:firstLine="480" w:firstLineChars="200"/>
              <w:rPr>
                <w:b/>
                <w:spacing w:val="-1"/>
                <w:sz w:val="24"/>
                <w:highlight w:val="none"/>
              </w:rPr>
            </w:pPr>
            <w:r>
              <w:rPr>
                <w:rFonts w:hint="eastAsia"/>
                <w:sz w:val="24"/>
                <w:szCs w:val="24"/>
                <w:highlight w:val="none"/>
              </w:rPr>
              <w:t>3</w:t>
            </w:r>
            <w:r>
              <w:rPr>
                <w:sz w:val="24"/>
                <w:szCs w:val="24"/>
                <w:highlight w:val="none"/>
              </w:rPr>
              <w:t>、项目营运期废水主要包括医疗废水、生活污水。医疗废水和生活污水执行《医疗机构水污染物排放标准》（GB18466-2005）中表2综合医疗机构和其他医疗机构水污染物排放限值（日均值）预处理标准以及迁安市污水处理厂收水标准，见表</w:t>
            </w:r>
            <w:r>
              <w:rPr>
                <w:rFonts w:hint="eastAsia"/>
                <w:sz w:val="24"/>
                <w:szCs w:val="24"/>
                <w:highlight w:val="none"/>
              </w:rPr>
              <w:t>11</w:t>
            </w: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pStyle w:val="35"/>
              <w:rPr>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ind w:firstLine="478" w:firstLineChars="200"/>
              <w:jc w:val="center"/>
              <w:rPr>
                <w:b/>
                <w:spacing w:val="-1"/>
                <w:sz w:val="24"/>
                <w:highlight w:val="none"/>
              </w:rPr>
            </w:pPr>
          </w:p>
          <w:p>
            <w:pPr>
              <w:adjustRightInd w:val="0"/>
              <w:snapToGrid w:val="0"/>
              <w:spacing w:line="500" w:lineRule="exact"/>
              <w:jc w:val="both"/>
              <w:rPr>
                <w:b/>
                <w:spacing w:val="-1"/>
                <w:sz w:val="24"/>
                <w:highlight w:val="none"/>
              </w:rPr>
            </w:pPr>
          </w:p>
          <w:p>
            <w:pPr>
              <w:adjustRightInd w:val="0"/>
              <w:snapToGrid w:val="0"/>
              <w:spacing w:line="500" w:lineRule="exact"/>
              <w:ind w:firstLine="478" w:firstLineChars="200"/>
              <w:jc w:val="center"/>
              <w:rPr>
                <w:b/>
                <w:spacing w:val="-1"/>
                <w:sz w:val="24"/>
                <w:highlight w:val="none"/>
              </w:rPr>
            </w:pPr>
            <w:r>
              <w:rPr>
                <w:b/>
                <w:spacing w:val="-1"/>
                <w:sz w:val="24"/>
                <w:highlight w:val="none"/>
              </w:rPr>
              <w:t>表1</w:t>
            </w:r>
            <w:r>
              <w:rPr>
                <w:rFonts w:hint="eastAsia"/>
                <w:b/>
                <w:spacing w:val="-1"/>
                <w:sz w:val="24"/>
                <w:highlight w:val="none"/>
              </w:rPr>
              <w:t>1</w:t>
            </w:r>
            <w:r>
              <w:rPr>
                <w:b/>
                <w:spacing w:val="-1"/>
                <w:sz w:val="24"/>
                <w:highlight w:val="none"/>
              </w:rPr>
              <w:t xml:space="preserve"> </w:t>
            </w:r>
            <w:r>
              <w:rPr>
                <w:rFonts w:hint="eastAsia"/>
                <w:b/>
                <w:spacing w:val="-1"/>
                <w:sz w:val="24"/>
                <w:highlight w:val="none"/>
              </w:rPr>
              <w:t xml:space="preserve">  </w:t>
            </w:r>
            <w:r>
              <w:rPr>
                <w:b/>
                <w:spacing w:val="-1"/>
                <w:sz w:val="24"/>
                <w:highlight w:val="none"/>
              </w:rPr>
              <w:t xml:space="preserve"> 废水排放标准</w:t>
            </w:r>
          </w:p>
          <w:tbl>
            <w:tblPr>
              <w:tblStyle w:val="36"/>
              <w:tblW w:w="76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3"/>
              <w:gridCol w:w="1996"/>
              <w:gridCol w:w="820"/>
              <w:gridCol w:w="1126"/>
              <w:gridCol w:w="1949"/>
              <w:gridCol w:w="10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39" w:type="dxa"/>
                  <w:gridSpan w:val="2"/>
                  <w:vMerge w:val="restart"/>
                  <w:noWrap w:val="0"/>
                  <w:vAlign w:val="center"/>
                </w:tcPr>
                <w:p>
                  <w:pPr>
                    <w:adjustRightInd w:val="0"/>
                    <w:snapToGrid w:val="0"/>
                    <w:jc w:val="center"/>
                    <w:rPr>
                      <w:b w:val="0"/>
                      <w:bCs w:val="0"/>
                      <w:spacing w:val="-1"/>
                      <w:szCs w:val="21"/>
                      <w:highlight w:val="none"/>
                    </w:rPr>
                  </w:pPr>
                  <w:r>
                    <w:rPr>
                      <w:b w:val="0"/>
                      <w:bCs w:val="0"/>
                      <w:spacing w:val="-1"/>
                      <w:szCs w:val="21"/>
                      <w:highlight w:val="none"/>
                    </w:rPr>
                    <w:t>污染物</w:t>
                  </w:r>
                </w:p>
              </w:tc>
              <w:tc>
                <w:tcPr>
                  <w:tcW w:w="1946" w:type="dxa"/>
                  <w:gridSpan w:val="2"/>
                  <w:noWrap w:val="0"/>
                  <w:vAlign w:val="center"/>
                </w:tcPr>
                <w:p>
                  <w:pPr>
                    <w:adjustRightInd w:val="0"/>
                    <w:snapToGrid w:val="0"/>
                    <w:jc w:val="center"/>
                    <w:rPr>
                      <w:b w:val="0"/>
                      <w:bCs w:val="0"/>
                      <w:spacing w:val="-1"/>
                      <w:szCs w:val="21"/>
                      <w:highlight w:val="none"/>
                    </w:rPr>
                  </w:pPr>
                  <w:r>
                    <w:rPr>
                      <w:b w:val="0"/>
                      <w:bCs w:val="0"/>
                      <w:spacing w:val="-1"/>
                      <w:szCs w:val="21"/>
                      <w:highlight w:val="none"/>
                    </w:rPr>
                    <w:t>排放限值</w:t>
                  </w:r>
                </w:p>
              </w:tc>
              <w:tc>
                <w:tcPr>
                  <w:tcW w:w="1949" w:type="dxa"/>
                  <w:vMerge w:val="restart"/>
                  <w:noWrap w:val="0"/>
                  <w:vAlign w:val="center"/>
                </w:tcPr>
                <w:p>
                  <w:pPr>
                    <w:adjustRightInd w:val="0"/>
                    <w:snapToGrid w:val="0"/>
                    <w:jc w:val="center"/>
                    <w:rPr>
                      <w:rFonts w:hint="eastAsia"/>
                      <w:b w:val="0"/>
                      <w:bCs w:val="0"/>
                      <w:spacing w:val="-1"/>
                      <w:szCs w:val="21"/>
                      <w:highlight w:val="none"/>
                    </w:rPr>
                  </w:pPr>
                  <w:r>
                    <w:rPr>
                      <w:rFonts w:hint="eastAsia"/>
                      <w:b w:val="0"/>
                      <w:bCs w:val="0"/>
                      <w:spacing w:val="-1"/>
                      <w:szCs w:val="21"/>
                      <w:highlight w:val="none"/>
                    </w:rPr>
                    <w:t>标准来源</w:t>
                  </w:r>
                </w:p>
              </w:tc>
              <w:tc>
                <w:tcPr>
                  <w:tcW w:w="1003" w:type="dxa"/>
                  <w:vMerge w:val="restart"/>
                  <w:noWrap w:val="0"/>
                  <w:vAlign w:val="center"/>
                </w:tcPr>
                <w:p>
                  <w:pPr>
                    <w:adjustRightInd w:val="0"/>
                    <w:snapToGrid w:val="0"/>
                    <w:jc w:val="center"/>
                    <w:rPr>
                      <w:rFonts w:hint="eastAsia"/>
                      <w:b/>
                      <w:bCs/>
                      <w:spacing w:val="-1"/>
                      <w:szCs w:val="21"/>
                      <w:highlight w:val="none"/>
                    </w:rPr>
                  </w:pPr>
                  <w:r>
                    <w:rPr>
                      <w:kern w:val="0"/>
                      <w:szCs w:val="21"/>
                      <w:highlight w:val="none"/>
                    </w:rPr>
                    <w:t>本项目排放废水执行标准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739" w:type="dxa"/>
                  <w:gridSpan w:val="2"/>
                  <w:vMerge w:val="continue"/>
                  <w:noWrap w:val="0"/>
                  <w:vAlign w:val="center"/>
                </w:tcPr>
                <w:p>
                  <w:pPr>
                    <w:adjustRightInd w:val="0"/>
                    <w:snapToGrid w:val="0"/>
                    <w:jc w:val="center"/>
                    <w:rPr>
                      <w:spacing w:val="-1"/>
                      <w:szCs w:val="21"/>
                      <w:highlight w:val="none"/>
                    </w:rPr>
                  </w:pPr>
                </w:p>
              </w:tc>
              <w:tc>
                <w:tcPr>
                  <w:tcW w:w="820" w:type="dxa"/>
                  <w:noWrap w:val="0"/>
                  <w:vAlign w:val="center"/>
                </w:tcPr>
                <w:p>
                  <w:pPr>
                    <w:adjustRightInd w:val="0"/>
                    <w:snapToGrid w:val="0"/>
                    <w:jc w:val="center"/>
                    <w:rPr>
                      <w:b w:val="0"/>
                      <w:bCs w:val="0"/>
                      <w:spacing w:val="-1"/>
                      <w:szCs w:val="21"/>
                      <w:highlight w:val="none"/>
                    </w:rPr>
                  </w:pPr>
                  <w:r>
                    <w:rPr>
                      <w:b w:val="0"/>
                      <w:bCs w:val="0"/>
                      <w:spacing w:val="-1"/>
                      <w:szCs w:val="21"/>
                      <w:highlight w:val="none"/>
                    </w:rPr>
                    <w:t>浓度</w:t>
                  </w:r>
                </w:p>
              </w:tc>
              <w:tc>
                <w:tcPr>
                  <w:tcW w:w="1126" w:type="dxa"/>
                  <w:noWrap w:val="0"/>
                  <w:vAlign w:val="center"/>
                </w:tcPr>
                <w:p>
                  <w:pPr>
                    <w:adjustRightInd w:val="0"/>
                    <w:snapToGrid w:val="0"/>
                    <w:jc w:val="center"/>
                    <w:rPr>
                      <w:b w:val="0"/>
                      <w:bCs w:val="0"/>
                      <w:spacing w:val="-1"/>
                      <w:szCs w:val="21"/>
                      <w:highlight w:val="none"/>
                    </w:rPr>
                  </w:pPr>
                  <w:r>
                    <w:rPr>
                      <w:b w:val="0"/>
                      <w:bCs w:val="0"/>
                      <w:spacing w:val="-1"/>
                      <w:szCs w:val="21"/>
                      <w:highlight w:val="none"/>
                    </w:rPr>
                    <w:t>单位</w:t>
                  </w:r>
                </w:p>
              </w:tc>
              <w:tc>
                <w:tcPr>
                  <w:tcW w:w="1949" w:type="dxa"/>
                  <w:vMerge w:val="continue"/>
                  <w:noWrap w:val="0"/>
                  <w:vAlign w:val="center"/>
                </w:tcPr>
                <w:p>
                  <w:pPr>
                    <w:adjustRightInd w:val="0"/>
                    <w:snapToGrid w:val="0"/>
                    <w:jc w:val="center"/>
                    <w:rPr>
                      <w:b/>
                      <w:bCs/>
                      <w:spacing w:val="-1"/>
                      <w:szCs w:val="21"/>
                      <w:highlight w:val="none"/>
                    </w:rPr>
                  </w:pPr>
                </w:p>
              </w:tc>
              <w:tc>
                <w:tcPr>
                  <w:tcW w:w="1003" w:type="dxa"/>
                  <w:vMerge w:val="continue"/>
                  <w:noWrap w:val="0"/>
                  <w:vAlign w:val="center"/>
                </w:tcPr>
                <w:p>
                  <w:pPr>
                    <w:adjustRightInd w:val="0"/>
                    <w:snapToGrid w:val="0"/>
                    <w:jc w:val="center"/>
                    <w:rPr>
                      <w:b/>
                      <w:bCs/>
                      <w:spacing w:val="-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2739" w:type="dxa"/>
                  <w:gridSpan w:val="2"/>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pH</w:t>
                  </w:r>
                </w:p>
              </w:tc>
              <w:tc>
                <w:tcPr>
                  <w:tcW w:w="820" w:type="dxa"/>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6-9</w:t>
                  </w:r>
                </w:p>
              </w:tc>
              <w:tc>
                <w:tcPr>
                  <w:tcW w:w="1126" w:type="dxa"/>
                  <w:noWrap w:val="0"/>
                  <w:vAlign w:val="center"/>
                </w:tcPr>
                <w:p>
                  <w:pPr>
                    <w:pStyle w:val="57"/>
                    <w:adjustRightInd w:val="0"/>
                    <w:snapToGrid w:val="0"/>
                    <w:ind w:left="0" w:leftChars="0" w:firstLine="0" w:firstLineChars="0"/>
                    <w:jc w:val="center"/>
                    <w:rPr>
                      <w:szCs w:val="21"/>
                      <w:highlight w:val="none"/>
                    </w:rPr>
                  </w:pPr>
                  <w:r>
                    <w:rPr>
                      <w:szCs w:val="21"/>
                      <w:highlight w:val="none"/>
                    </w:rPr>
                    <w:t>-</w:t>
                  </w:r>
                </w:p>
              </w:tc>
              <w:tc>
                <w:tcPr>
                  <w:tcW w:w="1949" w:type="dxa"/>
                  <w:vMerge w:val="restart"/>
                  <w:noWrap w:val="0"/>
                  <w:vAlign w:val="center"/>
                </w:tcPr>
                <w:p>
                  <w:pPr>
                    <w:pStyle w:val="57"/>
                    <w:adjustRightInd w:val="0"/>
                    <w:snapToGrid w:val="0"/>
                    <w:ind w:left="0" w:leftChars="0" w:firstLine="0" w:firstLineChars="0"/>
                    <w:jc w:val="center"/>
                    <w:rPr>
                      <w:szCs w:val="21"/>
                      <w:highlight w:val="none"/>
                    </w:rPr>
                  </w:pPr>
                  <w:r>
                    <w:rPr>
                      <w:snapToGrid w:val="0"/>
                      <w:szCs w:val="21"/>
                      <w:highlight w:val="none"/>
                    </w:rPr>
                    <w:t>《医疗机构水污染物排放标准》（GB18466-2005）</w:t>
                  </w:r>
                  <w:r>
                    <w:rPr>
                      <w:rFonts w:hint="eastAsia"/>
                      <w:snapToGrid w:val="0"/>
                      <w:szCs w:val="21"/>
                      <w:highlight w:val="none"/>
                    </w:rPr>
                    <w:t>表</w:t>
                  </w:r>
                  <w:r>
                    <w:rPr>
                      <w:snapToGrid w:val="0"/>
                      <w:szCs w:val="21"/>
                      <w:highlight w:val="none"/>
                    </w:rPr>
                    <w:t>2综合医疗机构和其他医疗机构水污染物排放限值（日均值）预处理标准</w:t>
                  </w:r>
                  <w:r>
                    <w:rPr>
                      <w:kern w:val="0"/>
                      <w:szCs w:val="21"/>
                      <w:highlight w:val="none"/>
                    </w:rPr>
                    <w:t>（总排口）</w:t>
                  </w:r>
                </w:p>
              </w:tc>
              <w:tc>
                <w:tcPr>
                  <w:tcW w:w="1003" w:type="dxa"/>
                  <w:vMerge w:val="continue"/>
                  <w:noWrap w:val="0"/>
                  <w:vAlign w:val="center"/>
                </w:tcPr>
                <w:p>
                  <w:pPr>
                    <w:pStyle w:val="57"/>
                    <w:adjustRightInd w:val="0"/>
                    <w:snapToGrid w:val="0"/>
                    <w:jc w:val="center"/>
                    <w:rPr>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743" w:type="dxa"/>
                  <w:vMerge w:val="restart"/>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COD</w:t>
                  </w:r>
                </w:p>
              </w:tc>
              <w:tc>
                <w:tcPr>
                  <w:tcW w:w="1996"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浓度</w:t>
                  </w:r>
                </w:p>
              </w:tc>
              <w:tc>
                <w:tcPr>
                  <w:tcW w:w="820" w:type="dxa"/>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250</w:t>
                  </w:r>
                </w:p>
              </w:tc>
              <w:tc>
                <w:tcPr>
                  <w:tcW w:w="1126" w:type="dxa"/>
                  <w:noWrap w:val="0"/>
                  <w:vAlign w:val="center"/>
                </w:tcPr>
                <w:p>
                  <w:pPr>
                    <w:pStyle w:val="57"/>
                    <w:adjustRightInd w:val="0"/>
                    <w:snapToGrid w:val="0"/>
                    <w:ind w:left="0" w:leftChars="0" w:firstLine="0" w:firstLineChars="0"/>
                    <w:jc w:val="center"/>
                    <w:rPr>
                      <w:szCs w:val="21"/>
                      <w:highlight w:val="none"/>
                    </w:rPr>
                  </w:pPr>
                  <w:r>
                    <w:rPr>
                      <w:szCs w:val="21"/>
                      <w:highlight w:val="none"/>
                    </w:rPr>
                    <w:t>mg/L</w:t>
                  </w:r>
                </w:p>
              </w:tc>
              <w:tc>
                <w:tcPr>
                  <w:tcW w:w="1949" w:type="dxa"/>
                  <w:vMerge w:val="continue"/>
                  <w:noWrap w:val="0"/>
                  <w:vAlign w:val="center"/>
                </w:tcPr>
                <w:p>
                  <w:pPr>
                    <w:pStyle w:val="57"/>
                    <w:adjustRightInd w:val="0"/>
                    <w:snapToGrid w:val="0"/>
                    <w:jc w:val="center"/>
                    <w:rPr>
                      <w:szCs w:val="21"/>
                      <w:highlight w:val="none"/>
                    </w:rPr>
                  </w:pPr>
                </w:p>
              </w:tc>
              <w:tc>
                <w:tcPr>
                  <w:tcW w:w="1003" w:type="dxa"/>
                  <w:vMerge w:val="continue"/>
                  <w:noWrap w:val="0"/>
                  <w:vAlign w:val="center"/>
                </w:tcPr>
                <w:p>
                  <w:pPr>
                    <w:pStyle w:val="57"/>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743" w:type="dxa"/>
                  <w:vMerge w:val="continue"/>
                  <w:noWrap w:val="0"/>
                  <w:vAlign w:val="center"/>
                </w:tcPr>
                <w:p>
                  <w:pPr>
                    <w:pStyle w:val="57"/>
                    <w:adjustRightInd w:val="0"/>
                    <w:snapToGrid w:val="0"/>
                    <w:jc w:val="center"/>
                    <w:rPr>
                      <w:rFonts w:hint="eastAsia"/>
                      <w:snapToGrid w:val="0"/>
                      <w:szCs w:val="21"/>
                      <w:highlight w:val="none"/>
                    </w:rPr>
                  </w:pPr>
                </w:p>
              </w:tc>
              <w:tc>
                <w:tcPr>
                  <w:tcW w:w="1996"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最高允许排放负荷</w:t>
                  </w:r>
                </w:p>
              </w:tc>
              <w:tc>
                <w:tcPr>
                  <w:tcW w:w="820"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250</w:t>
                  </w:r>
                </w:p>
              </w:tc>
              <w:tc>
                <w:tcPr>
                  <w:tcW w:w="1126" w:type="dxa"/>
                  <w:noWrap w:val="0"/>
                  <w:vAlign w:val="center"/>
                </w:tcPr>
                <w:p>
                  <w:pPr>
                    <w:pStyle w:val="57"/>
                    <w:adjustRightInd w:val="0"/>
                    <w:snapToGrid w:val="0"/>
                    <w:ind w:left="0" w:leftChars="0" w:firstLine="0" w:firstLineChars="0"/>
                    <w:jc w:val="center"/>
                    <w:rPr>
                      <w:szCs w:val="21"/>
                      <w:highlight w:val="none"/>
                    </w:rPr>
                  </w:pPr>
                  <w:r>
                    <w:rPr>
                      <w:rFonts w:hint="eastAsia"/>
                      <w:snapToGrid w:val="0"/>
                      <w:szCs w:val="21"/>
                      <w:highlight w:val="none"/>
                    </w:rPr>
                    <w:t>（g/床位）</w:t>
                  </w:r>
                </w:p>
              </w:tc>
              <w:tc>
                <w:tcPr>
                  <w:tcW w:w="1949" w:type="dxa"/>
                  <w:vMerge w:val="continue"/>
                  <w:noWrap w:val="0"/>
                  <w:vAlign w:val="center"/>
                </w:tcPr>
                <w:p>
                  <w:pPr>
                    <w:pStyle w:val="57"/>
                    <w:adjustRightInd w:val="0"/>
                    <w:snapToGrid w:val="0"/>
                    <w:jc w:val="center"/>
                    <w:rPr>
                      <w:rFonts w:hint="eastAsia"/>
                      <w:snapToGrid w:val="0"/>
                      <w:szCs w:val="21"/>
                      <w:highlight w:val="none"/>
                    </w:rPr>
                  </w:pPr>
                </w:p>
              </w:tc>
              <w:tc>
                <w:tcPr>
                  <w:tcW w:w="1003" w:type="dxa"/>
                  <w:vMerge w:val="continue"/>
                  <w:noWrap w:val="0"/>
                  <w:vAlign w:val="center"/>
                </w:tcPr>
                <w:p>
                  <w:pPr>
                    <w:pStyle w:val="57"/>
                    <w:adjustRightInd w:val="0"/>
                    <w:snapToGrid w:val="0"/>
                    <w:jc w:val="center"/>
                    <w:rPr>
                      <w:rFonts w:hint="eastAsia"/>
                      <w:snapToGrid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743" w:type="dxa"/>
                  <w:vMerge w:val="restart"/>
                  <w:noWrap w:val="0"/>
                  <w:vAlign w:val="center"/>
                </w:tcPr>
                <w:p>
                  <w:pPr>
                    <w:pStyle w:val="75"/>
                    <w:adjustRightInd w:val="0"/>
                    <w:snapToGrid w:val="0"/>
                    <w:spacing w:before="0" w:beforeAutospacing="0" w:after="0" w:afterAutospacing="0"/>
                    <w:jc w:val="center"/>
                    <w:rPr>
                      <w:rFonts w:ascii="Times New Roman" w:hAnsi="Times New Roman" w:cs="Times New Roman"/>
                      <w:snapToGrid w:val="0"/>
                      <w:sz w:val="21"/>
                      <w:szCs w:val="21"/>
                      <w:highlight w:val="none"/>
                    </w:rPr>
                  </w:pPr>
                  <w:r>
                    <w:rPr>
                      <w:rFonts w:ascii="Times New Roman" w:hAnsi="Times New Roman" w:cs="Times New Roman"/>
                      <w:snapToGrid w:val="0"/>
                      <w:sz w:val="21"/>
                      <w:szCs w:val="21"/>
                      <w:highlight w:val="none"/>
                    </w:rPr>
                    <w:t>BOD</w:t>
                  </w:r>
                </w:p>
              </w:tc>
              <w:tc>
                <w:tcPr>
                  <w:tcW w:w="1996" w:type="dxa"/>
                  <w:noWrap w:val="0"/>
                  <w:vAlign w:val="center"/>
                </w:tcPr>
                <w:p>
                  <w:pPr>
                    <w:pStyle w:val="57"/>
                    <w:adjustRightInd w:val="0"/>
                    <w:snapToGrid w:val="0"/>
                    <w:ind w:left="0" w:leftChars="0" w:firstLine="0" w:firstLineChars="0"/>
                    <w:jc w:val="center"/>
                    <w:rPr>
                      <w:snapToGrid w:val="0"/>
                      <w:szCs w:val="21"/>
                      <w:highlight w:val="none"/>
                    </w:rPr>
                  </w:pPr>
                  <w:r>
                    <w:rPr>
                      <w:rFonts w:hint="eastAsia"/>
                      <w:snapToGrid w:val="0"/>
                      <w:szCs w:val="21"/>
                      <w:highlight w:val="none"/>
                    </w:rPr>
                    <w:t>浓度</w:t>
                  </w:r>
                </w:p>
              </w:tc>
              <w:tc>
                <w:tcPr>
                  <w:tcW w:w="820" w:type="dxa"/>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100</w:t>
                  </w:r>
                </w:p>
              </w:tc>
              <w:tc>
                <w:tcPr>
                  <w:tcW w:w="1126" w:type="dxa"/>
                  <w:noWrap w:val="0"/>
                  <w:vAlign w:val="center"/>
                </w:tcPr>
                <w:p>
                  <w:pPr>
                    <w:adjustRightInd w:val="0"/>
                    <w:snapToGrid w:val="0"/>
                    <w:jc w:val="center"/>
                    <w:rPr>
                      <w:spacing w:val="-1"/>
                      <w:szCs w:val="21"/>
                      <w:highlight w:val="none"/>
                    </w:rPr>
                  </w:pPr>
                  <w:r>
                    <w:rPr>
                      <w:szCs w:val="21"/>
                      <w:highlight w:val="none"/>
                    </w:rPr>
                    <w:t>mg/L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43" w:type="dxa"/>
                  <w:vMerge w:val="continue"/>
                  <w:noWrap w:val="0"/>
                  <w:vAlign w:val="center"/>
                </w:tcPr>
                <w:p>
                  <w:pPr>
                    <w:pStyle w:val="75"/>
                    <w:adjustRightInd w:val="0"/>
                    <w:snapToGrid w:val="0"/>
                    <w:spacing w:before="0" w:beforeAutospacing="0" w:after="0" w:afterAutospacing="0"/>
                    <w:jc w:val="center"/>
                    <w:rPr>
                      <w:rFonts w:ascii="Times New Roman" w:hAnsi="Times New Roman" w:cs="Times New Roman"/>
                      <w:snapToGrid w:val="0"/>
                      <w:sz w:val="21"/>
                      <w:szCs w:val="21"/>
                      <w:highlight w:val="none"/>
                    </w:rPr>
                  </w:pPr>
                </w:p>
              </w:tc>
              <w:tc>
                <w:tcPr>
                  <w:tcW w:w="1996" w:type="dxa"/>
                  <w:noWrap w:val="0"/>
                  <w:vAlign w:val="center"/>
                </w:tcPr>
                <w:p>
                  <w:pPr>
                    <w:pStyle w:val="57"/>
                    <w:adjustRightInd w:val="0"/>
                    <w:snapToGrid w:val="0"/>
                    <w:ind w:left="0" w:leftChars="0" w:firstLine="0" w:firstLineChars="0"/>
                    <w:jc w:val="center"/>
                    <w:rPr>
                      <w:snapToGrid w:val="0"/>
                      <w:szCs w:val="21"/>
                      <w:highlight w:val="none"/>
                    </w:rPr>
                  </w:pPr>
                  <w:r>
                    <w:rPr>
                      <w:rFonts w:hint="eastAsia"/>
                      <w:snapToGrid w:val="0"/>
                      <w:szCs w:val="21"/>
                      <w:highlight w:val="none"/>
                    </w:rPr>
                    <w:t>最高允许排放负荷</w:t>
                  </w:r>
                </w:p>
              </w:tc>
              <w:tc>
                <w:tcPr>
                  <w:tcW w:w="820"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100</w:t>
                  </w:r>
                </w:p>
              </w:tc>
              <w:tc>
                <w:tcPr>
                  <w:tcW w:w="1126" w:type="dxa"/>
                  <w:noWrap w:val="0"/>
                  <w:vAlign w:val="center"/>
                </w:tcPr>
                <w:p>
                  <w:pPr>
                    <w:adjustRightInd w:val="0"/>
                    <w:snapToGrid w:val="0"/>
                    <w:jc w:val="center"/>
                    <w:rPr>
                      <w:szCs w:val="21"/>
                      <w:highlight w:val="none"/>
                    </w:rPr>
                  </w:pPr>
                  <w:r>
                    <w:rPr>
                      <w:rFonts w:hint="eastAsia"/>
                      <w:snapToGrid w:val="0"/>
                      <w:szCs w:val="21"/>
                      <w:highlight w:val="none"/>
                    </w:rPr>
                    <w:t>（g/床位）</w:t>
                  </w:r>
                </w:p>
              </w:tc>
              <w:tc>
                <w:tcPr>
                  <w:tcW w:w="1949" w:type="dxa"/>
                  <w:vMerge w:val="continue"/>
                  <w:noWrap w:val="0"/>
                  <w:vAlign w:val="center"/>
                </w:tcPr>
                <w:p>
                  <w:pPr>
                    <w:adjustRightInd w:val="0"/>
                    <w:snapToGrid w:val="0"/>
                    <w:jc w:val="center"/>
                    <w:rPr>
                      <w:rFonts w:hint="eastAsia"/>
                      <w:snapToGrid w:val="0"/>
                      <w:szCs w:val="21"/>
                      <w:highlight w:val="none"/>
                    </w:rPr>
                  </w:pPr>
                </w:p>
              </w:tc>
              <w:tc>
                <w:tcPr>
                  <w:tcW w:w="1003" w:type="dxa"/>
                  <w:vMerge w:val="continue"/>
                  <w:noWrap w:val="0"/>
                  <w:vAlign w:val="center"/>
                </w:tcPr>
                <w:p>
                  <w:pPr>
                    <w:adjustRightInd w:val="0"/>
                    <w:snapToGrid w:val="0"/>
                    <w:jc w:val="center"/>
                    <w:rPr>
                      <w:rFonts w:hint="eastAsia"/>
                      <w:snapToGrid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743" w:type="dxa"/>
                  <w:vMerge w:val="restart"/>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SS</w:t>
                  </w:r>
                </w:p>
              </w:tc>
              <w:tc>
                <w:tcPr>
                  <w:tcW w:w="1996" w:type="dxa"/>
                  <w:noWrap w:val="0"/>
                  <w:vAlign w:val="center"/>
                </w:tcPr>
                <w:p>
                  <w:pPr>
                    <w:pStyle w:val="57"/>
                    <w:adjustRightInd w:val="0"/>
                    <w:snapToGrid w:val="0"/>
                    <w:ind w:left="0" w:leftChars="0" w:firstLine="0" w:firstLineChars="0"/>
                    <w:jc w:val="center"/>
                    <w:rPr>
                      <w:snapToGrid w:val="0"/>
                      <w:szCs w:val="21"/>
                      <w:highlight w:val="none"/>
                    </w:rPr>
                  </w:pPr>
                  <w:r>
                    <w:rPr>
                      <w:rFonts w:hint="eastAsia"/>
                      <w:snapToGrid w:val="0"/>
                      <w:szCs w:val="21"/>
                      <w:highlight w:val="none"/>
                    </w:rPr>
                    <w:t>浓度</w:t>
                  </w:r>
                </w:p>
              </w:tc>
              <w:tc>
                <w:tcPr>
                  <w:tcW w:w="820" w:type="dxa"/>
                  <w:noWrap w:val="0"/>
                  <w:vAlign w:val="center"/>
                </w:tcPr>
                <w:p>
                  <w:pPr>
                    <w:pStyle w:val="57"/>
                    <w:adjustRightInd w:val="0"/>
                    <w:snapToGrid w:val="0"/>
                    <w:ind w:left="0" w:leftChars="0" w:firstLine="0" w:firstLineChars="0"/>
                    <w:jc w:val="center"/>
                    <w:rPr>
                      <w:snapToGrid w:val="0"/>
                      <w:szCs w:val="21"/>
                      <w:highlight w:val="none"/>
                    </w:rPr>
                  </w:pPr>
                  <w:r>
                    <w:rPr>
                      <w:snapToGrid w:val="0"/>
                      <w:szCs w:val="21"/>
                      <w:highlight w:val="none"/>
                    </w:rPr>
                    <w:t>60</w:t>
                  </w:r>
                </w:p>
              </w:tc>
              <w:tc>
                <w:tcPr>
                  <w:tcW w:w="1126" w:type="dxa"/>
                  <w:noWrap w:val="0"/>
                  <w:vAlign w:val="center"/>
                </w:tcPr>
                <w:p>
                  <w:pPr>
                    <w:adjustRightInd w:val="0"/>
                    <w:snapToGrid w:val="0"/>
                    <w:jc w:val="center"/>
                    <w:rPr>
                      <w:spacing w:val="-1"/>
                      <w:szCs w:val="21"/>
                      <w:highlight w:val="none"/>
                    </w:rPr>
                  </w:pPr>
                  <w:r>
                    <w:rPr>
                      <w:szCs w:val="21"/>
                      <w:highlight w:val="none"/>
                    </w:rPr>
                    <w:t>mg/L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43" w:type="dxa"/>
                  <w:vMerge w:val="continue"/>
                  <w:noWrap w:val="0"/>
                  <w:vAlign w:val="center"/>
                </w:tcPr>
                <w:p>
                  <w:pPr>
                    <w:pStyle w:val="57"/>
                    <w:adjustRightInd w:val="0"/>
                    <w:snapToGrid w:val="0"/>
                    <w:jc w:val="center"/>
                    <w:rPr>
                      <w:snapToGrid w:val="0"/>
                      <w:szCs w:val="21"/>
                      <w:highlight w:val="none"/>
                    </w:rPr>
                  </w:pPr>
                </w:p>
              </w:tc>
              <w:tc>
                <w:tcPr>
                  <w:tcW w:w="1996" w:type="dxa"/>
                  <w:noWrap w:val="0"/>
                  <w:vAlign w:val="center"/>
                </w:tcPr>
                <w:p>
                  <w:pPr>
                    <w:pStyle w:val="57"/>
                    <w:adjustRightInd w:val="0"/>
                    <w:snapToGrid w:val="0"/>
                    <w:ind w:left="0" w:leftChars="0" w:firstLine="0" w:firstLineChars="0"/>
                    <w:jc w:val="center"/>
                    <w:rPr>
                      <w:snapToGrid w:val="0"/>
                      <w:szCs w:val="21"/>
                      <w:highlight w:val="none"/>
                    </w:rPr>
                  </w:pPr>
                  <w:r>
                    <w:rPr>
                      <w:rFonts w:hint="eastAsia"/>
                      <w:snapToGrid w:val="0"/>
                      <w:szCs w:val="21"/>
                      <w:highlight w:val="none"/>
                    </w:rPr>
                    <w:t>最高允许排放负荷</w:t>
                  </w:r>
                </w:p>
              </w:tc>
              <w:tc>
                <w:tcPr>
                  <w:tcW w:w="820"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60</w:t>
                  </w:r>
                </w:p>
              </w:tc>
              <w:tc>
                <w:tcPr>
                  <w:tcW w:w="1126" w:type="dxa"/>
                  <w:noWrap w:val="0"/>
                  <w:vAlign w:val="center"/>
                </w:tcPr>
                <w:p>
                  <w:pPr>
                    <w:adjustRightInd w:val="0"/>
                    <w:snapToGrid w:val="0"/>
                    <w:jc w:val="center"/>
                    <w:rPr>
                      <w:szCs w:val="21"/>
                      <w:highlight w:val="none"/>
                    </w:rPr>
                  </w:pPr>
                  <w:r>
                    <w:rPr>
                      <w:rFonts w:hint="eastAsia"/>
                      <w:snapToGrid w:val="0"/>
                      <w:szCs w:val="21"/>
                      <w:highlight w:val="none"/>
                    </w:rPr>
                    <w:t>（g/床位）</w:t>
                  </w:r>
                </w:p>
              </w:tc>
              <w:tc>
                <w:tcPr>
                  <w:tcW w:w="1949" w:type="dxa"/>
                  <w:vMerge w:val="continue"/>
                  <w:noWrap w:val="0"/>
                  <w:vAlign w:val="center"/>
                </w:tcPr>
                <w:p>
                  <w:pPr>
                    <w:adjustRightInd w:val="0"/>
                    <w:snapToGrid w:val="0"/>
                    <w:jc w:val="center"/>
                    <w:rPr>
                      <w:rFonts w:hint="eastAsia"/>
                      <w:snapToGrid w:val="0"/>
                      <w:szCs w:val="21"/>
                      <w:highlight w:val="none"/>
                    </w:rPr>
                  </w:pPr>
                </w:p>
              </w:tc>
              <w:tc>
                <w:tcPr>
                  <w:tcW w:w="1003" w:type="dxa"/>
                  <w:vMerge w:val="continue"/>
                  <w:noWrap w:val="0"/>
                  <w:vAlign w:val="center"/>
                </w:tcPr>
                <w:p>
                  <w:pPr>
                    <w:adjustRightInd w:val="0"/>
                    <w:snapToGrid w:val="0"/>
                    <w:jc w:val="center"/>
                    <w:rPr>
                      <w:rFonts w:hint="eastAsia"/>
                      <w:snapToGrid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2739" w:type="dxa"/>
                  <w:gridSpan w:val="2"/>
                  <w:noWrap w:val="0"/>
                  <w:vAlign w:val="center"/>
                </w:tcPr>
                <w:p>
                  <w:pPr>
                    <w:pStyle w:val="87"/>
                    <w:adjustRightInd w:val="0"/>
                    <w:snapToGrid w:val="0"/>
                    <w:spacing w:after="0" w:line="240" w:lineRule="auto"/>
                    <w:jc w:val="center"/>
                    <w:rPr>
                      <w:snapToGrid w:val="0"/>
                      <w:szCs w:val="21"/>
                      <w:highlight w:val="none"/>
                    </w:rPr>
                  </w:pPr>
                  <w:r>
                    <w:rPr>
                      <w:snapToGrid w:val="0"/>
                      <w:szCs w:val="21"/>
                      <w:highlight w:val="none"/>
                    </w:rPr>
                    <w:t>粪大肠菌群数</w:t>
                  </w:r>
                </w:p>
              </w:tc>
              <w:tc>
                <w:tcPr>
                  <w:tcW w:w="820" w:type="dxa"/>
                  <w:noWrap w:val="0"/>
                  <w:vAlign w:val="center"/>
                </w:tcPr>
                <w:p>
                  <w:pPr>
                    <w:adjustRightInd w:val="0"/>
                    <w:snapToGrid w:val="0"/>
                    <w:jc w:val="center"/>
                    <w:rPr>
                      <w:spacing w:val="-1"/>
                      <w:szCs w:val="21"/>
                      <w:highlight w:val="none"/>
                    </w:rPr>
                  </w:pPr>
                  <w:r>
                    <w:rPr>
                      <w:snapToGrid w:val="0"/>
                      <w:szCs w:val="21"/>
                      <w:highlight w:val="none"/>
                    </w:rPr>
                    <w:t>5000</w:t>
                  </w:r>
                </w:p>
              </w:tc>
              <w:tc>
                <w:tcPr>
                  <w:tcW w:w="1126" w:type="dxa"/>
                  <w:noWrap w:val="0"/>
                  <w:vAlign w:val="center"/>
                </w:tcPr>
                <w:p>
                  <w:pPr>
                    <w:adjustRightInd w:val="0"/>
                    <w:snapToGrid w:val="0"/>
                    <w:jc w:val="center"/>
                    <w:rPr>
                      <w:spacing w:val="-1"/>
                      <w:szCs w:val="21"/>
                      <w:highlight w:val="none"/>
                    </w:rPr>
                  </w:pPr>
                  <w:r>
                    <w:rPr>
                      <w:szCs w:val="21"/>
                      <w:highlight w:val="none"/>
                    </w:rPr>
                    <w:t>MPN/L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2739" w:type="dxa"/>
                  <w:gridSpan w:val="2"/>
                  <w:noWrap w:val="0"/>
                  <w:vAlign w:val="center"/>
                </w:tcPr>
                <w:p>
                  <w:pPr>
                    <w:pStyle w:val="57"/>
                    <w:adjustRightInd w:val="0"/>
                    <w:snapToGrid w:val="0"/>
                    <w:ind w:left="0" w:leftChars="0" w:firstLine="0" w:firstLineChars="0"/>
                    <w:jc w:val="center"/>
                    <w:rPr>
                      <w:rFonts w:hint="eastAsia"/>
                      <w:snapToGrid w:val="0"/>
                      <w:szCs w:val="21"/>
                      <w:highlight w:val="none"/>
                      <w:lang w:eastAsia="zh-CN"/>
                    </w:rPr>
                  </w:pPr>
                  <w:r>
                    <w:rPr>
                      <w:rFonts w:hint="eastAsia"/>
                      <w:snapToGrid w:val="0"/>
                      <w:szCs w:val="21"/>
                      <w:highlight w:val="none"/>
                      <w:lang w:eastAsia="zh-CN"/>
                    </w:rPr>
                    <w:t>阴离子表面活性剂</w:t>
                  </w:r>
                </w:p>
              </w:tc>
              <w:tc>
                <w:tcPr>
                  <w:tcW w:w="820" w:type="dxa"/>
                  <w:noWrap w:val="0"/>
                  <w:vAlign w:val="center"/>
                </w:tcPr>
                <w:p>
                  <w:pPr>
                    <w:adjustRightInd w:val="0"/>
                    <w:snapToGrid w:val="0"/>
                    <w:jc w:val="center"/>
                    <w:rPr>
                      <w:rFonts w:hint="eastAsia" w:eastAsia="宋体"/>
                      <w:snapToGrid w:val="0"/>
                      <w:szCs w:val="21"/>
                      <w:highlight w:val="none"/>
                      <w:lang w:val="en-US" w:eastAsia="zh-CN"/>
                    </w:rPr>
                  </w:pPr>
                  <w:r>
                    <w:rPr>
                      <w:rFonts w:hint="eastAsia"/>
                      <w:snapToGrid w:val="0"/>
                      <w:szCs w:val="21"/>
                      <w:highlight w:val="none"/>
                      <w:lang w:val="en-US" w:eastAsia="zh-CN"/>
                    </w:rPr>
                    <w:t>5</w:t>
                  </w:r>
                </w:p>
              </w:tc>
              <w:tc>
                <w:tcPr>
                  <w:tcW w:w="1126" w:type="dxa"/>
                  <w:noWrap w:val="0"/>
                  <w:vAlign w:val="center"/>
                </w:tcPr>
                <w:p>
                  <w:pPr>
                    <w:adjustRightInd w:val="0"/>
                    <w:snapToGrid w:val="0"/>
                    <w:jc w:val="center"/>
                    <w:rPr>
                      <w:rFonts w:ascii="Times New Roman" w:hAnsi="Times New Roman" w:eastAsia="宋体" w:cs="Times New Roman"/>
                      <w:kern w:val="2"/>
                      <w:sz w:val="21"/>
                      <w:szCs w:val="21"/>
                      <w:highlight w:val="none"/>
                      <w:lang w:val="en-US" w:eastAsia="zh-CN" w:bidi="ar-SA"/>
                    </w:rPr>
                  </w:pPr>
                  <w:r>
                    <w:rPr>
                      <w:szCs w:val="21"/>
                      <w:highlight w:val="none"/>
                    </w:rPr>
                    <w:t>mg/L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2739" w:type="dxa"/>
                  <w:gridSpan w:val="2"/>
                  <w:noWrap w:val="0"/>
                  <w:vAlign w:val="center"/>
                </w:tcPr>
                <w:p>
                  <w:pPr>
                    <w:pStyle w:val="57"/>
                    <w:adjustRightInd w:val="0"/>
                    <w:snapToGrid w:val="0"/>
                    <w:ind w:left="0" w:leftChars="0" w:firstLine="0" w:firstLineChars="0"/>
                    <w:jc w:val="center"/>
                    <w:rPr>
                      <w:rFonts w:hint="eastAsia"/>
                      <w:snapToGrid w:val="0"/>
                      <w:szCs w:val="21"/>
                      <w:highlight w:val="none"/>
                      <w:lang w:val="en-US" w:eastAsia="zh-CN"/>
                    </w:rPr>
                  </w:pPr>
                  <w:r>
                    <w:rPr>
                      <w:rFonts w:hint="eastAsia"/>
                      <w:snapToGrid w:val="0"/>
                      <w:szCs w:val="21"/>
                      <w:highlight w:val="none"/>
                      <w:lang w:val="en-US" w:eastAsia="zh-CN"/>
                    </w:rPr>
                    <w:t>总氮</w:t>
                  </w:r>
                </w:p>
              </w:tc>
              <w:tc>
                <w:tcPr>
                  <w:tcW w:w="820" w:type="dxa"/>
                  <w:noWrap w:val="0"/>
                  <w:vAlign w:val="center"/>
                </w:tcPr>
                <w:p>
                  <w:pPr>
                    <w:pStyle w:val="57"/>
                    <w:adjustRightInd w:val="0"/>
                    <w:snapToGrid w:val="0"/>
                    <w:ind w:left="0" w:leftChars="0" w:firstLine="0" w:firstLineChars="0"/>
                    <w:jc w:val="center"/>
                    <w:rPr>
                      <w:snapToGrid w:val="0"/>
                      <w:szCs w:val="21"/>
                      <w:highlight w:val="none"/>
                    </w:rPr>
                  </w:pPr>
                  <w:r>
                    <w:rPr>
                      <w:rFonts w:hint="eastAsia"/>
                      <w:snapToGrid w:val="0"/>
                      <w:szCs w:val="21"/>
                      <w:highlight w:val="none"/>
                    </w:rPr>
                    <w:t>45</w:t>
                  </w:r>
                </w:p>
              </w:tc>
              <w:tc>
                <w:tcPr>
                  <w:tcW w:w="1126" w:type="dxa"/>
                  <w:noWrap w:val="0"/>
                  <w:vAlign w:val="center"/>
                </w:tcPr>
                <w:p>
                  <w:pPr>
                    <w:adjustRightInd w:val="0"/>
                    <w:snapToGrid w:val="0"/>
                    <w:jc w:val="center"/>
                    <w:rPr>
                      <w:spacing w:val="-1"/>
                      <w:szCs w:val="21"/>
                      <w:highlight w:val="none"/>
                    </w:rPr>
                  </w:pPr>
                  <w:r>
                    <w:rPr>
                      <w:szCs w:val="21"/>
                      <w:highlight w:val="none"/>
                    </w:rPr>
                    <w:t>mg/L</w:t>
                  </w:r>
                </w:p>
              </w:tc>
              <w:tc>
                <w:tcPr>
                  <w:tcW w:w="1949" w:type="dxa"/>
                  <w:vMerge w:val="restart"/>
                  <w:noWrap w:val="0"/>
                  <w:vAlign w:val="center"/>
                </w:tcPr>
                <w:p>
                  <w:pPr>
                    <w:adjustRightInd w:val="0"/>
                    <w:snapToGrid w:val="0"/>
                    <w:jc w:val="center"/>
                    <w:rPr>
                      <w:szCs w:val="21"/>
                      <w:highlight w:val="none"/>
                    </w:rPr>
                  </w:pPr>
                  <w:r>
                    <w:rPr>
                      <w:snapToGrid w:val="0"/>
                      <w:szCs w:val="21"/>
                      <w:highlight w:val="none"/>
                    </w:rPr>
                    <w:t>迁安市污水处理厂收水标准</w:t>
                  </w:r>
                </w:p>
              </w:tc>
              <w:tc>
                <w:tcPr>
                  <w:tcW w:w="1003" w:type="dxa"/>
                  <w:vMerge w:val="continue"/>
                  <w:noWrap w:val="0"/>
                  <w:vAlign w:val="center"/>
                </w:tcPr>
                <w:p>
                  <w:pPr>
                    <w:adjustRightInd w:val="0"/>
                    <w:snapToGrid w:val="0"/>
                    <w:jc w:val="center"/>
                    <w:rPr>
                      <w:snapToGrid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2739" w:type="dxa"/>
                  <w:gridSpan w:val="2"/>
                  <w:noWrap w:val="0"/>
                  <w:vAlign w:val="center"/>
                </w:tcPr>
                <w:p>
                  <w:pPr>
                    <w:pStyle w:val="57"/>
                    <w:adjustRightInd w:val="0"/>
                    <w:snapToGrid w:val="0"/>
                    <w:ind w:left="0" w:leftChars="0" w:firstLine="0" w:firstLineChars="0"/>
                    <w:jc w:val="center"/>
                    <w:rPr>
                      <w:rFonts w:hint="eastAsia"/>
                      <w:snapToGrid w:val="0"/>
                      <w:szCs w:val="21"/>
                      <w:highlight w:val="none"/>
                      <w:lang w:val="en-US" w:eastAsia="zh-CN"/>
                    </w:rPr>
                  </w:pPr>
                  <w:r>
                    <w:rPr>
                      <w:rFonts w:hint="eastAsia"/>
                      <w:snapToGrid w:val="0"/>
                      <w:szCs w:val="21"/>
                      <w:highlight w:val="none"/>
                      <w:lang w:val="en-US" w:eastAsia="zh-CN"/>
                    </w:rPr>
                    <w:t>氨氮</w:t>
                  </w:r>
                </w:p>
              </w:tc>
              <w:tc>
                <w:tcPr>
                  <w:tcW w:w="820" w:type="dxa"/>
                  <w:noWrap w:val="0"/>
                  <w:vAlign w:val="center"/>
                </w:tcPr>
                <w:p>
                  <w:pPr>
                    <w:pStyle w:val="57"/>
                    <w:adjustRightInd w:val="0"/>
                    <w:snapToGrid w:val="0"/>
                    <w:ind w:left="0" w:leftChars="0" w:firstLine="0" w:firstLineChars="0"/>
                    <w:jc w:val="center"/>
                    <w:rPr>
                      <w:rFonts w:hint="eastAsia"/>
                      <w:snapToGrid w:val="0"/>
                      <w:szCs w:val="21"/>
                      <w:highlight w:val="none"/>
                    </w:rPr>
                  </w:pPr>
                  <w:r>
                    <w:rPr>
                      <w:snapToGrid w:val="0"/>
                      <w:szCs w:val="21"/>
                      <w:highlight w:val="none"/>
                    </w:rPr>
                    <w:t>35</w:t>
                  </w:r>
                </w:p>
              </w:tc>
              <w:tc>
                <w:tcPr>
                  <w:tcW w:w="1126" w:type="dxa"/>
                  <w:noWrap w:val="0"/>
                  <w:vAlign w:val="center"/>
                </w:tcPr>
                <w:p>
                  <w:pPr>
                    <w:adjustRightInd w:val="0"/>
                    <w:snapToGrid w:val="0"/>
                    <w:jc w:val="center"/>
                    <w:rPr>
                      <w:szCs w:val="21"/>
                      <w:highlight w:val="none"/>
                    </w:rPr>
                  </w:pPr>
                  <w:r>
                    <w:rPr>
                      <w:szCs w:val="21"/>
                      <w:highlight w:val="none"/>
                    </w:rPr>
                    <w:t>mg/L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2739" w:type="dxa"/>
                  <w:gridSpan w:val="2"/>
                  <w:noWrap w:val="0"/>
                  <w:vAlign w:val="center"/>
                </w:tcPr>
                <w:p>
                  <w:pPr>
                    <w:pStyle w:val="57"/>
                    <w:adjustRightInd w:val="0"/>
                    <w:snapToGrid w:val="0"/>
                    <w:ind w:left="0" w:leftChars="0" w:firstLine="0" w:firstLineChars="0"/>
                    <w:jc w:val="center"/>
                    <w:rPr>
                      <w:rFonts w:hint="eastAsia"/>
                      <w:snapToGrid w:val="0"/>
                      <w:szCs w:val="21"/>
                      <w:highlight w:val="none"/>
                      <w:lang w:val="en-US" w:eastAsia="zh-CN"/>
                    </w:rPr>
                  </w:pPr>
                  <w:r>
                    <w:rPr>
                      <w:rFonts w:hint="eastAsia"/>
                      <w:snapToGrid w:val="0"/>
                      <w:szCs w:val="21"/>
                      <w:highlight w:val="none"/>
                      <w:lang w:val="en-US" w:eastAsia="zh-CN"/>
                    </w:rPr>
                    <w:t>总磷</w:t>
                  </w:r>
                </w:p>
              </w:tc>
              <w:tc>
                <w:tcPr>
                  <w:tcW w:w="820" w:type="dxa"/>
                  <w:noWrap w:val="0"/>
                  <w:vAlign w:val="center"/>
                </w:tcPr>
                <w:p>
                  <w:pPr>
                    <w:pStyle w:val="57"/>
                    <w:adjustRightInd w:val="0"/>
                    <w:snapToGrid w:val="0"/>
                    <w:ind w:left="0" w:leftChars="0" w:firstLine="0" w:firstLineChars="0"/>
                    <w:jc w:val="center"/>
                    <w:rPr>
                      <w:rFonts w:hint="eastAsia"/>
                      <w:snapToGrid w:val="0"/>
                      <w:szCs w:val="21"/>
                      <w:highlight w:val="none"/>
                    </w:rPr>
                  </w:pPr>
                  <w:r>
                    <w:rPr>
                      <w:rFonts w:hint="eastAsia"/>
                      <w:snapToGrid w:val="0"/>
                      <w:szCs w:val="21"/>
                      <w:highlight w:val="none"/>
                    </w:rPr>
                    <w:t>5</w:t>
                  </w:r>
                </w:p>
              </w:tc>
              <w:tc>
                <w:tcPr>
                  <w:tcW w:w="1126" w:type="dxa"/>
                  <w:noWrap w:val="0"/>
                  <w:vAlign w:val="center"/>
                </w:tcPr>
                <w:p>
                  <w:pPr>
                    <w:adjustRightInd w:val="0"/>
                    <w:snapToGrid w:val="0"/>
                    <w:jc w:val="center"/>
                    <w:rPr>
                      <w:szCs w:val="21"/>
                      <w:highlight w:val="none"/>
                    </w:rPr>
                  </w:pPr>
                  <w:r>
                    <w:rPr>
                      <w:szCs w:val="21"/>
                      <w:highlight w:val="none"/>
                    </w:rPr>
                    <w:t>mg/L</w:t>
                  </w:r>
                </w:p>
              </w:tc>
              <w:tc>
                <w:tcPr>
                  <w:tcW w:w="1949" w:type="dxa"/>
                  <w:vMerge w:val="continue"/>
                  <w:noWrap w:val="0"/>
                  <w:vAlign w:val="center"/>
                </w:tcPr>
                <w:p>
                  <w:pPr>
                    <w:adjustRightInd w:val="0"/>
                    <w:snapToGrid w:val="0"/>
                    <w:jc w:val="center"/>
                    <w:rPr>
                      <w:szCs w:val="21"/>
                      <w:highlight w:val="none"/>
                    </w:rPr>
                  </w:pPr>
                </w:p>
              </w:tc>
              <w:tc>
                <w:tcPr>
                  <w:tcW w:w="1003" w:type="dxa"/>
                  <w:vMerge w:val="continue"/>
                  <w:noWrap w:val="0"/>
                  <w:vAlign w:val="center"/>
                </w:tcPr>
                <w:p>
                  <w:pPr>
                    <w:adjustRightInd w:val="0"/>
                    <w:snapToGrid w:val="0"/>
                    <w:jc w:val="center"/>
                    <w:rPr>
                      <w:szCs w:val="21"/>
                      <w:highlight w:val="none"/>
                    </w:rPr>
                  </w:pPr>
                </w:p>
              </w:tc>
            </w:tr>
          </w:tbl>
          <w:p>
            <w:pPr>
              <w:tabs>
                <w:tab w:val="left" w:pos="810"/>
              </w:tabs>
              <w:spacing w:line="360" w:lineRule="exact"/>
              <w:rPr>
                <w:rFonts w:hint="eastAsia"/>
                <w:szCs w:val="21"/>
                <w:highlight w:val="none"/>
              </w:rPr>
            </w:pPr>
          </w:p>
          <w:p>
            <w:pPr>
              <w:autoSpaceDE w:val="0"/>
              <w:autoSpaceDN w:val="0"/>
              <w:spacing w:line="360" w:lineRule="auto"/>
              <w:ind w:firstLine="480" w:firstLineChars="200"/>
              <w:rPr>
                <w:kern w:val="0"/>
                <w:sz w:val="24"/>
                <w:szCs w:val="24"/>
                <w:highlight w:val="none"/>
              </w:rPr>
            </w:pPr>
            <w:r>
              <w:rPr>
                <w:rFonts w:hint="eastAsia"/>
                <w:kern w:val="0"/>
                <w:sz w:val="24"/>
                <w:szCs w:val="24"/>
                <w:highlight w:val="none"/>
              </w:rPr>
              <w:t>4</w:t>
            </w:r>
            <w:r>
              <w:rPr>
                <w:kern w:val="0"/>
                <w:sz w:val="24"/>
                <w:szCs w:val="24"/>
                <w:highlight w:val="none"/>
              </w:rPr>
              <w:t>、项目营运期</w:t>
            </w:r>
            <w:r>
              <w:rPr>
                <w:rFonts w:hint="eastAsia"/>
                <w:kern w:val="0"/>
                <w:sz w:val="24"/>
                <w:szCs w:val="24"/>
                <w:highlight w:val="none"/>
              </w:rPr>
              <w:t>西</w:t>
            </w:r>
            <w:r>
              <w:rPr>
                <w:kern w:val="0"/>
                <w:sz w:val="24"/>
                <w:szCs w:val="24"/>
                <w:highlight w:val="none"/>
              </w:rPr>
              <w:t>厂界执行《工业企业厂界环境噪声排放标准》(GB12348-2008)中4类标准，</w:t>
            </w:r>
            <w:r>
              <w:rPr>
                <w:rFonts w:hint="eastAsia"/>
                <w:kern w:val="0"/>
                <w:sz w:val="24"/>
                <w:szCs w:val="24"/>
                <w:highlight w:val="none"/>
              </w:rPr>
              <w:t>北</w:t>
            </w:r>
            <w:r>
              <w:rPr>
                <w:kern w:val="0"/>
                <w:sz w:val="24"/>
                <w:szCs w:val="24"/>
                <w:highlight w:val="none"/>
              </w:rPr>
              <w:t>厂界</w:t>
            </w:r>
            <w:r>
              <w:rPr>
                <w:rFonts w:hint="eastAsia"/>
                <w:kern w:val="0"/>
                <w:sz w:val="24"/>
                <w:szCs w:val="24"/>
                <w:highlight w:val="none"/>
                <w:lang w:eastAsia="zh-CN"/>
              </w:rPr>
              <w:t>、南厂界</w:t>
            </w:r>
            <w:r>
              <w:rPr>
                <w:rFonts w:hint="eastAsia"/>
                <w:kern w:val="0"/>
                <w:sz w:val="24"/>
                <w:szCs w:val="24"/>
                <w:highlight w:val="none"/>
              </w:rPr>
              <w:t>和东</w:t>
            </w:r>
            <w:r>
              <w:rPr>
                <w:kern w:val="0"/>
                <w:sz w:val="24"/>
                <w:szCs w:val="24"/>
                <w:highlight w:val="none"/>
              </w:rPr>
              <w:t>厂界噪声执行</w:t>
            </w:r>
            <w:r>
              <w:rPr>
                <w:rFonts w:hint="eastAsia"/>
                <w:kern w:val="0"/>
                <w:sz w:val="24"/>
                <w:szCs w:val="24"/>
                <w:highlight w:val="none"/>
                <w:lang w:val="en-US" w:eastAsia="zh-CN"/>
              </w:rPr>
              <w:t>1</w:t>
            </w:r>
            <w:r>
              <w:rPr>
                <w:kern w:val="0"/>
                <w:sz w:val="24"/>
                <w:szCs w:val="24"/>
                <w:highlight w:val="none"/>
              </w:rPr>
              <w:t>类标准</w:t>
            </w:r>
            <w:r>
              <w:rPr>
                <w:rFonts w:hint="eastAsia"/>
                <w:kern w:val="0"/>
                <w:sz w:val="24"/>
                <w:szCs w:val="24"/>
                <w:highlight w:val="none"/>
              </w:rPr>
              <w:t>，</w:t>
            </w:r>
            <w:r>
              <w:rPr>
                <w:kern w:val="0"/>
                <w:sz w:val="24"/>
                <w:szCs w:val="24"/>
                <w:highlight w:val="none"/>
              </w:rPr>
              <w:t>见表</w:t>
            </w:r>
            <w:r>
              <w:rPr>
                <w:rFonts w:hint="eastAsia"/>
                <w:kern w:val="0"/>
                <w:sz w:val="24"/>
                <w:szCs w:val="24"/>
                <w:highlight w:val="none"/>
                <w:lang w:val="en-US" w:eastAsia="zh-CN"/>
              </w:rPr>
              <w:t>12</w:t>
            </w:r>
            <w:r>
              <w:rPr>
                <w:kern w:val="0"/>
                <w:sz w:val="24"/>
                <w:szCs w:val="24"/>
                <w:highlight w:val="none"/>
              </w:rPr>
              <w:t>。</w:t>
            </w:r>
          </w:p>
          <w:p>
            <w:pPr>
              <w:tabs>
                <w:tab w:val="left" w:pos="810"/>
              </w:tabs>
              <w:adjustRightInd w:val="0"/>
              <w:snapToGrid w:val="0"/>
              <w:spacing w:line="500" w:lineRule="exact"/>
              <w:ind w:firstLine="482" w:firstLineChars="200"/>
              <w:jc w:val="center"/>
              <w:rPr>
                <w:b/>
                <w:highlight w:val="none"/>
              </w:rPr>
            </w:pPr>
            <w:r>
              <w:rPr>
                <w:b/>
                <w:sz w:val="24"/>
                <w:szCs w:val="24"/>
                <w:highlight w:val="none"/>
              </w:rPr>
              <w:t>表</w:t>
            </w:r>
            <w:r>
              <w:rPr>
                <w:rFonts w:hint="eastAsia"/>
                <w:b/>
                <w:sz w:val="24"/>
                <w:szCs w:val="24"/>
                <w:highlight w:val="none"/>
              </w:rPr>
              <w:t>1</w:t>
            </w:r>
            <w:r>
              <w:rPr>
                <w:rFonts w:hint="eastAsia"/>
                <w:b/>
                <w:sz w:val="24"/>
                <w:szCs w:val="24"/>
                <w:highlight w:val="none"/>
                <w:lang w:val="en-US" w:eastAsia="zh-CN"/>
              </w:rPr>
              <w:t>2</w:t>
            </w:r>
            <w:r>
              <w:rPr>
                <w:b/>
                <w:sz w:val="24"/>
                <w:szCs w:val="24"/>
                <w:highlight w:val="none"/>
              </w:rPr>
              <w:t xml:space="preserve"> </w:t>
            </w:r>
            <w:r>
              <w:rPr>
                <w:rFonts w:hint="eastAsia"/>
                <w:b/>
                <w:sz w:val="24"/>
                <w:szCs w:val="24"/>
                <w:highlight w:val="none"/>
              </w:rPr>
              <w:t xml:space="preserve">   </w:t>
            </w:r>
            <w:r>
              <w:rPr>
                <w:b/>
                <w:sz w:val="24"/>
                <w:szCs w:val="24"/>
                <w:highlight w:val="none"/>
              </w:rPr>
              <w:t>《工业企业厂界环境噪声排放标准》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0"/>
              <w:gridCol w:w="1670"/>
              <w:gridCol w:w="15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4380" w:type="dxa"/>
                  <w:tcBorders>
                    <w:top w:val="single" w:color="auto" w:sz="4" w:space="0"/>
                    <w:left w:val="single" w:color="auto" w:sz="4" w:space="0"/>
                    <w:tl2br w:val="single" w:color="auto" w:sz="4" w:space="0"/>
                  </w:tcBorders>
                  <w:noWrap w:val="0"/>
                  <w:vAlign w:val="center"/>
                </w:tcPr>
                <w:p>
                  <w:pPr>
                    <w:spacing w:line="360" w:lineRule="exact"/>
                    <w:jc w:val="center"/>
                    <w:rPr>
                      <w:rFonts w:eastAsia="宋体"/>
                      <w:b w:val="0"/>
                      <w:bCs w:val="0"/>
                      <w:kern w:val="24"/>
                      <w:szCs w:val="21"/>
                      <w:highlight w:val="none"/>
                    </w:rPr>
                  </w:pPr>
                  <w:r>
                    <w:rPr>
                      <w:rFonts w:eastAsia="宋体"/>
                      <w:b w:val="0"/>
                      <w:bCs w:val="0"/>
                      <w:kern w:val="24"/>
                      <w:szCs w:val="21"/>
                      <w:highlight w:val="none"/>
                    </w:rPr>
                    <w:t xml:space="preserve">              </w:t>
                  </w:r>
                  <w:r>
                    <w:rPr>
                      <w:rFonts w:hAnsi="宋体" w:eastAsia="宋体"/>
                      <w:b w:val="0"/>
                      <w:bCs w:val="0"/>
                      <w:kern w:val="24"/>
                      <w:szCs w:val="21"/>
                      <w:highlight w:val="none"/>
                    </w:rPr>
                    <w:t>执行时段</w:t>
                  </w:r>
                </w:p>
                <w:p>
                  <w:pPr>
                    <w:spacing w:line="360" w:lineRule="exact"/>
                    <w:ind w:firstLine="630" w:firstLineChars="300"/>
                    <w:rPr>
                      <w:rFonts w:eastAsia="宋体"/>
                      <w:b w:val="0"/>
                      <w:bCs w:val="0"/>
                      <w:kern w:val="24"/>
                      <w:szCs w:val="21"/>
                      <w:highlight w:val="none"/>
                    </w:rPr>
                  </w:pPr>
                  <w:r>
                    <w:rPr>
                      <w:rFonts w:eastAsia="宋体"/>
                      <w:b w:val="0"/>
                      <w:bCs w:val="0"/>
                      <w:kern w:val="24"/>
                      <w:szCs w:val="21"/>
                      <w:highlight w:val="none"/>
                    </w:rPr>
                    <w:t xml:space="preserve"> </w:t>
                  </w:r>
                  <w:r>
                    <w:rPr>
                      <w:rFonts w:hAnsi="宋体" w:eastAsia="宋体"/>
                      <w:b w:val="0"/>
                      <w:bCs w:val="0"/>
                      <w:kern w:val="24"/>
                      <w:szCs w:val="21"/>
                      <w:highlight w:val="none"/>
                    </w:rPr>
                    <w:t>标准类别</w:t>
                  </w:r>
                </w:p>
              </w:tc>
              <w:tc>
                <w:tcPr>
                  <w:tcW w:w="1670" w:type="dxa"/>
                  <w:tcBorders>
                    <w:top w:val="single" w:color="auto" w:sz="4" w:space="0"/>
                  </w:tcBorders>
                  <w:noWrap w:val="0"/>
                  <w:vAlign w:val="center"/>
                </w:tcPr>
                <w:p>
                  <w:pPr>
                    <w:spacing w:line="360" w:lineRule="exact"/>
                    <w:jc w:val="center"/>
                    <w:rPr>
                      <w:rFonts w:eastAsia="宋体"/>
                      <w:b w:val="0"/>
                      <w:bCs w:val="0"/>
                      <w:kern w:val="24"/>
                      <w:szCs w:val="21"/>
                      <w:highlight w:val="none"/>
                    </w:rPr>
                  </w:pPr>
                  <w:r>
                    <w:rPr>
                      <w:rFonts w:hAnsi="宋体" w:eastAsia="宋体"/>
                      <w:b w:val="0"/>
                      <w:bCs w:val="0"/>
                      <w:kern w:val="24"/>
                      <w:szCs w:val="21"/>
                      <w:highlight w:val="none"/>
                    </w:rPr>
                    <w:t>昼</w:t>
                  </w:r>
                  <w:r>
                    <w:rPr>
                      <w:rFonts w:eastAsia="宋体"/>
                      <w:b w:val="0"/>
                      <w:bCs w:val="0"/>
                      <w:kern w:val="24"/>
                      <w:szCs w:val="21"/>
                      <w:highlight w:val="none"/>
                    </w:rPr>
                    <w:t xml:space="preserve">  </w:t>
                  </w:r>
                  <w:r>
                    <w:rPr>
                      <w:rFonts w:hAnsi="宋体" w:eastAsia="宋体"/>
                      <w:b w:val="0"/>
                      <w:bCs w:val="0"/>
                      <w:kern w:val="24"/>
                      <w:szCs w:val="21"/>
                      <w:highlight w:val="none"/>
                    </w:rPr>
                    <w:t>间</w:t>
                  </w:r>
                  <w:r>
                    <w:rPr>
                      <w:rFonts w:ascii="Times New Roman" w:hAnsi="Times New Roman" w:cs="Times New Roman"/>
                      <w:b w:val="0"/>
                      <w:bCs w:val="0"/>
                      <w:snapToGrid w:val="0"/>
                      <w:spacing w:val="2"/>
                      <w:highlight w:val="none"/>
                    </w:rPr>
                    <w:t>(dB(A))</w:t>
                  </w:r>
                </w:p>
              </w:tc>
              <w:tc>
                <w:tcPr>
                  <w:tcW w:w="1562" w:type="dxa"/>
                  <w:tcBorders>
                    <w:top w:val="single" w:color="auto" w:sz="4" w:space="0"/>
                    <w:right w:val="single" w:color="auto" w:sz="4" w:space="0"/>
                  </w:tcBorders>
                  <w:noWrap w:val="0"/>
                  <w:vAlign w:val="center"/>
                </w:tcPr>
                <w:p>
                  <w:pPr>
                    <w:spacing w:line="360" w:lineRule="exact"/>
                    <w:jc w:val="center"/>
                    <w:rPr>
                      <w:rFonts w:eastAsia="宋体"/>
                      <w:b w:val="0"/>
                      <w:bCs w:val="0"/>
                      <w:kern w:val="24"/>
                      <w:szCs w:val="21"/>
                      <w:highlight w:val="none"/>
                    </w:rPr>
                  </w:pPr>
                  <w:r>
                    <w:rPr>
                      <w:rFonts w:hAnsi="宋体" w:eastAsia="宋体"/>
                      <w:b w:val="0"/>
                      <w:bCs w:val="0"/>
                      <w:kern w:val="24"/>
                      <w:szCs w:val="21"/>
                      <w:highlight w:val="none"/>
                    </w:rPr>
                    <w:t>夜</w:t>
                  </w:r>
                  <w:r>
                    <w:rPr>
                      <w:rFonts w:eastAsia="宋体"/>
                      <w:b w:val="0"/>
                      <w:bCs w:val="0"/>
                      <w:kern w:val="24"/>
                      <w:szCs w:val="21"/>
                      <w:highlight w:val="none"/>
                    </w:rPr>
                    <w:t xml:space="preserve">  </w:t>
                  </w:r>
                  <w:r>
                    <w:rPr>
                      <w:rFonts w:hAnsi="宋体" w:eastAsia="宋体"/>
                      <w:b w:val="0"/>
                      <w:bCs w:val="0"/>
                      <w:kern w:val="24"/>
                      <w:szCs w:val="21"/>
                      <w:highlight w:val="none"/>
                    </w:rPr>
                    <w:t>间</w:t>
                  </w:r>
                  <w:r>
                    <w:rPr>
                      <w:rFonts w:ascii="Times New Roman" w:hAnsi="Times New Roman" w:cs="Times New Roman"/>
                      <w:b w:val="0"/>
                      <w:bCs w:val="0"/>
                      <w:snapToGrid w:val="0"/>
                      <w:spacing w:val="2"/>
                      <w:highlight w:val="none"/>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380" w:type="dxa"/>
                  <w:tcBorders>
                    <w:left w:val="single" w:color="auto" w:sz="4" w:space="0"/>
                  </w:tcBorders>
                  <w:noWrap w:val="0"/>
                  <w:vAlign w:val="center"/>
                </w:tcPr>
                <w:p>
                  <w:pPr>
                    <w:spacing w:line="360" w:lineRule="exact"/>
                    <w:jc w:val="center"/>
                    <w:rPr>
                      <w:rFonts w:eastAsia="宋体"/>
                      <w:kern w:val="24"/>
                      <w:szCs w:val="21"/>
                      <w:highlight w:val="none"/>
                    </w:rPr>
                  </w:pPr>
                  <w:r>
                    <w:rPr>
                      <w:kern w:val="0"/>
                      <w:szCs w:val="21"/>
                      <w:highlight w:val="none"/>
                    </w:rPr>
                    <w:t>《工业企业厂界环境噪声排放标准》</w:t>
                  </w:r>
                  <w:r>
                    <w:rPr>
                      <w:rFonts w:hint="eastAsia"/>
                      <w:kern w:val="0"/>
                      <w:szCs w:val="21"/>
                      <w:highlight w:val="none"/>
                      <w:lang w:val="en-US" w:eastAsia="zh-CN"/>
                    </w:rPr>
                    <w:t>1</w:t>
                  </w:r>
                  <w:r>
                    <w:rPr>
                      <w:kern w:val="0"/>
                      <w:szCs w:val="21"/>
                      <w:highlight w:val="none"/>
                    </w:rPr>
                    <w:t>类标准</w:t>
                  </w:r>
                  <w:r>
                    <w:rPr>
                      <w:rFonts w:hint="eastAsia"/>
                      <w:kern w:val="0"/>
                      <w:szCs w:val="21"/>
                      <w:highlight w:val="none"/>
                    </w:rPr>
                    <w:t>(</w:t>
                  </w:r>
                  <w:r>
                    <w:rPr>
                      <w:kern w:val="0"/>
                      <w:szCs w:val="21"/>
                      <w:highlight w:val="none"/>
                    </w:rPr>
                    <w:t>GB12348-2008</w:t>
                  </w:r>
                  <w:r>
                    <w:rPr>
                      <w:rFonts w:hint="eastAsia"/>
                      <w:kern w:val="0"/>
                      <w:szCs w:val="21"/>
                      <w:highlight w:val="none"/>
                    </w:rPr>
                    <w:t>)</w:t>
                  </w:r>
                </w:p>
              </w:tc>
              <w:tc>
                <w:tcPr>
                  <w:tcW w:w="1670" w:type="dxa"/>
                  <w:noWrap w:val="0"/>
                  <w:vAlign w:val="center"/>
                </w:tcPr>
                <w:p>
                  <w:pPr>
                    <w:adjustRightInd w:val="0"/>
                    <w:jc w:val="center"/>
                    <w:rPr>
                      <w:rFonts w:hint="default" w:eastAsia="宋体"/>
                      <w:kern w:val="24"/>
                      <w:szCs w:val="21"/>
                      <w:highlight w:val="none"/>
                      <w:lang w:val="en-US" w:eastAsia="zh-CN"/>
                    </w:rPr>
                  </w:pPr>
                  <w:r>
                    <w:rPr>
                      <w:rFonts w:hint="eastAsia" w:eastAsia="宋体"/>
                      <w:szCs w:val="21"/>
                      <w:highlight w:val="none"/>
                      <w:lang w:val="en-US" w:eastAsia="zh-CN"/>
                    </w:rPr>
                    <w:t>55</w:t>
                  </w:r>
                </w:p>
              </w:tc>
              <w:tc>
                <w:tcPr>
                  <w:tcW w:w="1562" w:type="dxa"/>
                  <w:tcBorders>
                    <w:right w:val="single" w:color="auto" w:sz="4" w:space="0"/>
                  </w:tcBorders>
                  <w:noWrap w:val="0"/>
                  <w:vAlign w:val="center"/>
                </w:tcPr>
                <w:p>
                  <w:pPr>
                    <w:adjustRightInd w:val="0"/>
                    <w:jc w:val="center"/>
                    <w:rPr>
                      <w:rFonts w:hint="default" w:eastAsia="宋体"/>
                      <w:kern w:val="24"/>
                      <w:szCs w:val="21"/>
                      <w:highlight w:val="none"/>
                      <w:lang w:val="en-US" w:eastAsia="zh-CN"/>
                    </w:rPr>
                  </w:pPr>
                  <w:r>
                    <w:rPr>
                      <w:rFonts w:hint="eastAsia" w:eastAsia="宋体"/>
                      <w:kern w:val="24"/>
                      <w:szCs w:val="21"/>
                      <w:highlight w:val="none"/>
                      <w:lang w:val="en-US" w:eastAsia="zh-CN"/>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380" w:type="dxa"/>
                  <w:tcBorders>
                    <w:left w:val="single" w:color="auto" w:sz="4" w:space="0"/>
                  </w:tcBorders>
                  <w:noWrap w:val="0"/>
                  <w:vAlign w:val="center"/>
                </w:tcPr>
                <w:p>
                  <w:pPr>
                    <w:spacing w:line="360" w:lineRule="exact"/>
                    <w:jc w:val="center"/>
                    <w:rPr>
                      <w:kern w:val="0"/>
                      <w:szCs w:val="21"/>
                      <w:highlight w:val="none"/>
                    </w:rPr>
                  </w:pPr>
                  <w:r>
                    <w:rPr>
                      <w:kern w:val="0"/>
                      <w:szCs w:val="21"/>
                      <w:highlight w:val="none"/>
                    </w:rPr>
                    <w:t>《工业企业厂界环境噪声排放标准》</w:t>
                  </w:r>
                  <w:r>
                    <w:rPr>
                      <w:rFonts w:hint="eastAsia"/>
                      <w:kern w:val="0"/>
                      <w:szCs w:val="21"/>
                      <w:highlight w:val="none"/>
                    </w:rPr>
                    <w:t>4</w:t>
                  </w:r>
                  <w:r>
                    <w:rPr>
                      <w:kern w:val="0"/>
                      <w:szCs w:val="21"/>
                      <w:highlight w:val="none"/>
                    </w:rPr>
                    <w:t>类标准</w:t>
                  </w:r>
                  <w:r>
                    <w:rPr>
                      <w:rFonts w:hint="eastAsia"/>
                      <w:kern w:val="0"/>
                      <w:szCs w:val="21"/>
                      <w:highlight w:val="none"/>
                    </w:rPr>
                    <w:t>(</w:t>
                  </w:r>
                  <w:r>
                    <w:rPr>
                      <w:kern w:val="0"/>
                      <w:szCs w:val="21"/>
                      <w:highlight w:val="none"/>
                    </w:rPr>
                    <w:t>GB12348-2008</w:t>
                  </w:r>
                  <w:r>
                    <w:rPr>
                      <w:rFonts w:hint="eastAsia"/>
                      <w:kern w:val="0"/>
                      <w:szCs w:val="21"/>
                      <w:highlight w:val="none"/>
                    </w:rPr>
                    <w:t>)</w:t>
                  </w:r>
                </w:p>
              </w:tc>
              <w:tc>
                <w:tcPr>
                  <w:tcW w:w="1670" w:type="dxa"/>
                  <w:noWrap w:val="0"/>
                  <w:vAlign w:val="center"/>
                </w:tcPr>
                <w:p>
                  <w:pPr>
                    <w:adjustRightInd w:val="0"/>
                    <w:jc w:val="center"/>
                    <w:rPr>
                      <w:rFonts w:hint="eastAsia" w:eastAsia="宋体"/>
                      <w:kern w:val="24"/>
                      <w:szCs w:val="21"/>
                      <w:highlight w:val="none"/>
                      <w:lang w:val="en-US" w:eastAsia="zh-CN"/>
                    </w:rPr>
                  </w:pPr>
                  <w:r>
                    <w:rPr>
                      <w:rFonts w:hint="eastAsia"/>
                      <w:szCs w:val="21"/>
                      <w:highlight w:val="none"/>
                    </w:rPr>
                    <w:t>70</w:t>
                  </w:r>
                </w:p>
              </w:tc>
              <w:tc>
                <w:tcPr>
                  <w:tcW w:w="1562" w:type="dxa"/>
                  <w:tcBorders>
                    <w:right w:val="single" w:color="auto" w:sz="4" w:space="0"/>
                  </w:tcBorders>
                  <w:noWrap w:val="0"/>
                  <w:vAlign w:val="center"/>
                </w:tcPr>
                <w:p>
                  <w:pPr>
                    <w:adjustRightInd w:val="0"/>
                    <w:jc w:val="center"/>
                    <w:rPr>
                      <w:rFonts w:hint="eastAsia" w:eastAsia="宋体"/>
                      <w:kern w:val="24"/>
                      <w:szCs w:val="21"/>
                      <w:highlight w:val="none"/>
                      <w:lang w:val="en-US" w:eastAsia="zh-CN"/>
                    </w:rPr>
                  </w:pPr>
                  <w:r>
                    <w:rPr>
                      <w:rFonts w:hint="eastAsia"/>
                      <w:szCs w:val="21"/>
                      <w:highlight w:val="none"/>
                    </w:rPr>
                    <w:t>55</w:t>
                  </w:r>
                </w:p>
              </w:tc>
            </w:tr>
          </w:tbl>
          <w:p>
            <w:pPr>
              <w:pStyle w:val="6"/>
              <w:snapToGrid w:val="0"/>
              <w:spacing w:line="480" w:lineRule="exact"/>
              <w:ind w:firstLine="480" w:firstLineChars="200"/>
              <w:rPr>
                <w:sz w:val="24"/>
                <w:highlight w:val="none"/>
              </w:rPr>
            </w:pPr>
            <w:r>
              <w:rPr>
                <w:rFonts w:hint="eastAsia"/>
                <w:sz w:val="24"/>
                <w:highlight w:val="none"/>
              </w:rPr>
              <w:t>5</w:t>
            </w:r>
            <w:r>
              <w:rPr>
                <w:sz w:val="24"/>
                <w:highlight w:val="none"/>
              </w:rPr>
              <w:t>、危险废物执行《危险废物贮存污染控制标准》（GB18597-2001）及修改单相关规定。</w:t>
            </w:r>
          </w:p>
          <w:p>
            <w:pPr>
              <w:spacing w:line="500" w:lineRule="exact"/>
              <w:rPr>
                <w:rFonts w:hint="eastAsia"/>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jc w:val="center"/>
        </w:trPr>
        <w:tc>
          <w:tcPr>
            <w:tcW w:w="685" w:type="dxa"/>
            <w:noWrap w:val="0"/>
            <w:vAlign w:val="center"/>
          </w:tcPr>
          <w:p>
            <w:pPr>
              <w:pStyle w:val="46"/>
              <w:snapToGrid w:val="0"/>
              <w:spacing w:line="240" w:lineRule="auto"/>
              <w:jc w:val="center"/>
              <w:rPr>
                <w:b/>
                <w:spacing w:val="0"/>
                <w:sz w:val="24"/>
                <w:szCs w:val="24"/>
                <w:highlight w:val="none"/>
              </w:rPr>
            </w:pPr>
            <w:r>
              <w:rPr>
                <w:b/>
                <w:spacing w:val="0"/>
                <w:sz w:val="24"/>
                <w:szCs w:val="24"/>
                <w:highlight w:val="none"/>
              </w:rPr>
              <w:t>总</w:t>
            </w:r>
          </w:p>
          <w:p>
            <w:pPr>
              <w:pStyle w:val="46"/>
              <w:snapToGrid w:val="0"/>
              <w:spacing w:line="240" w:lineRule="auto"/>
              <w:jc w:val="center"/>
              <w:rPr>
                <w:b/>
                <w:spacing w:val="0"/>
                <w:sz w:val="24"/>
                <w:szCs w:val="24"/>
                <w:highlight w:val="none"/>
              </w:rPr>
            </w:pPr>
            <w:r>
              <w:rPr>
                <w:b/>
                <w:spacing w:val="0"/>
                <w:sz w:val="24"/>
                <w:szCs w:val="24"/>
                <w:highlight w:val="none"/>
              </w:rPr>
              <w:t>量</w:t>
            </w:r>
          </w:p>
          <w:p>
            <w:pPr>
              <w:pStyle w:val="46"/>
              <w:snapToGrid w:val="0"/>
              <w:spacing w:line="240" w:lineRule="auto"/>
              <w:jc w:val="center"/>
              <w:rPr>
                <w:b/>
                <w:spacing w:val="0"/>
                <w:sz w:val="24"/>
                <w:szCs w:val="24"/>
                <w:highlight w:val="none"/>
              </w:rPr>
            </w:pPr>
            <w:r>
              <w:rPr>
                <w:b/>
                <w:spacing w:val="0"/>
                <w:sz w:val="24"/>
                <w:szCs w:val="24"/>
                <w:highlight w:val="none"/>
              </w:rPr>
              <w:t>控</w:t>
            </w:r>
          </w:p>
          <w:p>
            <w:pPr>
              <w:pStyle w:val="46"/>
              <w:snapToGrid w:val="0"/>
              <w:spacing w:line="240" w:lineRule="auto"/>
              <w:jc w:val="center"/>
              <w:rPr>
                <w:b/>
                <w:spacing w:val="0"/>
                <w:sz w:val="24"/>
                <w:szCs w:val="24"/>
                <w:highlight w:val="none"/>
              </w:rPr>
            </w:pPr>
            <w:r>
              <w:rPr>
                <w:b/>
                <w:spacing w:val="0"/>
                <w:sz w:val="24"/>
                <w:szCs w:val="24"/>
                <w:highlight w:val="none"/>
              </w:rPr>
              <w:t>制</w:t>
            </w:r>
          </w:p>
          <w:p>
            <w:pPr>
              <w:pStyle w:val="46"/>
              <w:snapToGrid w:val="0"/>
              <w:spacing w:line="240" w:lineRule="auto"/>
              <w:jc w:val="center"/>
              <w:rPr>
                <w:b/>
                <w:spacing w:val="0"/>
                <w:sz w:val="24"/>
                <w:szCs w:val="24"/>
                <w:highlight w:val="none"/>
              </w:rPr>
            </w:pPr>
            <w:r>
              <w:rPr>
                <w:b/>
                <w:spacing w:val="0"/>
                <w:sz w:val="24"/>
                <w:szCs w:val="24"/>
                <w:highlight w:val="none"/>
              </w:rPr>
              <w:t>指</w:t>
            </w:r>
          </w:p>
          <w:p>
            <w:pPr>
              <w:pStyle w:val="46"/>
              <w:snapToGrid w:val="0"/>
              <w:spacing w:line="240" w:lineRule="auto"/>
              <w:jc w:val="center"/>
              <w:rPr>
                <w:b/>
                <w:spacing w:val="0"/>
                <w:sz w:val="28"/>
                <w:highlight w:val="none"/>
              </w:rPr>
            </w:pPr>
            <w:r>
              <w:rPr>
                <w:b/>
                <w:spacing w:val="0"/>
                <w:sz w:val="24"/>
                <w:szCs w:val="24"/>
                <w:highlight w:val="none"/>
              </w:rPr>
              <w:t>标</w:t>
            </w:r>
          </w:p>
        </w:tc>
        <w:tc>
          <w:tcPr>
            <w:tcW w:w="7857" w:type="dxa"/>
            <w:noWrap w:val="0"/>
            <w:vAlign w:val="center"/>
          </w:tcPr>
          <w:p>
            <w:pPr>
              <w:spacing w:line="360" w:lineRule="auto"/>
              <w:ind w:firstLine="480" w:firstLineChars="200"/>
              <w:rPr>
                <w:rFonts w:hint="eastAsia" w:hAnsi="宋体"/>
                <w:sz w:val="24"/>
                <w:szCs w:val="24"/>
                <w:highlight w:val="none"/>
              </w:rPr>
            </w:pPr>
            <w:r>
              <w:rPr>
                <w:rFonts w:hint="eastAsia"/>
                <w:sz w:val="24"/>
                <w:highlight w:val="none"/>
              </w:rPr>
              <w:t>根据《国家</w:t>
            </w:r>
            <w:r>
              <w:rPr>
                <w:sz w:val="24"/>
                <w:highlight w:val="none"/>
              </w:rPr>
              <w:t>“</w:t>
            </w:r>
            <w:r>
              <w:rPr>
                <w:rFonts w:hint="eastAsia"/>
                <w:sz w:val="24"/>
                <w:highlight w:val="none"/>
              </w:rPr>
              <w:t>十三五</w:t>
            </w:r>
            <w:r>
              <w:rPr>
                <w:sz w:val="24"/>
                <w:highlight w:val="none"/>
              </w:rPr>
              <w:t>”</w:t>
            </w:r>
            <w:r>
              <w:rPr>
                <w:rFonts w:hint="eastAsia"/>
                <w:sz w:val="24"/>
                <w:highlight w:val="none"/>
              </w:rPr>
              <w:t>主要污染物总量控制规划》，总量控制因子包括化学需氧量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sz w:val="24"/>
                <w:highlight w:val="none"/>
              </w:rPr>
              <w:t>)</w:t>
            </w:r>
            <w:r>
              <w:rPr>
                <w:rFonts w:hint="eastAsia"/>
                <w:sz w:val="24"/>
                <w:highlight w:val="none"/>
              </w:rPr>
              <w:t>、氮氧化物</w:t>
            </w:r>
            <w:r>
              <w:rPr>
                <w:sz w:val="24"/>
                <w:highlight w:val="none"/>
              </w:rPr>
              <w:t>(NO</w:t>
            </w:r>
            <w:r>
              <w:rPr>
                <w:sz w:val="24"/>
                <w:highlight w:val="none"/>
                <w:vertAlign w:val="subscript"/>
              </w:rPr>
              <w:t>X</w:t>
            </w:r>
            <w:r>
              <w:rPr>
                <w:sz w:val="24"/>
                <w:highlight w:val="none"/>
              </w:rPr>
              <w:t>)</w:t>
            </w:r>
            <w:r>
              <w:rPr>
                <w:rFonts w:hint="eastAsia"/>
                <w:sz w:val="24"/>
                <w:highlight w:val="none"/>
              </w:rPr>
              <w:t>和</w:t>
            </w:r>
            <w:r>
              <w:rPr>
                <w:sz w:val="24"/>
                <w:highlight w:val="none"/>
              </w:rPr>
              <w:t>VOCs</w:t>
            </w:r>
            <w:r>
              <w:rPr>
                <w:rFonts w:hint="eastAsia"/>
                <w:sz w:val="24"/>
                <w:highlight w:val="none"/>
              </w:rPr>
              <w:t>。</w:t>
            </w:r>
            <w:r>
              <w:rPr>
                <w:rFonts w:hint="eastAsia"/>
                <w:sz w:val="24"/>
                <w:szCs w:val="22"/>
                <w:highlight w:val="none"/>
              </w:rPr>
              <w:t>迁安市健康体检管理中心新建项目废水经过</w:t>
            </w:r>
            <w:r>
              <w:rPr>
                <w:rFonts w:hint="eastAsia"/>
                <w:sz w:val="24"/>
                <w:szCs w:val="22"/>
                <w:highlight w:val="none"/>
                <w:lang w:eastAsia="zh-CN"/>
              </w:rPr>
              <w:t>迁安市人民医院</w:t>
            </w:r>
            <w:r>
              <w:rPr>
                <w:rFonts w:hint="eastAsia"/>
                <w:sz w:val="24"/>
                <w:szCs w:val="22"/>
                <w:highlight w:val="none"/>
              </w:rPr>
              <w:t>污水处理站处理后排入市政污水管网</w:t>
            </w:r>
            <w:r>
              <w:rPr>
                <w:rFonts w:hint="eastAsia"/>
                <w:sz w:val="24"/>
                <w:szCs w:val="22"/>
                <w:highlight w:val="none"/>
                <w:lang w:eastAsia="zh-CN"/>
              </w:rPr>
              <w:t>，与人民医院共用一个排污口</w:t>
            </w:r>
            <w:r>
              <w:rPr>
                <w:rFonts w:hint="eastAsia"/>
                <w:sz w:val="24"/>
                <w:szCs w:val="22"/>
                <w:highlight w:val="none"/>
              </w:rPr>
              <w:t>。本</w:t>
            </w:r>
            <w:r>
              <w:rPr>
                <w:rFonts w:hint="eastAsia" w:hAnsi="宋体"/>
                <w:sz w:val="24"/>
                <w:szCs w:val="24"/>
                <w:highlight w:val="none"/>
              </w:rPr>
              <w:t>项目排水量为</w:t>
            </w:r>
            <w:r>
              <w:rPr>
                <w:rFonts w:hint="eastAsia"/>
                <w:sz w:val="24"/>
                <w:szCs w:val="24"/>
                <w:highlight w:val="none"/>
              </w:rPr>
              <w:t>4620</w:t>
            </w:r>
            <w:r>
              <w:rPr>
                <w:rFonts w:hAnsi="宋体"/>
                <w:sz w:val="24"/>
                <w:szCs w:val="24"/>
                <w:highlight w:val="none"/>
              </w:rPr>
              <w:t>m</w:t>
            </w:r>
            <w:r>
              <w:rPr>
                <w:rFonts w:hAnsi="宋体"/>
                <w:sz w:val="24"/>
                <w:szCs w:val="24"/>
                <w:highlight w:val="none"/>
                <w:vertAlign w:val="superscript"/>
              </w:rPr>
              <w:t>3</w:t>
            </w:r>
            <w:r>
              <w:rPr>
                <w:rFonts w:hAnsi="宋体"/>
                <w:sz w:val="24"/>
                <w:szCs w:val="24"/>
                <w:highlight w:val="none"/>
              </w:rPr>
              <w:t>/a</w:t>
            </w:r>
            <w:r>
              <w:rPr>
                <w:rFonts w:hint="eastAsia" w:hAnsi="宋体"/>
                <w:sz w:val="24"/>
                <w:szCs w:val="24"/>
                <w:highlight w:val="none"/>
              </w:rPr>
              <w:t>，污染物排放浓度为</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205</w:t>
            </w:r>
            <w:r>
              <w:rPr>
                <w:rFonts w:hAnsi="宋体"/>
                <w:sz w:val="24"/>
                <w:szCs w:val="24"/>
                <w:highlight w:val="none"/>
              </w:rPr>
              <w:t>mg/L</w:t>
            </w:r>
            <w:r>
              <w:rPr>
                <w:rFonts w:hint="eastAsia" w:hAnsi="宋体"/>
                <w:sz w:val="24"/>
                <w:szCs w:val="24"/>
                <w:highlight w:val="none"/>
              </w:rPr>
              <w:t>，氨氮：</w:t>
            </w:r>
            <w:r>
              <w:rPr>
                <w:rFonts w:hint="eastAsia" w:hAnsi="宋体"/>
                <w:sz w:val="24"/>
                <w:szCs w:val="24"/>
                <w:highlight w:val="none"/>
                <w:lang w:val="en-US" w:eastAsia="zh-CN"/>
              </w:rPr>
              <w:t>22.5</w:t>
            </w:r>
            <w:r>
              <w:rPr>
                <w:rFonts w:hAnsi="宋体"/>
                <w:sz w:val="24"/>
                <w:szCs w:val="24"/>
                <w:highlight w:val="none"/>
              </w:rPr>
              <w:t>mg/L</w:t>
            </w:r>
            <w:r>
              <w:rPr>
                <w:rFonts w:hint="eastAsia" w:hAnsi="宋体"/>
                <w:sz w:val="24"/>
                <w:szCs w:val="24"/>
                <w:highlight w:val="none"/>
              </w:rPr>
              <w:t>；TN：35mg/L，则：</w:t>
            </w:r>
          </w:p>
          <w:p>
            <w:pPr>
              <w:spacing w:line="480" w:lineRule="exact"/>
              <w:ind w:firstLine="480" w:firstLineChars="200"/>
              <w:rPr>
                <w:sz w:val="24"/>
                <w:highlight w:val="none"/>
              </w:rPr>
            </w:pPr>
            <w:r>
              <w:rPr>
                <w:sz w:val="24"/>
                <w:highlight w:val="none"/>
              </w:rPr>
              <w:t>COD</w:t>
            </w:r>
            <w:r>
              <w:rPr>
                <w:rFonts w:hint="eastAsia"/>
                <w:sz w:val="24"/>
                <w:highlight w:val="none"/>
              </w:rPr>
              <w:t>：</w:t>
            </w:r>
            <w:r>
              <w:rPr>
                <w:sz w:val="24"/>
                <w:highlight w:val="none"/>
              </w:rPr>
              <w:t>20</w:t>
            </w:r>
            <w:r>
              <w:rPr>
                <w:rFonts w:hint="eastAsia"/>
                <w:sz w:val="24"/>
                <w:highlight w:val="none"/>
                <w:lang w:val="en-US" w:eastAsia="zh-CN"/>
              </w:rPr>
              <w:t>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w:t>
            </w:r>
            <w:r>
              <w:rPr>
                <w:rFonts w:hint="eastAsia"/>
                <w:sz w:val="24"/>
                <w:highlight w:val="none"/>
                <w:lang w:val="en-US" w:eastAsia="zh-CN"/>
              </w:rPr>
              <w:t>0.947t</w:t>
            </w:r>
            <w:r>
              <w:rPr>
                <w:sz w:val="24"/>
                <w:highlight w:val="none"/>
              </w:rPr>
              <w:t>/a</w:t>
            </w:r>
            <w:r>
              <w:rPr>
                <w:rFonts w:hint="eastAsia"/>
                <w:sz w:val="24"/>
                <w:highlight w:val="none"/>
              </w:rPr>
              <w:t>；</w:t>
            </w:r>
          </w:p>
          <w:p>
            <w:pPr>
              <w:spacing w:line="480" w:lineRule="exact"/>
              <w:ind w:firstLine="480" w:firstLineChars="200"/>
              <w:rPr>
                <w:sz w:val="24"/>
                <w:highlight w:val="none"/>
              </w:rPr>
            </w:pP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sz w:val="24"/>
                <w:highlight w:val="none"/>
              </w:rPr>
              <w:t>：</w:t>
            </w:r>
            <w:r>
              <w:rPr>
                <w:rFonts w:hint="eastAsia"/>
                <w:sz w:val="24"/>
                <w:highlight w:val="none"/>
                <w:lang w:val="en-US" w:eastAsia="zh-CN"/>
              </w:rPr>
              <w:t>22.5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04</w:t>
            </w:r>
            <w:r>
              <w:rPr>
                <w:sz w:val="24"/>
                <w:highlight w:val="none"/>
              </w:rPr>
              <w:t>t/a</w:t>
            </w:r>
            <w:r>
              <w:rPr>
                <w:rFonts w:hint="eastAsia"/>
                <w:sz w:val="24"/>
                <w:highlight w:val="none"/>
              </w:rPr>
              <w:t>；</w:t>
            </w:r>
          </w:p>
          <w:p>
            <w:pPr>
              <w:spacing w:line="480" w:lineRule="exact"/>
              <w:ind w:firstLine="480" w:firstLineChars="200"/>
              <w:rPr>
                <w:sz w:val="24"/>
                <w:highlight w:val="none"/>
              </w:rPr>
            </w:pPr>
            <w:r>
              <w:rPr>
                <w:rFonts w:hint="eastAsia" w:hAnsi="宋体"/>
                <w:sz w:val="24"/>
                <w:szCs w:val="24"/>
                <w:highlight w:val="none"/>
              </w:rPr>
              <w:t>TN：</w:t>
            </w:r>
            <w:r>
              <w:rPr>
                <w:rFonts w:hint="eastAsia"/>
                <w:sz w:val="24"/>
                <w:highlight w:val="none"/>
                <w:lang w:val="en-US" w:eastAsia="zh-CN"/>
              </w:rPr>
              <w:t>35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62</w:t>
            </w:r>
            <w:r>
              <w:rPr>
                <w:sz w:val="24"/>
                <w:highlight w:val="none"/>
              </w:rPr>
              <w:t>t/a</w:t>
            </w:r>
            <w:r>
              <w:rPr>
                <w:rFonts w:hint="eastAsia"/>
                <w:sz w:val="24"/>
                <w:highlight w:val="none"/>
              </w:rPr>
              <w:t>；</w:t>
            </w:r>
          </w:p>
          <w:p>
            <w:pPr>
              <w:snapToGrid w:val="0"/>
              <w:spacing w:line="480" w:lineRule="exact"/>
              <w:ind w:firstLine="480" w:firstLineChars="200"/>
              <w:rPr>
                <w:sz w:val="24"/>
                <w:szCs w:val="24"/>
                <w:highlight w:val="none"/>
              </w:rPr>
            </w:pPr>
            <w:r>
              <w:rPr>
                <w:rFonts w:hint="eastAsia" w:hAnsi="宋体"/>
                <w:sz w:val="24"/>
                <w:szCs w:val="24"/>
                <w:highlight w:val="none"/>
              </w:rPr>
              <w:t>则项目污染物排放总量控制指标为：</w:t>
            </w:r>
          </w:p>
          <w:p>
            <w:pPr>
              <w:snapToGrid w:val="0"/>
              <w:spacing w:line="480" w:lineRule="exact"/>
              <w:ind w:firstLine="480" w:firstLineChars="200"/>
              <w:rPr>
                <w:rFonts w:hAnsi="宋体"/>
                <w:sz w:val="24"/>
                <w:highlight w:val="none"/>
              </w:rPr>
            </w:pPr>
            <w:r>
              <w:rPr>
                <w:rFonts w:hint="eastAsia" w:hAnsi="宋体"/>
                <w:sz w:val="24"/>
                <w:highlight w:val="none"/>
              </w:rPr>
              <w:t>废气：</w:t>
            </w:r>
            <w:r>
              <w:rPr>
                <w:rFonts w:hAnsi="宋体"/>
                <w:sz w:val="24"/>
                <w:szCs w:val="24"/>
                <w:highlight w:val="none"/>
              </w:rPr>
              <w:t>SO</w:t>
            </w:r>
            <w:r>
              <w:rPr>
                <w:rFonts w:hAnsi="宋体"/>
                <w:sz w:val="24"/>
                <w:szCs w:val="24"/>
                <w:highlight w:val="none"/>
                <w:vertAlign w:val="subscript"/>
              </w:rPr>
              <w:t>2</w:t>
            </w:r>
            <w:r>
              <w:rPr>
                <w:rFonts w:hint="eastAsia" w:hAnsi="宋体"/>
                <w:sz w:val="24"/>
                <w:szCs w:val="24"/>
                <w:highlight w:val="none"/>
              </w:rPr>
              <w:t>：</w:t>
            </w:r>
            <w:r>
              <w:rPr>
                <w:rFonts w:hAnsi="宋体"/>
                <w:sz w:val="24"/>
                <w:szCs w:val="24"/>
                <w:highlight w:val="none"/>
              </w:rPr>
              <w:t>0t/a</w:t>
            </w:r>
            <w:r>
              <w:rPr>
                <w:rFonts w:hint="eastAsia" w:hAnsi="宋体"/>
                <w:sz w:val="24"/>
                <w:szCs w:val="24"/>
                <w:highlight w:val="none"/>
              </w:rPr>
              <w:t>；</w:t>
            </w:r>
            <w:r>
              <w:rPr>
                <w:rFonts w:hAnsi="宋体"/>
                <w:sz w:val="24"/>
                <w:szCs w:val="24"/>
                <w:highlight w:val="none"/>
              </w:rPr>
              <w:t>NO</w:t>
            </w:r>
            <w:r>
              <w:rPr>
                <w:rFonts w:hAnsi="宋体"/>
                <w:sz w:val="24"/>
                <w:szCs w:val="24"/>
                <w:highlight w:val="none"/>
                <w:vertAlign w:val="subscript"/>
              </w:rPr>
              <w:t>x</w:t>
            </w:r>
            <w:r>
              <w:rPr>
                <w:rFonts w:hint="eastAsia" w:hAnsi="宋体"/>
                <w:sz w:val="24"/>
                <w:szCs w:val="24"/>
                <w:highlight w:val="none"/>
              </w:rPr>
              <w:t>：</w:t>
            </w:r>
            <w:r>
              <w:rPr>
                <w:rFonts w:hAnsi="宋体"/>
                <w:sz w:val="24"/>
                <w:szCs w:val="24"/>
                <w:highlight w:val="none"/>
              </w:rPr>
              <w:t>0t/a</w:t>
            </w:r>
          </w:p>
          <w:p>
            <w:pPr>
              <w:snapToGrid w:val="0"/>
              <w:spacing w:line="480" w:lineRule="exact"/>
              <w:ind w:firstLine="480" w:firstLineChars="200"/>
              <w:rPr>
                <w:rFonts w:hAnsi="宋体"/>
                <w:sz w:val="24"/>
                <w:szCs w:val="24"/>
                <w:highlight w:val="none"/>
              </w:rPr>
            </w:pPr>
            <w:r>
              <w:rPr>
                <w:rFonts w:hint="eastAsia" w:hAnsi="宋体"/>
                <w:sz w:val="24"/>
                <w:highlight w:val="none"/>
              </w:rPr>
              <w:t>废水：</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0.947</w:t>
            </w:r>
            <w:r>
              <w:rPr>
                <w:rFonts w:hAnsi="宋体"/>
                <w:sz w:val="24"/>
                <w:szCs w:val="24"/>
                <w:highlight w:val="none"/>
              </w:rPr>
              <w:t>t/a</w:t>
            </w:r>
            <w:r>
              <w:rPr>
                <w:rFonts w:hint="eastAsia" w:hAnsi="宋体"/>
                <w:sz w:val="24"/>
                <w:szCs w:val="24"/>
                <w:highlight w:val="none"/>
              </w:rPr>
              <w:t>；</w:t>
            </w: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hAnsi="宋体"/>
                <w:sz w:val="24"/>
                <w:szCs w:val="24"/>
                <w:highlight w:val="none"/>
              </w:rPr>
              <w:t>：</w:t>
            </w:r>
            <w:r>
              <w:rPr>
                <w:sz w:val="24"/>
                <w:highlight w:val="none"/>
              </w:rPr>
              <w:t>0.</w:t>
            </w:r>
            <w:r>
              <w:rPr>
                <w:rFonts w:hint="eastAsia"/>
                <w:sz w:val="24"/>
                <w:highlight w:val="none"/>
              </w:rPr>
              <w:t>1</w:t>
            </w:r>
            <w:r>
              <w:rPr>
                <w:rFonts w:hint="eastAsia"/>
                <w:sz w:val="24"/>
                <w:highlight w:val="none"/>
                <w:lang w:val="en-US" w:eastAsia="zh-CN"/>
              </w:rPr>
              <w:t>04</w:t>
            </w:r>
            <w:r>
              <w:rPr>
                <w:rFonts w:hAnsi="宋体"/>
                <w:sz w:val="24"/>
                <w:szCs w:val="24"/>
                <w:highlight w:val="none"/>
              </w:rPr>
              <w:t>t/a</w:t>
            </w:r>
            <w:r>
              <w:rPr>
                <w:rFonts w:hint="eastAsia" w:hAnsi="宋体"/>
                <w:sz w:val="24"/>
                <w:szCs w:val="24"/>
                <w:highlight w:val="none"/>
              </w:rPr>
              <w:t>；TN：</w:t>
            </w:r>
            <w:r>
              <w:rPr>
                <w:sz w:val="24"/>
                <w:highlight w:val="none"/>
              </w:rPr>
              <w:t>0.</w:t>
            </w:r>
            <w:r>
              <w:rPr>
                <w:rFonts w:hint="eastAsia"/>
                <w:sz w:val="24"/>
                <w:highlight w:val="none"/>
              </w:rPr>
              <w:t>1</w:t>
            </w:r>
            <w:r>
              <w:rPr>
                <w:rFonts w:hint="eastAsia"/>
                <w:sz w:val="24"/>
                <w:highlight w:val="none"/>
                <w:lang w:val="en-US" w:eastAsia="zh-CN"/>
              </w:rPr>
              <w:t>62</w:t>
            </w:r>
            <w:r>
              <w:rPr>
                <w:rFonts w:hint="eastAsia" w:hAnsi="宋体"/>
                <w:sz w:val="24"/>
                <w:szCs w:val="24"/>
                <w:highlight w:val="none"/>
              </w:rPr>
              <w:t>t/a。</w:t>
            </w:r>
          </w:p>
          <w:p>
            <w:pPr>
              <w:spacing w:line="360" w:lineRule="auto"/>
              <w:ind w:firstLine="480" w:firstLineChars="200"/>
              <w:rPr>
                <w:sz w:val="24"/>
                <w:highlight w:val="none"/>
              </w:rPr>
            </w:pPr>
            <w:r>
              <w:rPr>
                <w:rFonts w:hint="eastAsia"/>
                <w:sz w:val="24"/>
                <w:highlight w:val="none"/>
              </w:rPr>
              <w:t>按照《国家</w:t>
            </w:r>
            <w:r>
              <w:rPr>
                <w:sz w:val="24"/>
                <w:highlight w:val="none"/>
              </w:rPr>
              <w:t>“</w:t>
            </w:r>
            <w:r>
              <w:rPr>
                <w:rFonts w:hint="eastAsia"/>
                <w:sz w:val="24"/>
                <w:highlight w:val="none"/>
              </w:rPr>
              <w:t>十二五</w:t>
            </w:r>
            <w:r>
              <w:rPr>
                <w:sz w:val="24"/>
                <w:highlight w:val="none"/>
              </w:rPr>
              <w:t>”</w:t>
            </w:r>
            <w:r>
              <w:rPr>
                <w:rFonts w:hint="eastAsia"/>
                <w:sz w:val="24"/>
                <w:highlight w:val="none"/>
              </w:rPr>
              <w:t>主要污染物总量控制规划》，污染物排放总量控制因子为化学需氧量（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rFonts w:hint="eastAsia"/>
                <w:sz w:val="24"/>
                <w:highlight w:val="none"/>
              </w:rPr>
              <w:t>）和氮氧化物（</w:t>
            </w:r>
            <w:r>
              <w:rPr>
                <w:sz w:val="24"/>
                <w:highlight w:val="none"/>
              </w:rPr>
              <w:t>NO</w:t>
            </w:r>
            <w:r>
              <w:rPr>
                <w:sz w:val="24"/>
                <w:highlight w:val="none"/>
                <w:vertAlign w:val="subscript"/>
              </w:rPr>
              <w:t>X</w:t>
            </w:r>
            <w:r>
              <w:rPr>
                <w:rFonts w:hint="eastAsia"/>
                <w:sz w:val="24"/>
                <w:highlight w:val="none"/>
              </w:rPr>
              <w:t>）。另根据国家《</w:t>
            </w:r>
            <w:r>
              <w:rPr>
                <w:sz w:val="24"/>
                <w:highlight w:val="none"/>
              </w:rPr>
              <w:t>“</w:t>
            </w:r>
            <w:r>
              <w:rPr>
                <w:rFonts w:hint="eastAsia"/>
                <w:sz w:val="24"/>
                <w:highlight w:val="none"/>
              </w:rPr>
              <w:t>十三五</w:t>
            </w:r>
            <w:r>
              <w:rPr>
                <w:sz w:val="24"/>
                <w:highlight w:val="none"/>
              </w:rPr>
              <w:t>”</w:t>
            </w:r>
            <w:r>
              <w:rPr>
                <w:rFonts w:hint="eastAsia"/>
                <w:sz w:val="24"/>
                <w:highlight w:val="none"/>
              </w:rPr>
              <w:t>生态环境保护规划》，河北省唐山市区域应增加</w:t>
            </w:r>
            <w:r>
              <w:rPr>
                <w:sz w:val="24"/>
                <w:highlight w:val="none"/>
              </w:rPr>
              <w:t>TN</w:t>
            </w:r>
            <w:r>
              <w:rPr>
                <w:rFonts w:hint="eastAsia"/>
                <w:sz w:val="24"/>
                <w:highlight w:val="none"/>
              </w:rPr>
              <w:t>、颗粒物的总量控制。</w:t>
            </w:r>
          </w:p>
          <w:p>
            <w:pPr>
              <w:spacing w:line="480" w:lineRule="exact"/>
              <w:ind w:firstLine="480" w:firstLineChars="200"/>
              <w:rPr>
                <w:rFonts w:hint="eastAsia"/>
                <w:sz w:val="24"/>
                <w:szCs w:val="24"/>
                <w:highlight w:val="none"/>
              </w:rPr>
            </w:pPr>
            <w:r>
              <w:rPr>
                <w:rFonts w:hint="eastAsia"/>
                <w:color w:val="000000"/>
                <w:sz w:val="24"/>
                <w:highlight w:val="none"/>
              </w:rPr>
              <w:t>根据环境保护部《关于印发</w:t>
            </w:r>
            <w:r>
              <w:rPr>
                <w:color w:val="000000"/>
                <w:sz w:val="24"/>
                <w:highlight w:val="none"/>
              </w:rPr>
              <w:t>&lt;</w:t>
            </w:r>
            <w:r>
              <w:rPr>
                <w:rFonts w:hint="eastAsia"/>
                <w:color w:val="000000"/>
                <w:sz w:val="24"/>
                <w:highlight w:val="none"/>
              </w:rPr>
              <w:t>建设项目主要污染物排放总量指标审核及管理暂行办法</w:t>
            </w:r>
            <w:r>
              <w:rPr>
                <w:color w:val="000000"/>
                <w:sz w:val="24"/>
                <w:highlight w:val="none"/>
              </w:rPr>
              <w:t>&gt;</w:t>
            </w:r>
            <w:r>
              <w:rPr>
                <w:rFonts w:hint="eastAsia"/>
                <w:color w:val="000000"/>
                <w:sz w:val="24"/>
                <w:highlight w:val="none"/>
              </w:rPr>
              <w:t>的通知》（环发</w:t>
            </w:r>
            <w:r>
              <w:rPr>
                <w:color w:val="000000"/>
                <w:sz w:val="24"/>
                <w:highlight w:val="none"/>
              </w:rPr>
              <w:t>[2014]197</w:t>
            </w:r>
            <w:r>
              <w:rPr>
                <w:rFonts w:hint="eastAsia"/>
                <w:color w:val="000000"/>
                <w:sz w:val="24"/>
                <w:highlight w:val="none"/>
              </w:rPr>
              <w:t>号），总量控制指标按国家或地方污染物排放标准核定，项目污水排入</w:t>
            </w:r>
            <w:r>
              <w:rPr>
                <w:rFonts w:hint="eastAsia"/>
                <w:color w:val="000000"/>
                <w:kern w:val="0"/>
                <w:sz w:val="24"/>
                <w:highlight w:val="none"/>
                <w:lang w:bidi="ar"/>
              </w:rPr>
              <w:t>迁安市污水处理厂</w:t>
            </w:r>
            <w:r>
              <w:rPr>
                <w:rFonts w:hint="eastAsia"/>
                <w:color w:val="000000"/>
                <w:sz w:val="24"/>
                <w:highlight w:val="none"/>
              </w:rPr>
              <w:t>，按污水处理厂排水标准核算项目总量，项目</w:t>
            </w:r>
            <w:r>
              <w:rPr>
                <w:rFonts w:hint="eastAsia" w:hAnsi="宋体"/>
                <w:color w:val="000000"/>
                <w:sz w:val="24"/>
                <w:szCs w:val="24"/>
                <w:highlight w:val="none"/>
              </w:rPr>
              <w:t>污水排放总量为4620m</w:t>
            </w:r>
            <w:r>
              <w:rPr>
                <w:rFonts w:hint="eastAsia" w:hAnsi="宋体"/>
                <w:color w:val="000000"/>
                <w:sz w:val="24"/>
                <w:szCs w:val="24"/>
                <w:highlight w:val="none"/>
                <w:vertAlign w:val="superscript"/>
              </w:rPr>
              <w:t>3</w:t>
            </w:r>
            <w:r>
              <w:rPr>
                <w:rFonts w:hint="eastAsia" w:hAnsi="宋体"/>
                <w:color w:val="000000"/>
                <w:sz w:val="24"/>
                <w:szCs w:val="24"/>
                <w:highlight w:val="none"/>
              </w:rPr>
              <w:t>/a，</w:t>
            </w:r>
            <w:r>
              <w:rPr>
                <w:rFonts w:hint="eastAsia"/>
                <w:color w:val="000000"/>
                <w:sz w:val="24"/>
                <w:highlight w:val="none"/>
              </w:rPr>
              <w:t>排水标准为：</w:t>
            </w:r>
            <w:r>
              <w:rPr>
                <w:color w:val="000000"/>
                <w:sz w:val="24"/>
                <w:highlight w:val="none"/>
              </w:rPr>
              <w:t>COD</w:t>
            </w:r>
            <w:r>
              <w:rPr>
                <w:rFonts w:hint="eastAsia"/>
                <w:color w:val="000000"/>
                <w:sz w:val="24"/>
                <w:highlight w:val="none"/>
              </w:rPr>
              <w:t>：</w:t>
            </w:r>
            <w:r>
              <w:rPr>
                <w:color w:val="000000"/>
                <w:sz w:val="24"/>
                <w:highlight w:val="none"/>
              </w:rPr>
              <w:t>50mg/L</w:t>
            </w:r>
            <w:r>
              <w:rPr>
                <w:rFonts w:hint="eastAsia"/>
                <w:color w:val="000000"/>
                <w:sz w:val="24"/>
                <w:highlight w:val="none"/>
              </w:rPr>
              <w:t>、总氮：</w:t>
            </w:r>
            <w:r>
              <w:rPr>
                <w:color w:val="000000"/>
                <w:sz w:val="24"/>
                <w:highlight w:val="none"/>
              </w:rPr>
              <w:t>15mg/L</w:t>
            </w:r>
            <w:r>
              <w:rPr>
                <w:rFonts w:hint="eastAsia"/>
                <w:color w:val="000000"/>
                <w:sz w:val="24"/>
                <w:highlight w:val="none"/>
              </w:rPr>
              <w:t>、</w:t>
            </w:r>
            <w:r>
              <w:rPr>
                <w:sz w:val="24"/>
                <w:szCs w:val="24"/>
                <w:highlight w:val="none"/>
              </w:rPr>
              <w:t>氨氮：5（8）mg/L（括号外数值为水温＞12℃时的控制指标，括号内数值为水温≤12℃时的控制指标</w:t>
            </w:r>
            <w:r>
              <w:rPr>
                <w:rFonts w:hint="eastAsia"/>
                <w:sz w:val="24"/>
                <w:szCs w:val="24"/>
                <w:highlight w:val="none"/>
              </w:rPr>
              <w:t>，</w:t>
            </w:r>
            <w:r>
              <w:rPr>
                <w:bCs/>
                <w:sz w:val="24"/>
                <w:szCs w:val="24"/>
                <w:highlight w:val="none"/>
              </w:rPr>
              <w:t>项目所在地区水温＞12℃的时间为8个月，水温≤12℃时间为4个月）</w:t>
            </w:r>
          </w:p>
          <w:p>
            <w:pPr>
              <w:spacing w:line="360" w:lineRule="auto"/>
              <w:ind w:firstLine="480" w:firstLineChars="200"/>
              <w:rPr>
                <w:color w:val="000000"/>
                <w:sz w:val="24"/>
                <w:highlight w:val="none"/>
              </w:rPr>
            </w:pPr>
            <w:r>
              <w:rPr>
                <w:rFonts w:hint="eastAsia"/>
                <w:color w:val="000000"/>
                <w:sz w:val="24"/>
                <w:highlight w:val="none"/>
              </w:rPr>
              <w:t>该项目污染物排放总量为：</w:t>
            </w:r>
          </w:p>
          <w:p>
            <w:pPr>
              <w:spacing w:line="360" w:lineRule="auto"/>
              <w:ind w:firstLine="480" w:firstLineChars="200"/>
              <w:rPr>
                <w:color w:val="000000"/>
                <w:sz w:val="24"/>
                <w:highlight w:val="none"/>
              </w:rPr>
            </w:pPr>
            <w:r>
              <w:rPr>
                <w:color w:val="000000"/>
                <w:sz w:val="24"/>
                <w:highlight w:val="none"/>
              </w:rPr>
              <w:t>COD</w:t>
            </w:r>
            <w:r>
              <w:rPr>
                <w:rFonts w:hint="eastAsia"/>
                <w:color w:val="000000"/>
                <w:sz w:val="24"/>
                <w:highlight w:val="none"/>
              </w:rPr>
              <w:t>：</w:t>
            </w:r>
            <w:r>
              <w:rPr>
                <w:rFonts w:hint="eastAsia" w:hAnsi="宋体"/>
                <w:color w:val="000000"/>
                <w:sz w:val="24"/>
                <w:szCs w:val="24"/>
                <w:highlight w:val="none"/>
              </w:rPr>
              <w:t>4620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×50mg/L×10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0.23</w:t>
            </w:r>
            <w:r>
              <w:rPr>
                <w:rFonts w:hint="eastAsia"/>
                <w:color w:val="000000"/>
                <w:sz w:val="24"/>
                <w:highlight w:val="none"/>
                <w:lang w:val="en-US" w:eastAsia="zh-CN"/>
              </w:rPr>
              <w:t>1</w:t>
            </w:r>
            <w:r>
              <w:rPr>
                <w:color w:val="000000"/>
                <w:sz w:val="24"/>
                <w:highlight w:val="none"/>
              </w:rPr>
              <w:t>t/a</w:t>
            </w:r>
            <w:r>
              <w:rPr>
                <w:rFonts w:hint="eastAsia"/>
                <w:color w:val="000000"/>
                <w:sz w:val="24"/>
                <w:highlight w:val="none"/>
              </w:rPr>
              <w:t>；</w:t>
            </w:r>
          </w:p>
          <w:p>
            <w:pPr>
              <w:spacing w:line="360" w:lineRule="auto"/>
              <w:ind w:firstLine="480" w:firstLineChars="200"/>
              <w:rPr>
                <w:color w:val="000000"/>
                <w:sz w:val="24"/>
                <w:highlight w:val="none"/>
              </w:rPr>
            </w:pPr>
            <w:r>
              <w:rPr>
                <w:color w:val="000000"/>
                <w:sz w:val="24"/>
                <w:highlight w:val="none"/>
              </w:rPr>
              <w:t>NH</w:t>
            </w:r>
            <w:r>
              <w:rPr>
                <w:color w:val="000000"/>
                <w:sz w:val="24"/>
                <w:highlight w:val="none"/>
                <w:vertAlign w:val="subscript"/>
              </w:rPr>
              <w:t>3</w:t>
            </w:r>
            <w:r>
              <w:rPr>
                <w:color w:val="000000"/>
                <w:sz w:val="24"/>
                <w:highlight w:val="none"/>
              </w:rPr>
              <w:t>-N</w:t>
            </w:r>
            <w:r>
              <w:rPr>
                <w:rFonts w:hint="eastAsia"/>
                <w:color w:val="000000"/>
                <w:sz w:val="24"/>
                <w:highlight w:val="none"/>
              </w:rPr>
              <w:t>：（</w:t>
            </w:r>
            <w:r>
              <w:rPr>
                <w:rFonts w:hint="eastAsia" w:hAnsi="宋体"/>
                <w:color w:val="000000"/>
                <w:sz w:val="24"/>
                <w:szCs w:val="24"/>
                <w:highlight w:val="none"/>
              </w:rPr>
              <w:t>3080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×5mg/L</w:t>
            </w:r>
            <w:r>
              <w:rPr>
                <w:rFonts w:hint="eastAsia"/>
                <w:color w:val="000000"/>
                <w:sz w:val="24"/>
                <w:highlight w:val="none"/>
              </w:rPr>
              <w:t>+1540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w:t>
            </w:r>
            <w:r>
              <w:rPr>
                <w:rFonts w:hint="eastAsia"/>
                <w:color w:val="000000"/>
                <w:sz w:val="24"/>
                <w:highlight w:val="none"/>
              </w:rPr>
              <w:t>8</w:t>
            </w:r>
            <w:r>
              <w:rPr>
                <w:color w:val="000000"/>
                <w:sz w:val="24"/>
                <w:highlight w:val="none"/>
              </w:rPr>
              <w:t>mg/L</w:t>
            </w:r>
            <w:r>
              <w:rPr>
                <w:rFonts w:hint="eastAsia"/>
                <w:color w:val="000000"/>
                <w:sz w:val="24"/>
                <w:highlight w:val="none"/>
              </w:rPr>
              <w:t>）</w:t>
            </w:r>
            <w:r>
              <w:rPr>
                <w:color w:val="000000"/>
                <w:sz w:val="24"/>
                <w:highlight w:val="none"/>
              </w:rPr>
              <w:t>×10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0.0</w:t>
            </w:r>
            <w:r>
              <w:rPr>
                <w:rFonts w:hint="eastAsia"/>
                <w:color w:val="000000"/>
                <w:sz w:val="24"/>
                <w:highlight w:val="none"/>
                <w:lang w:val="en-US" w:eastAsia="zh-CN"/>
              </w:rPr>
              <w:t>28</w:t>
            </w:r>
            <w:r>
              <w:rPr>
                <w:color w:val="000000"/>
                <w:sz w:val="24"/>
                <w:highlight w:val="none"/>
              </w:rPr>
              <w:t>t/a</w:t>
            </w:r>
            <w:r>
              <w:rPr>
                <w:rFonts w:hint="eastAsia"/>
                <w:color w:val="000000"/>
                <w:sz w:val="24"/>
                <w:highlight w:val="none"/>
              </w:rPr>
              <w:t>；</w:t>
            </w:r>
          </w:p>
          <w:p>
            <w:pPr>
              <w:spacing w:line="360" w:lineRule="auto"/>
              <w:ind w:firstLine="480" w:firstLineChars="200"/>
              <w:rPr>
                <w:color w:val="000000"/>
                <w:sz w:val="24"/>
                <w:highlight w:val="none"/>
              </w:rPr>
            </w:pPr>
            <w:r>
              <w:rPr>
                <w:color w:val="000000"/>
                <w:sz w:val="24"/>
                <w:highlight w:val="none"/>
              </w:rPr>
              <w:t>TN</w:t>
            </w:r>
            <w:r>
              <w:rPr>
                <w:rFonts w:hint="eastAsia"/>
                <w:color w:val="000000"/>
                <w:sz w:val="24"/>
                <w:highlight w:val="none"/>
              </w:rPr>
              <w:t>：</w:t>
            </w:r>
            <w:r>
              <w:rPr>
                <w:rFonts w:hint="eastAsia" w:hAnsi="宋体"/>
                <w:color w:val="000000"/>
                <w:sz w:val="24"/>
                <w:szCs w:val="24"/>
                <w:highlight w:val="none"/>
              </w:rPr>
              <w:t>4620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×15mg/L×10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=0.</w:t>
            </w:r>
            <w:r>
              <w:rPr>
                <w:rFonts w:hint="eastAsia"/>
                <w:color w:val="000000"/>
                <w:sz w:val="24"/>
                <w:highlight w:val="none"/>
              </w:rPr>
              <w:t>0</w:t>
            </w:r>
            <w:r>
              <w:rPr>
                <w:rFonts w:hint="eastAsia"/>
                <w:color w:val="000000"/>
                <w:sz w:val="24"/>
                <w:highlight w:val="none"/>
                <w:lang w:val="en-US" w:eastAsia="zh-CN"/>
              </w:rPr>
              <w:t>69</w:t>
            </w:r>
            <w:r>
              <w:rPr>
                <w:color w:val="000000"/>
                <w:sz w:val="24"/>
                <w:highlight w:val="none"/>
              </w:rPr>
              <w:t>t/a</w:t>
            </w:r>
            <w:r>
              <w:rPr>
                <w:rFonts w:hint="eastAsia"/>
                <w:color w:val="000000"/>
                <w:sz w:val="24"/>
                <w:highlight w:val="none"/>
              </w:rPr>
              <w:t>。</w:t>
            </w:r>
          </w:p>
          <w:p>
            <w:pPr>
              <w:pStyle w:val="6"/>
              <w:spacing w:line="360" w:lineRule="auto"/>
              <w:rPr>
                <w:rFonts w:hint="eastAsia"/>
                <w:color w:val="000000"/>
                <w:sz w:val="24"/>
                <w:highlight w:val="none"/>
              </w:rPr>
            </w:pPr>
            <w:r>
              <w:rPr>
                <w:rFonts w:hint="eastAsia"/>
                <w:color w:val="000000"/>
                <w:sz w:val="24"/>
                <w:highlight w:val="none"/>
              </w:rPr>
              <w:t>综上所述，本次评价核定总量控制指标为：</w:t>
            </w:r>
            <w:r>
              <w:rPr>
                <w:color w:val="000000"/>
                <w:sz w:val="24"/>
                <w:highlight w:val="none"/>
              </w:rPr>
              <w:t>SO</w:t>
            </w:r>
            <w:r>
              <w:rPr>
                <w:color w:val="000000"/>
                <w:sz w:val="24"/>
                <w:highlight w:val="none"/>
                <w:vertAlign w:val="subscript"/>
              </w:rPr>
              <w:t>2</w:t>
            </w:r>
            <w:r>
              <w:rPr>
                <w:rFonts w:hint="eastAsia"/>
                <w:color w:val="000000"/>
                <w:sz w:val="24"/>
                <w:highlight w:val="none"/>
              </w:rPr>
              <w:t>：</w:t>
            </w:r>
            <w:r>
              <w:rPr>
                <w:color w:val="000000"/>
                <w:sz w:val="24"/>
                <w:highlight w:val="none"/>
              </w:rPr>
              <w:t>0t/a</w:t>
            </w:r>
            <w:r>
              <w:rPr>
                <w:rFonts w:hint="eastAsia"/>
                <w:color w:val="000000"/>
                <w:sz w:val="24"/>
                <w:highlight w:val="none"/>
              </w:rPr>
              <w:t>，</w:t>
            </w:r>
            <w:r>
              <w:rPr>
                <w:color w:val="000000"/>
                <w:sz w:val="24"/>
                <w:highlight w:val="none"/>
              </w:rPr>
              <w:t>NO</w:t>
            </w:r>
            <w:r>
              <w:rPr>
                <w:color w:val="000000"/>
                <w:sz w:val="24"/>
                <w:highlight w:val="none"/>
                <w:vertAlign w:val="subscript"/>
              </w:rPr>
              <w:t>X</w:t>
            </w:r>
            <w:r>
              <w:rPr>
                <w:rFonts w:hint="eastAsia"/>
                <w:color w:val="000000"/>
                <w:sz w:val="24"/>
                <w:highlight w:val="none"/>
              </w:rPr>
              <w:t>：</w:t>
            </w:r>
            <w:r>
              <w:rPr>
                <w:color w:val="000000"/>
                <w:sz w:val="24"/>
                <w:highlight w:val="none"/>
              </w:rPr>
              <w:t>0t/a</w:t>
            </w:r>
            <w:r>
              <w:rPr>
                <w:rFonts w:hint="eastAsia"/>
                <w:color w:val="000000"/>
                <w:sz w:val="24"/>
                <w:highlight w:val="none"/>
              </w:rPr>
              <w:t>，</w:t>
            </w:r>
            <w:r>
              <w:rPr>
                <w:color w:val="000000"/>
                <w:sz w:val="24"/>
                <w:highlight w:val="none"/>
              </w:rPr>
              <w:t>COD</w:t>
            </w:r>
            <w:r>
              <w:rPr>
                <w:rFonts w:hint="eastAsia"/>
                <w:color w:val="000000"/>
                <w:sz w:val="24"/>
                <w:highlight w:val="none"/>
              </w:rPr>
              <w:t>：</w:t>
            </w:r>
            <w:r>
              <w:rPr>
                <w:rFonts w:hint="eastAsia"/>
                <w:color w:val="000000"/>
                <w:sz w:val="24"/>
                <w:szCs w:val="22"/>
                <w:highlight w:val="none"/>
              </w:rPr>
              <w:t>0.23</w:t>
            </w:r>
            <w:r>
              <w:rPr>
                <w:rFonts w:hint="eastAsia"/>
                <w:color w:val="000000"/>
                <w:sz w:val="24"/>
                <w:szCs w:val="22"/>
                <w:highlight w:val="none"/>
                <w:lang w:val="en-US" w:eastAsia="zh-CN"/>
              </w:rPr>
              <w:t>1</w:t>
            </w:r>
            <w:r>
              <w:rPr>
                <w:rFonts w:hint="eastAsia"/>
                <w:color w:val="000000"/>
                <w:sz w:val="24"/>
                <w:szCs w:val="22"/>
                <w:highlight w:val="none"/>
              </w:rPr>
              <w:t>t/a，NH</w:t>
            </w:r>
            <w:r>
              <w:rPr>
                <w:rFonts w:hint="eastAsia"/>
                <w:color w:val="000000"/>
                <w:sz w:val="24"/>
                <w:szCs w:val="22"/>
                <w:highlight w:val="none"/>
                <w:vertAlign w:val="subscript"/>
              </w:rPr>
              <w:t>3</w:t>
            </w:r>
            <w:r>
              <w:rPr>
                <w:rFonts w:hint="eastAsia"/>
                <w:color w:val="000000"/>
                <w:sz w:val="24"/>
                <w:szCs w:val="22"/>
                <w:highlight w:val="none"/>
              </w:rPr>
              <w:t>-N：0.0</w:t>
            </w:r>
            <w:r>
              <w:rPr>
                <w:rFonts w:hint="eastAsia"/>
                <w:color w:val="000000"/>
                <w:sz w:val="24"/>
                <w:szCs w:val="22"/>
                <w:highlight w:val="none"/>
                <w:lang w:val="en-US" w:eastAsia="zh-CN"/>
              </w:rPr>
              <w:t>28</w:t>
            </w:r>
            <w:r>
              <w:rPr>
                <w:rFonts w:hint="eastAsia"/>
                <w:color w:val="000000"/>
                <w:sz w:val="24"/>
                <w:szCs w:val="22"/>
                <w:highlight w:val="none"/>
              </w:rPr>
              <w:t>t/a，TN：0.0</w:t>
            </w:r>
            <w:r>
              <w:rPr>
                <w:rFonts w:hint="eastAsia"/>
                <w:color w:val="000000"/>
                <w:sz w:val="24"/>
                <w:szCs w:val="22"/>
                <w:highlight w:val="none"/>
                <w:lang w:val="en-US" w:eastAsia="zh-CN"/>
              </w:rPr>
              <w:t>69</w:t>
            </w:r>
            <w:r>
              <w:rPr>
                <w:rFonts w:hint="eastAsia"/>
                <w:color w:val="000000"/>
                <w:sz w:val="24"/>
                <w:szCs w:val="22"/>
                <w:highlight w:val="none"/>
              </w:rPr>
              <w:t>t/a</w:t>
            </w:r>
            <w:r>
              <w:rPr>
                <w:rFonts w:hint="eastAsia"/>
                <w:color w:val="000000"/>
                <w:sz w:val="24"/>
                <w:highlight w:val="none"/>
              </w:rPr>
              <w:t>。</w:t>
            </w:r>
          </w:p>
          <w:p>
            <w:pPr>
              <w:pStyle w:val="6"/>
              <w:spacing w:line="360" w:lineRule="auto"/>
              <w:rPr>
                <w:rFonts w:hint="eastAsia" w:eastAsia="宋体"/>
                <w:color w:val="000000"/>
                <w:sz w:val="24"/>
                <w:highlight w:val="none"/>
                <w:lang w:val="en-US" w:eastAsia="zh-CN"/>
              </w:rPr>
            </w:pPr>
            <w:r>
              <w:rPr>
                <w:rFonts w:hint="eastAsia"/>
                <w:color w:val="000000"/>
                <w:sz w:val="24"/>
                <w:highlight w:val="none"/>
                <w:lang w:eastAsia="zh-CN"/>
              </w:rPr>
              <w:t>项目建成后移交给迁安市人民医院管理使用，迁安市人民医院体检项目均转移至本项目体检中心进行，根据《迁安市人民医院迁建项目环境影响报告书》人民医院原体检能力为</w:t>
            </w:r>
            <w:r>
              <w:rPr>
                <w:rFonts w:hint="eastAsia"/>
                <w:color w:val="000000"/>
                <w:sz w:val="24"/>
                <w:highlight w:val="none"/>
                <w:lang w:val="en-US" w:eastAsia="zh-CN"/>
              </w:rPr>
              <w:t>500人次/日，本项目平均每日体检人数为220人次，健康养护80人次，经核算，本项目COD、</w:t>
            </w:r>
            <w:r>
              <w:rPr>
                <w:rFonts w:hint="eastAsia"/>
                <w:color w:val="000000"/>
                <w:sz w:val="24"/>
                <w:szCs w:val="22"/>
                <w:highlight w:val="none"/>
              </w:rPr>
              <w:t>NH</w:t>
            </w:r>
            <w:r>
              <w:rPr>
                <w:rFonts w:hint="eastAsia"/>
                <w:color w:val="000000"/>
                <w:sz w:val="24"/>
                <w:szCs w:val="22"/>
                <w:highlight w:val="none"/>
                <w:vertAlign w:val="subscript"/>
              </w:rPr>
              <w:t>3</w:t>
            </w:r>
            <w:r>
              <w:rPr>
                <w:rFonts w:hint="eastAsia"/>
                <w:color w:val="000000"/>
                <w:sz w:val="24"/>
                <w:szCs w:val="22"/>
                <w:highlight w:val="none"/>
              </w:rPr>
              <w:t>-N</w:t>
            </w:r>
            <w:r>
              <w:rPr>
                <w:rFonts w:hint="eastAsia"/>
                <w:color w:val="000000"/>
                <w:sz w:val="24"/>
                <w:highlight w:val="none"/>
                <w:lang w:val="en-US" w:eastAsia="zh-CN"/>
              </w:rPr>
              <w:t>排放量少于现有排放量，因此不会增加COD、</w:t>
            </w:r>
            <w:r>
              <w:rPr>
                <w:rFonts w:hint="eastAsia"/>
                <w:color w:val="000000"/>
                <w:sz w:val="24"/>
                <w:szCs w:val="22"/>
                <w:highlight w:val="none"/>
              </w:rPr>
              <w:t>NH</w:t>
            </w:r>
            <w:r>
              <w:rPr>
                <w:rFonts w:hint="eastAsia"/>
                <w:color w:val="000000"/>
                <w:sz w:val="24"/>
                <w:szCs w:val="22"/>
                <w:highlight w:val="none"/>
                <w:vertAlign w:val="subscript"/>
              </w:rPr>
              <w:t>3</w:t>
            </w:r>
            <w:r>
              <w:rPr>
                <w:rFonts w:hint="eastAsia"/>
                <w:color w:val="000000"/>
                <w:sz w:val="24"/>
                <w:szCs w:val="22"/>
                <w:highlight w:val="none"/>
              </w:rPr>
              <w:t>-N</w:t>
            </w:r>
            <w:r>
              <w:rPr>
                <w:rFonts w:hint="eastAsia"/>
                <w:color w:val="000000"/>
                <w:sz w:val="24"/>
                <w:szCs w:val="22"/>
                <w:highlight w:val="none"/>
                <w:lang w:eastAsia="zh-CN"/>
              </w:rPr>
              <w:t>的排放量，不需进行总量交易。</w:t>
            </w: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rPr>
                <w:rFonts w:hint="eastAsia"/>
                <w:color w:val="000000"/>
                <w:sz w:val="24"/>
                <w:highlight w:val="none"/>
                <w:lang w:val="en-US" w:eastAsia="zh-CN"/>
              </w:rPr>
            </w:pPr>
          </w:p>
          <w:p>
            <w:pPr>
              <w:pStyle w:val="6"/>
              <w:spacing w:line="360" w:lineRule="auto"/>
              <w:ind w:left="0" w:leftChars="0" w:firstLine="0" w:firstLineChars="0"/>
              <w:rPr>
                <w:rFonts w:hint="default" w:hAnsi="宋体" w:eastAsia="宋体"/>
                <w:sz w:val="24"/>
                <w:szCs w:val="24"/>
                <w:highlight w:val="none"/>
                <w:lang w:val="en-US" w:eastAsia="zh-CN"/>
              </w:rPr>
            </w:pPr>
          </w:p>
        </w:tc>
      </w:tr>
    </w:tbl>
    <w:p>
      <w:pPr>
        <w:pStyle w:val="46"/>
        <w:outlineLvl w:val="0"/>
        <w:rPr>
          <w:rFonts w:hint="eastAsia" w:eastAsia="黑体"/>
          <w:b/>
          <w:spacing w:val="0"/>
          <w:szCs w:val="32"/>
          <w:highlight w:val="none"/>
        </w:rPr>
      </w:pPr>
      <w:r>
        <w:rPr>
          <w:rFonts w:eastAsia="黑体"/>
          <w:b/>
          <w:spacing w:val="0"/>
          <w:szCs w:val="32"/>
          <w:highlight w:val="none"/>
        </w:rPr>
        <w:br w:type="page"/>
      </w:r>
      <w:r>
        <w:rPr>
          <w:rFonts w:eastAsia="黑体"/>
          <w:b/>
          <w:spacing w:val="0"/>
          <w:szCs w:val="32"/>
          <w:highlight w:val="none"/>
        </w:rPr>
        <w:t>建设项目工程分析</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539" w:hRule="atLeast"/>
          <w:jc w:val="center"/>
        </w:trPr>
        <w:tc>
          <w:tcPr>
            <w:tcW w:w="8968" w:type="dxa"/>
            <w:noWrap w:val="0"/>
            <w:vAlign w:val="top"/>
          </w:tcPr>
          <w:p>
            <w:pPr>
              <w:spacing w:after="156" w:afterLines="50" w:line="500" w:lineRule="exact"/>
              <w:rPr>
                <w:b/>
                <w:sz w:val="28"/>
                <w:highlight w:val="none"/>
              </w:rPr>
            </w:pPr>
            <w:r>
              <w:rPr>
                <w:b/>
                <w:sz w:val="28"/>
                <w:highlight w:val="none"/>
              </w:rPr>
              <w:t>工艺流程简述(图示)：</w:t>
            </w:r>
          </w:p>
          <w:p>
            <w:pPr>
              <w:adjustRightInd w:val="0"/>
              <w:snapToGrid w:val="0"/>
              <w:spacing w:line="360" w:lineRule="auto"/>
              <w:ind w:firstLine="540" w:firstLineChars="192"/>
              <w:rPr>
                <w:b/>
                <w:sz w:val="28"/>
                <w:highlight w:val="none"/>
              </w:rPr>
            </w:pPr>
            <w:r>
              <w:rPr>
                <w:rFonts w:hint="eastAsia"/>
                <w:b/>
                <w:sz w:val="28"/>
                <w:highlight w:val="none"/>
              </w:rPr>
              <w:t>1</w:t>
            </w:r>
            <w:r>
              <w:rPr>
                <w:b/>
                <w:sz w:val="28"/>
                <w:highlight w:val="none"/>
              </w:rPr>
              <w:t>、施工期</w:t>
            </w:r>
          </w:p>
          <w:p>
            <w:pPr>
              <w:adjustRightInd w:val="0"/>
              <w:snapToGrid w:val="0"/>
              <w:spacing w:line="480" w:lineRule="exact"/>
              <w:ind w:firstLine="480" w:firstLineChars="200"/>
              <w:rPr>
                <w:rFonts w:hint="eastAsia"/>
                <w:sz w:val="24"/>
                <w:szCs w:val="24"/>
                <w:highlight w:val="none"/>
              </w:rPr>
            </w:pPr>
            <w:r>
              <w:rPr>
                <w:rFonts w:hint="eastAsia"/>
                <w:sz w:val="24"/>
                <w:szCs w:val="24"/>
                <w:highlight w:val="none"/>
              </w:rPr>
              <w:t>本项目施工主要是原有建筑改造装修和设备的安装。设备安装产生的噪声对环境的影响较小，设备安装产生的噪声随着工期完结，噪声污染也就不复存在。</w:t>
            </w:r>
            <w:r>
              <w:rPr>
                <w:sz w:val="24"/>
                <w:szCs w:val="24"/>
                <w:highlight w:val="none"/>
              </w:rPr>
              <w:t>使用商品混凝土，</w:t>
            </w:r>
            <w:r>
              <w:rPr>
                <w:rFonts w:hint="eastAsia"/>
                <w:sz w:val="24"/>
                <w:szCs w:val="24"/>
                <w:highlight w:val="none"/>
              </w:rPr>
              <w:t>项目施工场地</w:t>
            </w:r>
            <w:r>
              <w:rPr>
                <w:sz w:val="24"/>
                <w:szCs w:val="24"/>
                <w:highlight w:val="none"/>
              </w:rPr>
              <w:t>不设搅拌站。工艺流程见下图</w:t>
            </w:r>
            <w:r>
              <w:rPr>
                <w:rFonts w:hint="eastAsia"/>
                <w:sz w:val="24"/>
                <w:szCs w:val="24"/>
                <w:highlight w:val="none"/>
              </w:rPr>
              <w:t>3</w:t>
            </w:r>
            <w:r>
              <w:rPr>
                <w:sz w:val="24"/>
                <w:szCs w:val="24"/>
                <w:highlight w:val="none"/>
              </w:rPr>
              <w:t>：</w:t>
            </w:r>
          </w:p>
          <w:p>
            <w:pPr>
              <w:adjustRightInd w:val="0"/>
              <w:snapToGrid w:val="0"/>
              <w:spacing w:line="480" w:lineRule="exact"/>
              <w:jc w:val="center"/>
              <w:rPr>
                <w:b/>
                <w:sz w:val="24"/>
                <w:szCs w:val="24"/>
                <w:highlight w:val="none"/>
              </w:rPr>
            </w:pPr>
            <w:r>
              <w:rPr>
                <w:color w:val="FF0000"/>
                <w:highlight w:val="none"/>
              </w:rPr>
              <w:pict>
                <v:shape id="_x0000_s1048" o:spid="_x0000_s1048" o:spt="75" type="#_x0000_t75" style="position:absolute;left:0pt;margin-left:66.15pt;margin-top:9.7pt;height:106.05pt;width:327.4pt;mso-wrap-distance-bottom:0pt;mso-wrap-distance-top:0pt;z-index:251662336;mso-width-relative:page;mso-height-relative:page;" o:ole="t" filled="f" o:preferrelative="t" stroked="f" coordsize="21600,21600">
                  <v:path/>
                  <v:fill on="f" focussize="0,0"/>
                  <v:stroke on="f"/>
                  <v:imagedata r:id="rId11" o:title=""/>
                  <o:lock v:ext="edit" aspectratio="t"/>
                  <w10:wrap type="topAndBottom"/>
                </v:shape>
                <o:OLEObject Type="Embed" ProgID="Visio.Drawing.11" ShapeID="_x0000_s1048" DrawAspect="Content" ObjectID="_1468075725" r:id="rId10">
                  <o:LockedField>false</o:LockedField>
                </o:OLEObject>
              </w:pict>
            </w:r>
            <w:r>
              <w:rPr>
                <w:b/>
                <w:sz w:val="24"/>
                <w:szCs w:val="24"/>
                <w:highlight w:val="none"/>
              </w:rPr>
              <w:t>图</w:t>
            </w:r>
            <w:r>
              <w:rPr>
                <w:rFonts w:hint="eastAsia"/>
                <w:b/>
                <w:sz w:val="24"/>
                <w:szCs w:val="24"/>
                <w:highlight w:val="none"/>
              </w:rPr>
              <w:t>3</w:t>
            </w:r>
            <w:r>
              <w:rPr>
                <w:b/>
                <w:sz w:val="24"/>
                <w:szCs w:val="24"/>
                <w:highlight w:val="none"/>
              </w:rPr>
              <w:t xml:space="preserve">  </w:t>
            </w:r>
            <w:r>
              <w:rPr>
                <w:rFonts w:hint="eastAsia"/>
                <w:b/>
                <w:sz w:val="24"/>
                <w:szCs w:val="24"/>
                <w:highlight w:val="none"/>
              </w:rPr>
              <w:t>施工期</w:t>
            </w:r>
            <w:r>
              <w:rPr>
                <w:b/>
                <w:sz w:val="24"/>
                <w:szCs w:val="24"/>
                <w:highlight w:val="none"/>
              </w:rPr>
              <w:t>工艺流程及排污节点</w:t>
            </w:r>
          </w:p>
          <w:p>
            <w:pPr>
              <w:tabs>
                <w:tab w:val="left" w:pos="460"/>
              </w:tabs>
              <w:spacing w:line="360" w:lineRule="auto"/>
              <w:ind w:firstLine="480" w:firstLineChars="200"/>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施工过程的排污节点：设备安装产生的噪声；产生的固体废物如建筑垃圾和施工人员生活垃圾等，会对环境产生一定的影响。</w:t>
            </w:r>
          </w:p>
          <w:p>
            <w:pPr>
              <w:adjustRightInd w:val="0"/>
              <w:snapToGrid w:val="0"/>
              <w:spacing w:line="360" w:lineRule="auto"/>
              <w:ind w:firstLine="562" w:firstLineChars="200"/>
              <w:rPr>
                <w:rFonts w:hint="default" w:ascii="Times New Roman" w:hAnsi="Times New Roman" w:eastAsia="宋体" w:cs="Times New Roman"/>
                <w:b/>
                <w:sz w:val="28"/>
                <w:highlight w:val="none"/>
              </w:rPr>
            </w:pPr>
            <w:r>
              <w:rPr>
                <w:rFonts w:hint="default" w:ascii="Times New Roman" w:hAnsi="Times New Roman" w:eastAsia="宋体" w:cs="Times New Roman"/>
                <w:b/>
                <w:sz w:val="28"/>
                <w:highlight w:val="none"/>
              </w:rPr>
              <w:t>2、营运期</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1</w:t>
            </w:r>
            <w:r>
              <w:rPr>
                <w:rFonts w:hint="default" w:ascii="Times New Roman" w:hAnsi="Times New Roman" w:eastAsia="宋体" w:cs="Times New Roman"/>
                <w:color w:val="000000"/>
                <w:sz w:val="24"/>
                <w:szCs w:val="24"/>
                <w:highlight w:val="none"/>
                <w:lang w:eastAsia="zh-CN"/>
              </w:rPr>
              <w:t>）健康体检</w:t>
            </w:r>
          </w:p>
          <w:p>
            <w:pPr>
              <w:widowControl w:val="0"/>
              <w:spacing w:after="0" w:line="360" w:lineRule="auto"/>
              <w:ind w:firstLine="480" w:firstLineChars="200"/>
              <w:jc w:val="both"/>
              <w:rPr>
                <w:rFonts w:hint="eastAsia" w:hAnsi="宋体"/>
                <w:b/>
                <w:sz w:val="24"/>
                <w:szCs w:val="24"/>
                <w:highlight w:val="none"/>
              </w:rPr>
            </w:pPr>
            <w:r>
              <w:rPr>
                <w:rFonts w:hint="default" w:ascii="Times New Roman" w:hAnsi="Times New Roman" w:eastAsia="宋体" w:cs="Times New Roman"/>
                <w:sz w:val="24"/>
                <w:szCs w:val="24"/>
                <w:highlight w:val="none"/>
                <w:lang w:eastAsia="zh-CN"/>
              </w:rPr>
              <w:t>针对客户需求，</w:t>
            </w:r>
            <w:r>
              <w:rPr>
                <w:rFonts w:hint="default" w:ascii="Times New Roman" w:hAnsi="Times New Roman" w:eastAsia="宋体" w:cs="Times New Roman"/>
                <w:sz w:val="24"/>
                <w:szCs w:val="24"/>
                <w:highlight w:val="none"/>
              </w:rPr>
              <w:t>为受检人员身体情况进行各项检查</w:t>
            </w:r>
            <w:r>
              <w:rPr>
                <w:rFonts w:hint="default" w:ascii="Times New Roman" w:hAnsi="Times New Roman" w:eastAsia="宋体" w:cs="Times New Roman"/>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eastAsia="zh-CN"/>
              </w:rPr>
            </w:pPr>
            <w:r>
              <w:rPr>
                <w:rFonts w:hint="eastAsia"/>
                <w:sz w:val="24"/>
                <w:szCs w:val="24"/>
                <w:lang w:eastAsia="zh-CN"/>
              </w:rPr>
              <w:t>排污节点：体检过程有医疗固废、医疗废水产生。</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2</w:t>
            </w:r>
            <w:r>
              <w:rPr>
                <w:rFonts w:hint="default" w:ascii="Times New Roman" w:hAnsi="Times New Roman" w:eastAsia="宋体" w:cs="Times New Roman"/>
                <w:color w:val="000000"/>
                <w:sz w:val="24"/>
                <w:szCs w:val="24"/>
                <w:highlight w:val="none"/>
                <w:lang w:eastAsia="zh-CN"/>
              </w:rPr>
              <w:t>）健康管理</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健康管理由三个大的基本模块构成，即健康检测与监测、健康评估与指导、健康干预与维护。三个模块于一个信息平台上运行，延伸到社区（村）的跟踪服务，形成健康管理服务的循环体系。</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eastAsia="zh-CN"/>
              </w:rPr>
              <w:t>排污节点：此过程无污染物产生。</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3</w:t>
            </w:r>
            <w:r>
              <w:rPr>
                <w:rFonts w:hint="default" w:ascii="Times New Roman" w:hAnsi="Times New Roman" w:eastAsia="宋体" w:cs="Times New Roman"/>
                <w:color w:val="000000"/>
                <w:sz w:val="24"/>
                <w:szCs w:val="24"/>
                <w:highlight w:val="none"/>
                <w:lang w:eastAsia="zh-CN"/>
              </w:rPr>
              <w:t>）健康养护</w:t>
            </w:r>
          </w:p>
          <w:p>
            <w:pPr>
              <w:widowControl w:val="0"/>
              <w:spacing w:after="0" w:line="360" w:lineRule="auto"/>
              <w:ind w:firstLine="480" w:firstLineChars="200"/>
              <w:jc w:val="both"/>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针对亚健康人群运用中医药适宜技术进行保健和养护，创建中医药养生国内知名专家库，建立专家工作室。通过奇灸妙招、砭石疗法、脏腑养生、体感音疗等，利用知名营养专家、心理专家、高级运动师及私人医生团队的引领下，从身体到心灵，全方位健康养护。</w:t>
            </w:r>
          </w:p>
          <w:p>
            <w:pPr>
              <w:widowControl w:val="0"/>
              <w:spacing w:after="0" w:line="360" w:lineRule="auto"/>
              <w:ind w:firstLine="480" w:firstLineChars="200"/>
              <w:jc w:val="both"/>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排污节点：此过程有医疗固废、医疗废水、生活垃圾产生。</w:t>
            </w:r>
          </w:p>
          <w:p>
            <w:pPr>
              <w:widowControl w:val="0"/>
              <w:spacing w:after="0" w:line="360" w:lineRule="auto"/>
              <w:ind w:firstLine="480" w:firstLineChars="200"/>
              <w:jc w:val="both"/>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医护人员办公生活有生活垃圾和生活废水产生。洗衣过程产生洗衣废水。</w:t>
            </w:r>
          </w:p>
          <w:p>
            <w:pPr>
              <w:widowControl w:val="0"/>
              <w:spacing w:after="0" w:line="360" w:lineRule="auto"/>
              <w:ind w:firstLine="480" w:firstLineChars="200"/>
              <w:jc w:val="both"/>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eastAsia="zh-CN"/>
              </w:rPr>
              <w:t>其工艺流程及排污位置见图</w:t>
            </w:r>
            <w:r>
              <w:rPr>
                <w:rFonts w:hint="eastAsia" w:ascii="Times New Roman" w:hAnsi="Times New Roman" w:eastAsia="宋体" w:cs="Times New Roman"/>
                <w:color w:val="000000"/>
                <w:sz w:val="24"/>
                <w:szCs w:val="24"/>
                <w:highlight w:val="none"/>
                <w:lang w:val="en-US" w:eastAsia="zh-CN"/>
              </w:rPr>
              <w:t>4</w:t>
            </w:r>
            <w:r>
              <w:rPr>
                <w:rFonts w:hint="eastAsia" w:ascii="Times New Roman" w:hAnsi="Times New Roman" w:eastAsia="宋体" w:cs="Times New Roman"/>
                <w:color w:val="000000"/>
                <w:sz w:val="24"/>
                <w:szCs w:val="24"/>
                <w:highlight w:val="none"/>
                <w:lang w:eastAsia="zh-CN"/>
              </w:rPr>
              <w:t>。</w:t>
            </w:r>
          </w:p>
          <w:p>
            <w:pPr>
              <w:snapToGrid w:val="0"/>
              <w:spacing w:line="360" w:lineRule="auto"/>
              <w:jc w:val="center"/>
              <w:rPr>
                <w:rFonts w:hint="eastAsia" w:hAnsi="宋体"/>
                <w:b/>
                <w:sz w:val="21"/>
                <w:szCs w:val="21"/>
                <w:highlight w:val="none"/>
              </w:rPr>
            </w:pPr>
            <w:r>
              <w:rPr>
                <w:rFonts w:hint="eastAsia" w:eastAsia="宋体"/>
                <w:sz w:val="21"/>
                <w:szCs w:val="21"/>
                <w:highlight w:val="none"/>
                <w:lang w:eastAsia="zh-CN"/>
              </w:rPr>
              <w:drawing>
                <wp:anchor distT="0" distB="0" distL="114300" distR="114300" simplePos="0" relativeHeight="251663360" behindDoc="0" locked="0" layoutInCell="1" allowOverlap="1">
                  <wp:simplePos x="0" y="0"/>
                  <wp:positionH relativeFrom="column">
                    <wp:posOffset>227330</wp:posOffset>
                  </wp:positionH>
                  <wp:positionV relativeFrom="paragraph">
                    <wp:posOffset>164465</wp:posOffset>
                  </wp:positionV>
                  <wp:extent cx="5298440" cy="3494405"/>
                  <wp:effectExtent l="0" t="0" r="0" b="0"/>
                  <wp:wrapTopAndBottom/>
                  <wp:docPr id="4" name="ECB019B1-382A-4266-B25C-5B523AA43C14-2" descr="C:/Users/ADMINI~1/AppData/Local/Temp/qt_temp.vY4220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CB019B1-382A-4266-B25C-5B523AA43C14-2" descr="C:/Users/ADMINI~1/AppData/Local/Temp/qt_temp.vY4220qt_temp"/>
                          <pic:cNvPicPr>
                            <a:picLocks noChangeAspect="1"/>
                          </pic:cNvPicPr>
                        </pic:nvPicPr>
                        <pic:blipFill>
                          <a:blip r:embed="rId12"/>
                          <a:stretch>
                            <a:fillRect/>
                          </a:stretch>
                        </pic:blipFill>
                        <pic:spPr>
                          <a:xfrm>
                            <a:off x="0" y="0"/>
                            <a:ext cx="5298440" cy="3494405"/>
                          </a:xfrm>
                          <a:prstGeom prst="rect">
                            <a:avLst/>
                          </a:prstGeom>
                          <a:noFill/>
                          <a:ln>
                            <a:noFill/>
                          </a:ln>
                        </pic:spPr>
                      </pic:pic>
                    </a:graphicData>
                  </a:graphic>
                </wp:anchor>
              </w:drawing>
            </w:r>
            <w:r>
              <w:rPr>
                <w:rFonts w:hAnsi="宋体"/>
                <w:b/>
                <w:sz w:val="21"/>
                <w:szCs w:val="21"/>
                <w:highlight w:val="none"/>
              </w:rPr>
              <w:t>图</w:t>
            </w:r>
            <w:r>
              <w:rPr>
                <w:rFonts w:hint="eastAsia" w:hAnsi="宋体"/>
                <w:b/>
                <w:sz w:val="21"/>
                <w:szCs w:val="21"/>
                <w:highlight w:val="none"/>
                <w:lang w:val="en-US" w:eastAsia="zh-CN"/>
              </w:rPr>
              <w:t>4</w:t>
            </w:r>
            <w:r>
              <w:rPr>
                <w:rFonts w:hint="eastAsia"/>
                <w:b/>
                <w:sz w:val="21"/>
                <w:szCs w:val="21"/>
                <w:highlight w:val="none"/>
              </w:rPr>
              <w:t xml:space="preserve">    </w:t>
            </w:r>
            <w:r>
              <w:rPr>
                <w:rFonts w:hAnsi="宋体"/>
                <w:b/>
                <w:sz w:val="21"/>
                <w:szCs w:val="21"/>
                <w:highlight w:val="none"/>
              </w:rPr>
              <w:t>工艺流程及排污</w:t>
            </w:r>
            <w:r>
              <w:rPr>
                <w:rFonts w:hint="eastAsia" w:hAnsi="宋体"/>
                <w:b/>
                <w:sz w:val="21"/>
                <w:szCs w:val="21"/>
                <w:highlight w:val="none"/>
              </w:rPr>
              <w:t>位置图</w:t>
            </w: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pStyle w:val="2"/>
              <w:rPr>
                <w:rFonts w:hint="eastAsia" w:hAnsi="宋体"/>
                <w:b/>
                <w:sz w:val="24"/>
                <w:szCs w:val="24"/>
                <w:highlight w:val="none"/>
              </w:rPr>
            </w:pPr>
          </w:p>
          <w:p>
            <w:pPr>
              <w:rPr>
                <w:rFonts w:hint="eastAsia" w:hAnsi="宋体"/>
                <w:b/>
                <w:sz w:val="24"/>
                <w:szCs w:val="24"/>
                <w:highlight w:val="none"/>
              </w:rPr>
            </w:pPr>
          </w:p>
          <w:p>
            <w:pPr>
              <w:pStyle w:val="2"/>
              <w:rPr>
                <w:rFonts w:hint="eastAsia" w:hAnsi="宋体"/>
                <w:b/>
                <w:sz w:val="24"/>
                <w:szCs w:val="24"/>
                <w:highlight w:val="none"/>
              </w:rPr>
            </w:pPr>
          </w:p>
          <w:p>
            <w:pPr>
              <w:rPr>
                <w:rFonts w:hint="eastAsia" w:hAnsi="宋体"/>
                <w:b/>
                <w:sz w:val="24"/>
                <w:szCs w:val="24"/>
                <w:highlight w:val="none"/>
              </w:rPr>
            </w:pPr>
          </w:p>
          <w:p>
            <w:pPr>
              <w:pStyle w:val="2"/>
              <w:rPr>
                <w:rFonts w:hint="eastAsia" w:hAnsi="宋体"/>
                <w:b/>
                <w:sz w:val="24"/>
                <w:szCs w:val="24"/>
                <w:highlight w:val="none"/>
              </w:rPr>
            </w:pPr>
          </w:p>
          <w:p>
            <w:pPr>
              <w:rPr>
                <w:rFonts w:hint="eastAsia" w:hAnsi="宋体"/>
                <w:b/>
                <w:sz w:val="24"/>
                <w:szCs w:val="24"/>
                <w:highlight w:val="none"/>
              </w:rPr>
            </w:pPr>
          </w:p>
          <w:p>
            <w:pPr>
              <w:pStyle w:val="2"/>
              <w:rPr>
                <w:rFonts w:hint="eastAsia" w:hAnsi="宋体"/>
                <w:b/>
                <w:sz w:val="24"/>
                <w:szCs w:val="24"/>
                <w:highlight w:val="none"/>
              </w:rPr>
            </w:pPr>
          </w:p>
          <w:p>
            <w:pPr>
              <w:snapToGrid w:val="0"/>
              <w:spacing w:line="360" w:lineRule="auto"/>
              <w:jc w:val="both"/>
              <w:rPr>
                <w:rFonts w:hint="eastAsia" w:hAnsi="宋体"/>
                <w:b/>
                <w:sz w:val="24"/>
                <w:szCs w:val="24"/>
                <w:highlight w:val="none"/>
              </w:rPr>
            </w:pPr>
          </w:p>
          <w:p>
            <w:pPr>
              <w:snapToGrid w:val="0"/>
              <w:spacing w:line="360" w:lineRule="auto"/>
              <w:jc w:val="center"/>
              <w:rPr>
                <w:rFonts w:hint="eastAsia" w:hAnsi="宋体"/>
                <w:b/>
                <w:sz w:val="24"/>
                <w:szCs w:val="24"/>
                <w:highlight w:val="none"/>
              </w:rPr>
            </w:pPr>
          </w:p>
          <w:p>
            <w:pPr>
              <w:snapToGrid w:val="0"/>
              <w:spacing w:line="360" w:lineRule="auto"/>
              <w:jc w:val="both"/>
              <w:rPr>
                <w:rFonts w:hint="eastAsia" w:ascii="宋体" w:hAnsi="宋体" w:eastAsia="宋体"/>
                <w:sz w:val="24"/>
                <w:szCs w:val="24"/>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4" w:hRule="atLeast"/>
          <w:jc w:val="center"/>
        </w:trPr>
        <w:tc>
          <w:tcPr>
            <w:tcW w:w="8968" w:type="dxa"/>
            <w:noWrap w:val="0"/>
            <w:vAlign w:val="top"/>
          </w:tcPr>
          <w:p>
            <w:pPr>
              <w:rPr>
                <w:b/>
                <w:sz w:val="28"/>
                <w:szCs w:val="28"/>
                <w:highlight w:val="none"/>
              </w:rPr>
            </w:pPr>
            <w:r>
              <w:rPr>
                <w:b/>
                <w:sz w:val="28"/>
                <w:szCs w:val="28"/>
                <w:highlight w:val="none"/>
              </w:rPr>
              <w:t>主要污染工序：</w:t>
            </w:r>
          </w:p>
          <w:p>
            <w:pPr>
              <w:adjustRightInd w:val="0"/>
              <w:snapToGrid w:val="0"/>
              <w:spacing w:line="480" w:lineRule="exact"/>
              <w:ind w:firstLine="480" w:firstLineChars="200"/>
              <w:rPr>
                <w:sz w:val="24"/>
                <w:highlight w:val="none"/>
              </w:rPr>
            </w:pPr>
            <w:r>
              <w:rPr>
                <w:sz w:val="24"/>
                <w:highlight w:val="none"/>
              </w:rPr>
              <w:t>项目施工期与营运期的主要污染工序见表</w:t>
            </w:r>
            <w:r>
              <w:rPr>
                <w:rFonts w:hint="eastAsia"/>
                <w:sz w:val="24"/>
                <w:highlight w:val="none"/>
              </w:rPr>
              <w:t>1</w:t>
            </w:r>
            <w:r>
              <w:rPr>
                <w:rFonts w:hint="eastAsia"/>
                <w:sz w:val="24"/>
                <w:highlight w:val="none"/>
                <w:lang w:val="en-US" w:eastAsia="zh-CN"/>
              </w:rPr>
              <w:t>3</w:t>
            </w:r>
            <w:r>
              <w:rPr>
                <w:sz w:val="24"/>
                <w:highlight w:val="none"/>
              </w:rPr>
              <w:t>。</w:t>
            </w:r>
          </w:p>
          <w:p>
            <w:pPr>
              <w:pStyle w:val="6"/>
              <w:spacing w:line="500" w:lineRule="exact"/>
              <w:ind w:firstLine="482" w:firstLineChars="200"/>
              <w:jc w:val="center"/>
              <w:rPr>
                <w:b/>
                <w:sz w:val="24"/>
                <w:szCs w:val="24"/>
                <w:highlight w:val="none"/>
              </w:rPr>
            </w:pPr>
            <w:r>
              <w:rPr>
                <w:b/>
                <w:sz w:val="24"/>
                <w:szCs w:val="24"/>
                <w:highlight w:val="none"/>
              </w:rPr>
              <w:t>表</w:t>
            </w:r>
            <w:r>
              <w:rPr>
                <w:rFonts w:hint="eastAsia"/>
                <w:b/>
                <w:sz w:val="24"/>
                <w:szCs w:val="24"/>
                <w:highlight w:val="none"/>
              </w:rPr>
              <w:t>1</w:t>
            </w:r>
            <w:r>
              <w:rPr>
                <w:rFonts w:hint="eastAsia"/>
                <w:b/>
                <w:sz w:val="24"/>
                <w:szCs w:val="24"/>
                <w:highlight w:val="none"/>
                <w:lang w:val="en-US" w:eastAsia="zh-CN"/>
              </w:rPr>
              <w:t>3</w:t>
            </w:r>
            <w:r>
              <w:rPr>
                <w:rFonts w:hint="eastAsia"/>
                <w:b/>
                <w:sz w:val="24"/>
                <w:szCs w:val="24"/>
                <w:highlight w:val="none"/>
              </w:rPr>
              <w:t xml:space="preserve"> </w:t>
            </w:r>
            <w:r>
              <w:rPr>
                <w:b/>
                <w:sz w:val="24"/>
                <w:szCs w:val="24"/>
                <w:highlight w:val="none"/>
              </w:rPr>
              <w:t xml:space="preserve"> </w:t>
            </w:r>
            <w:r>
              <w:rPr>
                <w:rFonts w:hint="eastAsia"/>
                <w:b/>
                <w:sz w:val="24"/>
                <w:szCs w:val="24"/>
                <w:highlight w:val="none"/>
              </w:rPr>
              <w:t xml:space="preserve">  </w:t>
            </w:r>
            <w:r>
              <w:rPr>
                <w:b/>
                <w:sz w:val="24"/>
                <w:szCs w:val="24"/>
                <w:highlight w:val="none"/>
              </w:rPr>
              <w:t>项目主要污染工序一览表</w:t>
            </w:r>
          </w:p>
          <w:tbl>
            <w:tblPr>
              <w:tblStyle w:val="36"/>
              <w:tblW w:w="0" w:type="auto"/>
              <w:tblInd w:w="3"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45"/>
              <w:gridCol w:w="936"/>
              <w:gridCol w:w="2662"/>
              <w:gridCol w:w="39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3" w:hRule="atLeast"/>
              </w:trPr>
              <w:tc>
                <w:tcPr>
                  <w:tcW w:w="1145" w:type="dxa"/>
                  <w:tcBorders>
                    <w:tl2br w:val="nil"/>
                    <w:tr2bl w:val="nil"/>
                  </w:tcBorders>
                  <w:noWrap w:val="0"/>
                  <w:vAlign w:val="center"/>
                </w:tcPr>
                <w:p>
                  <w:pPr>
                    <w:adjustRightInd w:val="0"/>
                    <w:snapToGrid w:val="0"/>
                    <w:spacing w:line="360" w:lineRule="exact"/>
                    <w:jc w:val="center"/>
                    <w:rPr>
                      <w:b w:val="0"/>
                      <w:bCs/>
                      <w:szCs w:val="21"/>
                      <w:highlight w:val="none"/>
                    </w:rPr>
                  </w:pPr>
                  <w:r>
                    <w:rPr>
                      <w:rFonts w:hAnsi="宋体"/>
                      <w:b w:val="0"/>
                      <w:bCs/>
                      <w:szCs w:val="21"/>
                      <w:highlight w:val="none"/>
                    </w:rPr>
                    <w:t>建设时期</w:t>
                  </w:r>
                </w:p>
              </w:tc>
              <w:tc>
                <w:tcPr>
                  <w:tcW w:w="936" w:type="dxa"/>
                  <w:tcBorders>
                    <w:tl2br w:val="nil"/>
                    <w:tr2bl w:val="nil"/>
                  </w:tcBorders>
                  <w:noWrap w:val="0"/>
                  <w:vAlign w:val="center"/>
                </w:tcPr>
                <w:p>
                  <w:pPr>
                    <w:adjustRightInd w:val="0"/>
                    <w:snapToGrid w:val="0"/>
                    <w:spacing w:line="360" w:lineRule="exact"/>
                    <w:jc w:val="center"/>
                    <w:rPr>
                      <w:b w:val="0"/>
                      <w:bCs/>
                      <w:szCs w:val="21"/>
                      <w:highlight w:val="none"/>
                    </w:rPr>
                  </w:pPr>
                  <w:r>
                    <w:rPr>
                      <w:rFonts w:hAnsi="宋体"/>
                      <w:b w:val="0"/>
                      <w:bCs/>
                      <w:szCs w:val="21"/>
                      <w:highlight w:val="none"/>
                    </w:rPr>
                    <w:t>项目</w:t>
                  </w:r>
                </w:p>
              </w:tc>
              <w:tc>
                <w:tcPr>
                  <w:tcW w:w="2662" w:type="dxa"/>
                  <w:tcBorders>
                    <w:tl2br w:val="nil"/>
                    <w:tr2bl w:val="nil"/>
                  </w:tcBorders>
                  <w:noWrap w:val="0"/>
                  <w:vAlign w:val="center"/>
                </w:tcPr>
                <w:p>
                  <w:pPr>
                    <w:adjustRightInd w:val="0"/>
                    <w:snapToGrid w:val="0"/>
                    <w:spacing w:line="360" w:lineRule="exact"/>
                    <w:jc w:val="center"/>
                    <w:rPr>
                      <w:b w:val="0"/>
                      <w:bCs/>
                      <w:szCs w:val="21"/>
                      <w:highlight w:val="none"/>
                    </w:rPr>
                  </w:pPr>
                  <w:r>
                    <w:rPr>
                      <w:rFonts w:hAnsi="宋体"/>
                      <w:b w:val="0"/>
                      <w:bCs/>
                      <w:szCs w:val="21"/>
                      <w:highlight w:val="none"/>
                    </w:rPr>
                    <w:t>污染源</w:t>
                  </w:r>
                  <w:r>
                    <w:rPr>
                      <w:b w:val="0"/>
                      <w:bCs/>
                      <w:szCs w:val="21"/>
                      <w:highlight w:val="none"/>
                    </w:rPr>
                    <w:t>/</w:t>
                  </w:r>
                  <w:r>
                    <w:rPr>
                      <w:rFonts w:hAnsi="宋体"/>
                      <w:b w:val="0"/>
                      <w:bCs/>
                      <w:szCs w:val="21"/>
                      <w:highlight w:val="none"/>
                    </w:rPr>
                    <w:t>排污工序</w:t>
                  </w:r>
                </w:p>
              </w:tc>
              <w:tc>
                <w:tcPr>
                  <w:tcW w:w="3989" w:type="dxa"/>
                  <w:tcBorders>
                    <w:tl2br w:val="nil"/>
                    <w:tr2bl w:val="nil"/>
                  </w:tcBorders>
                  <w:noWrap w:val="0"/>
                  <w:vAlign w:val="center"/>
                </w:tcPr>
                <w:p>
                  <w:pPr>
                    <w:adjustRightInd w:val="0"/>
                    <w:snapToGrid w:val="0"/>
                    <w:spacing w:line="360" w:lineRule="exact"/>
                    <w:jc w:val="center"/>
                    <w:rPr>
                      <w:b w:val="0"/>
                      <w:bCs/>
                      <w:szCs w:val="21"/>
                      <w:highlight w:val="none"/>
                    </w:rPr>
                  </w:pPr>
                  <w:r>
                    <w:rPr>
                      <w:rFonts w:hAnsi="宋体"/>
                      <w:b w:val="0"/>
                      <w:bCs/>
                      <w:szCs w:val="21"/>
                      <w:highlight w:val="none"/>
                    </w:rPr>
                    <w:t>污染因子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trPr>
              <w:tc>
                <w:tcPr>
                  <w:tcW w:w="1145" w:type="dxa"/>
                  <w:vMerge w:val="restart"/>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施工期</w:t>
                  </w:r>
                </w:p>
              </w:tc>
              <w:tc>
                <w:tcPr>
                  <w:tcW w:w="936"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Ansi="宋体"/>
                      <w:bCs/>
                      <w:szCs w:val="21"/>
                      <w:highlight w:val="none"/>
                    </w:rPr>
                    <w:t>噪声</w:t>
                  </w:r>
                </w:p>
              </w:tc>
              <w:tc>
                <w:tcPr>
                  <w:tcW w:w="2662"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Ansi="宋体"/>
                      <w:bCs/>
                      <w:szCs w:val="21"/>
                      <w:highlight w:val="none"/>
                    </w:rPr>
                    <w:t>施工设备</w:t>
                  </w:r>
                </w:p>
              </w:tc>
              <w:tc>
                <w:tcPr>
                  <w:tcW w:w="3989"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bCs/>
                      <w:szCs w:val="21"/>
                      <w:highlight w:val="none"/>
                    </w:rPr>
                    <w:t>A</w:t>
                  </w:r>
                  <w:r>
                    <w:rPr>
                      <w:rFonts w:hAnsi="宋体"/>
                      <w:bCs/>
                      <w:szCs w:val="21"/>
                      <w:highlight w:val="none"/>
                    </w:rPr>
                    <w:t>声级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6" w:hRule="atLeast"/>
              </w:trPr>
              <w:tc>
                <w:tcPr>
                  <w:tcW w:w="1145" w:type="dxa"/>
                  <w:vMerge w:val="continue"/>
                  <w:tcBorders>
                    <w:tl2br w:val="nil"/>
                    <w:tr2bl w:val="nil"/>
                  </w:tcBorders>
                  <w:noWrap w:val="0"/>
                  <w:vAlign w:val="center"/>
                </w:tcPr>
                <w:p>
                  <w:pPr>
                    <w:adjustRightInd w:val="0"/>
                    <w:snapToGrid w:val="0"/>
                    <w:spacing w:line="360" w:lineRule="exact"/>
                    <w:jc w:val="center"/>
                    <w:rPr>
                      <w:rFonts w:hint="eastAsia" w:hAnsi="宋体"/>
                      <w:bCs/>
                      <w:szCs w:val="21"/>
                      <w:highlight w:val="none"/>
                    </w:rPr>
                  </w:pPr>
                </w:p>
              </w:tc>
              <w:tc>
                <w:tcPr>
                  <w:tcW w:w="936" w:type="dxa"/>
                  <w:vMerge w:val="restart"/>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固废</w:t>
                  </w:r>
                </w:p>
              </w:tc>
              <w:tc>
                <w:tcPr>
                  <w:tcW w:w="2662"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建筑施工</w:t>
                  </w:r>
                </w:p>
              </w:tc>
              <w:tc>
                <w:tcPr>
                  <w:tcW w:w="3989"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建筑垃圾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2" w:hRule="atLeast"/>
              </w:trPr>
              <w:tc>
                <w:tcPr>
                  <w:tcW w:w="1145" w:type="dxa"/>
                  <w:vMerge w:val="continue"/>
                  <w:tcBorders>
                    <w:tl2br w:val="nil"/>
                    <w:tr2bl w:val="nil"/>
                  </w:tcBorders>
                  <w:noWrap w:val="0"/>
                  <w:vAlign w:val="center"/>
                </w:tcPr>
                <w:p>
                  <w:pPr>
                    <w:adjustRightInd w:val="0"/>
                    <w:snapToGrid w:val="0"/>
                    <w:spacing w:line="360" w:lineRule="exact"/>
                    <w:jc w:val="center"/>
                    <w:rPr>
                      <w:highlight w:val="none"/>
                    </w:rPr>
                  </w:pPr>
                </w:p>
              </w:tc>
              <w:tc>
                <w:tcPr>
                  <w:tcW w:w="936" w:type="dxa"/>
                  <w:vMerge w:val="continue"/>
                  <w:tcBorders>
                    <w:tl2br w:val="nil"/>
                    <w:tr2bl w:val="nil"/>
                  </w:tcBorders>
                  <w:noWrap w:val="0"/>
                  <w:vAlign w:val="center"/>
                </w:tcPr>
                <w:p>
                  <w:pPr>
                    <w:adjustRightInd w:val="0"/>
                    <w:snapToGrid w:val="0"/>
                    <w:spacing w:line="360" w:lineRule="exact"/>
                    <w:jc w:val="center"/>
                    <w:rPr>
                      <w:highlight w:val="none"/>
                    </w:rPr>
                  </w:pPr>
                </w:p>
              </w:tc>
              <w:tc>
                <w:tcPr>
                  <w:tcW w:w="2662"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施工人员</w:t>
                  </w:r>
                </w:p>
              </w:tc>
              <w:tc>
                <w:tcPr>
                  <w:tcW w:w="3989"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生活垃圾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4" w:hRule="atLeast"/>
              </w:trPr>
              <w:tc>
                <w:tcPr>
                  <w:tcW w:w="1145" w:type="dxa"/>
                  <w:vMerge w:val="continue"/>
                  <w:tcBorders>
                    <w:tl2br w:val="nil"/>
                    <w:tr2bl w:val="nil"/>
                  </w:tcBorders>
                  <w:noWrap w:val="0"/>
                  <w:vAlign w:val="center"/>
                </w:tcPr>
                <w:p>
                  <w:pPr>
                    <w:adjustRightInd w:val="0"/>
                    <w:snapToGrid w:val="0"/>
                    <w:spacing w:line="360" w:lineRule="exact"/>
                    <w:jc w:val="center"/>
                    <w:rPr>
                      <w:rFonts w:hint="eastAsia" w:hAnsi="宋体"/>
                      <w:bCs/>
                      <w:szCs w:val="21"/>
                      <w:highlight w:val="none"/>
                    </w:rPr>
                  </w:pPr>
                </w:p>
              </w:tc>
              <w:tc>
                <w:tcPr>
                  <w:tcW w:w="936" w:type="dxa"/>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废气</w:t>
                  </w:r>
                </w:p>
              </w:tc>
              <w:tc>
                <w:tcPr>
                  <w:tcW w:w="2662" w:type="dxa"/>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施工场地</w:t>
                  </w:r>
                </w:p>
              </w:tc>
              <w:tc>
                <w:tcPr>
                  <w:tcW w:w="3989"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颗粒物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4" w:hRule="atLeast"/>
              </w:trPr>
              <w:tc>
                <w:tcPr>
                  <w:tcW w:w="1145" w:type="dxa"/>
                  <w:vMerge w:val="continue"/>
                  <w:tcBorders>
                    <w:tl2br w:val="nil"/>
                    <w:tr2bl w:val="nil"/>
                  </w:tcBorders>
                  <w:noWrap w:val="0"/>
                  <w:vAlign w:val="center"/>
                </w:tcPr>
                <w:p>
                  <w:pPr>
                    <w:adjustRightInd w:val="0"/>
                    <w:snapToGrid w:val="0"/>
                    <w:spacing w:line="360" w:lineRule="exact"/>
                    <w:jc w:val="center"/>
                    <w:rPr>
                      <w:rFonts w:hint="eastAsia" w:hAnsi="宋体"/>
                      <w:bCs/>
                      <w:szCs w:val="21"/>
                      <w:highlight w:val="none"/>
                    </w:rPr>
                  </w:pPr>
                </w:p>
              </w:tc>
              <w:tc>
                <w:tcPr>
                  <w:tcW w:w="936" w:type="dxa"/>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废水</w:t>
                  </w:r>
                </w:p>
              </w:tc>
              <w:tc>
                <w:tcPr>
                  <w:tcW w:w="2662" w:type="dxa"/>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施工人员生活</w:t>
                  </w:r>
                </w:p>
              </w:tc>
              <w:tc>
                <w:tcPr>
                  <w:tcW w:w="3989"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COD</w:t>
                  </w:r>
                  <w:r>
                    <w:rPr>
                      <w:rFonts w:hAnsi="宋体"/>
                      <w:bCs/>
                      <w:szCs w:val="21"/>
                      <w:highlight w:val="none"/>
                    </w:rPr>
                    <w:t>、</w:t>
                  </w:r>
                  <w:r>
                    <w:rPr>
                      <w:bCs/>
                      <w:szCs w:val="21"/>
                      <w:highlight w:val="none"/>
                    </w:rPr>
                    <w:t>SS</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0" w:hRule="atLeast"/>
              </w:trPr>
              <w:tc>
                <w:tcPr>
                  <w:tcW w:w="1145" w:type="dxa"/>
                  <w:vMerge w:val="restart"/>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营运期</w:t>
                  </w:r>
                </w:p>
              </w:tc>
              <w:tc>
                <w:tcPr>
                  <w:tcW w:w="936" w:type="dxa"/>
                  <w:vMerge w:val="restart"/>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废水</w:t>
                  </w:r>
                </w:p>
              </w:tc>
              <w:tc>
                <w:tcPr>
                  <w:tcW w:w="2662" w:type="dxa"/>
                  <w:tcBorders>
                    <w:tl2br w:val="nil"/>
                    <w:tr2bl w:val="nil"/>
                  </w:tcBorders>
                  <w:noWrap w:val="0"/>
                  <w:vAlign w:val="center"/>
                </w:tcPr>
                <w:p>
                  <w:pPr>
                    <w:adjustRightInd w:val="0"/>
                    <w:snapToGrid w:val="0"/>
                    <w:spacing w:line="360" w:lineRule="exact"/>
                    <w:jc w:val="center"/>
                    <w:rPr>
                      <w:rFonts w:hint="eastAsia"/>
                      <w:kern w:val="24"/>
                      <w:szCs w:val="21"/>
                      <w:highlight w:val="none"/>
                    </w:rPr>
                  </w:pPr>
                  <w:r>
                    <w:rPr>
                      <w:rFonts w:hint="eastAsia" w:hAnsi="宋体"/>
                      <w:kern w:val="24"/>
                      <w:szCs w:val="21"/>
                      <w:highlight w:val="none"/>
                      <w:lang w:eastAsia="zh-CN"/>
                    </w:rPr>
                    <w:t>体检、健康养护</w:t>
                  </w:r>
                  <w:r>
                    <w:rPr>
                      <w:rFonts w:hint="eastAsia" w:hAnsi="宋体"/>
                      <w:kern w:val="24"/>
                      <w:szCs w:val="21"/>
                      <w:highlight w:val="none"/>
                    </w:rPr>
                    <w:t>废水</w:t>
                  </w:r>
                </w:p>
              </w:tc>
              <w:tc>
                <w:tcPr>
                  <w:tcW w:w="3989" w:type="dxa"/>
                  <w:tcBorders>
                    <w:tl2br w:val="nil"/>
                    <w:tr2bl w:val="nil"/>
                  </w:tcBorders>
                  <w:noWrap w:val="0"/>
                  <w:vAlign w:val="center"/>
                </w:tcPr>
                <w:p>
                  <w:pPr>
                    <w:pStyle w:val="87"/>
                    <w:tabs>
                      <w:tab w:val="center" w:pos="4153"/>
                      <w:tab w:val="right" w:pos="8306"/>
                    </w:tabs>
                    <w:adjustRightInd w:val="0"/>
                    <w:snapToGrid w:val="0"/>
                    <w:spacing w:after="0" w:line="360" w:lineRule="exact"/>
                    <w:jc w:val="center"/>
                    <w:rPr>
                      <w:rFonts w:hint="eastAsia" w:hAnsi="宋体"/>
                      <w:szCs w:val="21"/>
                      <w:highlight w:val="none"/>
                    </w:rPr>
                  </w:pPr>
                  <w:r>
                    <w:rPr>
                      <w:szCs w:val="21"/>
                      <w:highlight w:val="none"/>
                    </w:rPr>
                    <w:t>COD</w:t>
                  </w:r>
                  <w:r>
                    <w:rPr>
                      <w:rFonts w:hAnsi="宋体"/>
                      <w:szCs w:val="21"/>
                      <w:highlight w:val="none"/>
                    </w:rPr>
                    <w:t>、</w:t>
                  </w:r>
                  <w:r>
                    <w:rPr>
                      <w:szCs w:val="21"/>
                      <w:highlight w:val="none"/>
                    </w:rPr>
                    <w:t>BOD</w:t>
                  </w:r>
                  <w:r>
                    <w:rPr>
                      <w:rFonts w:hAnsi="宋体"/>
                      <w:szCs w:val="21"/>
                      <w:highlight w:val="none"/>
                    </w:rPr>
                    <w:t>、</w:t>
                  </w:r>
                  <w:r>
                    <w:rPr>
                      <w:szCs w:val="21"/>
                      <w:highlight w:val="none"/>
                    </w:rPr>
                    <w:t>SS</w:t>
                  </w:r>
                  <w:r>
                    <w:rPr>
                      <w:rFonts w:hAnsi="宋体"/>
                      <w:szCs w:val="21"/>
                      <w:highlight w:val="none"/>
                    </w:rPr>
                    <w:t>、氨氮、粪大肠菌群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0"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2662" w:type="dxa"/>
                  <w:tcBorders>
                    <w:tl2br w:val="nil"/>
                    <w:tr2bl w:val="nil"/>
                  </w:tcBorders>
                  <w:noWrap w:val="0"/>
                  <w:vAlign w:val="center"/>
                </w:tcPr>
                <w:p>
                  <w:pPr>
                    <w:adjustRightInd w:val="0"/>
                    <w:snapToGrid w:val="0"/>
                    <w:spacing w:line="360" w:lineRule="exact"/>
                    <w:jc w:val="center"/>
                    <w:rPr>
                      <w:kern w:val="24"/>
                      <w:szCs w:val="21"/>
                      <w:highlight w:val="none"/>
                    </w:rPr>
                  </w:pPr>
                  <w:r>
                    <w:rPr>
                      <w:rFonts w:hAnsi="宋体"/>
                      <w:kern w:val="24"/>
                      <w:szCs w:val="21"/>
                      <w:highlight w:val="none"/>
                    </w:rPr>
                    <w:t>生活</w:t>
                  </w:r>
                  <w:r>
                    <w:rPr>
                      <w:rFonts w:hint="eastAsia" w:hAnsi="宋体"/>
                      <w:kern w:val="24"/>
                      <w:szCs w:val="21"/>
                      <w:highlight w:val="none"/>
                      <w:lang w:eastAsia="zh-CN"/>
                    </w:rPr>
                    <w:t>污</w:t>
                  </w:r>
                  <w:r>
                    <w:rPr>
                      <w:rFonts w:hAnsi="宋体"/>
                      <w:kern w:val="24"/>
                      <w:szCs w:val="21"/>
                      <w:highlight w:val="none"/>
                    </w:rPr>
                    <w:t>水</w:t>
                  </w:r>
                </w:p>
              </w:tc>
              <w:tc>
                <w:tcPr>
                  <w:tcW w:w="3989" w:type="dxa"/>
                  <w:tcBorders>
                    <w:tl2br w:val="nil"/>
                    <w:tr2bl w:val="nil"/>
                  </w:tcBorders>
                  <w:noWrap w:val="0"/>
                  <w:vAlign w:val="center"/>
                </w:tcPr>
                <w:p>
                  <w:pPr>
                    <w:tabs>
                      <w:tab w:val="center" w:pos="1948"/>
                      <w:tab w:val="right" w:pos="3773"/>
                    </w:tabs>
                    <w:adjustRightInd w:val="0"/>
                    <w:snapToGrid w:val="0"/>
                    <w:spacing w:line="360" w:lineRule="exact"/>
                    <w:ind w:firstLine="210" w:firstLineChars="100"/>
                    <w:jc w:val="left"/>
                    <w:rPr>
                      <w:rFonts w:hint="eastAsia" w:eastAsia="宋体"/>
                      <w:kern w:val="24"/>
                      <w:szCs w:val="21"/>
                      <w:highlight w:val="none"/>
                      <w:lang w:eastAsia="zh-CN"/>
                    </w:rPr>
                  </w:pPr>
                  <w:r>
                    <w:rPr>
                      <w:szCs w:val="21"/>
                      <w:highlight w:val="none"/>
                    </w:rPr>
                    <w:t>COD</w:t>
                  </w:r>
                  <w:r>
                    <w:rPr>
                      <w:rFonts w:hAnsi="宋体"/>
                      <w:szCs w:val="21"/>
                      <w:highlight w:val="none"/>
                    </w:rPr>
                    <w:t>、</w:t>
                  </w:r>
                  <w:r>
                    <w:rPr>
                      <w:szCs w:val="21"/>
                      <w:highlight w:val="none"/>
                    </w:rPr>
                    <w:t>BOD</w:t>
                  </w:r>
                  <w:r>
                    <w:rPr>
                      <w:rFonts w:hAnsi="宋体"/>
                      <w:szCs w:val="21"/>
                      <w:highlight w:val="none"/>
                    </w:rPr>
                    <w:t>、</w:t>
                  </w:r>
                  <w:r>
                    <w:rPr>
                      <w:szCs w:val="21"/>
                      <w:highlight w:val="none"/>
                    </w:rPr>
                    <w:t>SS</w:t>
                  </w:r>
                  <w:r>
                    <w:rPr>
                      <w:rFonts w:hAnsi="宋体"/>
                      <w:szCs w:val="21"/>
                      <w:highlight w:val="none"/>
                    </w:rPr>
                    <w:t>、氨氮</w:t>
                  </w:r>
                  <w:r>
                    <w:rPr>
                      <w:rFonts w:hint="eastAsia" w:hAnsi="宋体"/>
                      <w:szCs w:val="21"/>
                      <w:highlight w:val="none"/>
                      <w:lang w:eastAsia="zh-CN"/>
                    </w:rPr>
                    <w:t>、</w:t>
                  </w:r>
                  <w:r>
                    <w:rPr>
                      <w:rFonts w:hAnsi="宋体"/>
                      <w:szCs w:val="21"/>
                      <w:highlight w:val="none"/>
                    </w:rPr>
                    <w:t>粪大肠菌群</w:t>
                  </w:r>
                  <w:r>
                    <w:rPr>
                      <w:rFonts w:hint="eastAsia" w:hAnsi="宋体"/>
                      <w:szCs w:val="21"/>
                      <w:highlight w:val="none"/>
                      <w:lang w:eastAsia="zh-CN"/>
                    </w:rP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0"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2662" w:type="dxa"/>
                  <w:tcBorders>
                    <w:tl2br w:val="nil"/>
                    <w:tr2bl w:val="nil"/>
                  </w:tcBorders>
                  <w:noWrap w:val="0"/>
                  <w:vAlign w:val="center"/>
                </w:tcPr>
                <w:p>
                  <w:pPr>
                    <w:adjustRightInd w:val="0"/>
                    <w:snapToGrid w:val="0"/>
                    <w:spacing w:line="360" w:lineRule="exact"/>
                    <w:jc w:val="center"/>
                    <w:rPr>
                      <w:rFonts w:hint="eastAsia" w:hAnsi="宋体" w:eastAsia="宋体"/>
                      <w:kern w:val="24"/>
                      <w:szCs w:val="21"/>
                      <w:highlight w:val="none"/>
                      <w:lang w:eastAsia="zh-CN"/>
                    </w:rPr>
                  </w:pPr>
                  <w:r>
                    <w:rPr>
                      <w:rFonts w:hint="eastAsia" w:hAnsi="宋体"/>
                      <w:kern w:val="24"/>
                      <w:szCs w:val="21"/>
                      <w:highlight w:val="none"/>
                      <w:lang w:eastAsia="zh-CN"/>
                    </w:rPr>
                    <w:t>洗衣废水</w:t>
                  </w:r>
                </w:p>
              </w:tc>
              <w:tc>
                <w:tcPr>
                  <w:tcW w:w="3989" w:type="dxa"/>
                  <w:tcBorders>
                    <w:tl2br w:val="nil"/>
                    <w:tr2bl w:val="nil"/>
                  </w:tcBorders>
                  <w:noWrap w:val="0"/>
                  <w:vAlign w:val="center"/>
                </w:tcPr>
                <w:p>
                  <w:pPr>
                    <w:adjustRightInd w:val="0"/>
                    <w:snapToGrid w:val="0"/>
                    <w:spacing w:line="360" w:lineRule="exact"/>
                    <w:jc w:val="center"/>
                    <w:rPr>
                      <w:rFonts w:hint="eastAsia" w:eastAsia="宋体"/>
                      <w:szCs w:val="21"/>
                      <w:highlight w:val="none"/>
                      <w:lang w:eastAsia="zh-CN"/>
                    </w:rPr>
                  </w:pPr>
                  <w:r>
                    <w:rPr>
                      <w:rFonts w:hint="eastAsia"/>
                      <w:szCs w:val="21"/>
                      <w:highlight w:val="none"/>
                    </w:rPr>
                    <w:t>COD、BOD、SS、</w:t>
                  </w:r>
                  <w:r>
                    <w:rPr>
                      <w:rFonts w:hint="eastAsia"/>
                      <w:szCs w:val="21"/>
                      <w:highlight w:val="none"/>
                      <w:lang w:eastAsia="zh-CN"/>
                    </w:rPr>
                    <w:t>阴离子表面活性剂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vMerge w:val="restart"/>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固废</w:t>
                  </w:r>
                </w:p>
              </w:tc>
              <w:tc>
                <w:tcPr>
                  <w:tcW w:w="2662" w:type="dxa"/>
                  <w:tcBorders>
                    <w:tl2br w:val="nil"/>
                    <w:tr2bl w:val="nil"/>
                  </w:tcBorders>
                  <w:noWrap w:val="0"/>
                  <w:vAlign w:val="center"/>
                </w:tcPr>
                <w:p>
                  <w:pPr>
                    <w:adjustRightInd w:val="0"/>
                    <w:snapToGrid w:val="0"/>
                    <w:spacing w:line="360" w:lineRule="exact"/>
                    <w:jc w:val="center"/>
                    <w:rPr>
                      <w:rFonts w:hint="eastAsia"/>
                      <w:szCs w:val="21"/>
                      <w:highlight w:val="none"/>
                    </w:rPr>
                  </w:pPr>
                  <w:r>
                    <w:rPr>
                      <w:rFonts w:hint="eastAsia" w:hAnsi="宋体"/>
                      <w:szCs w:val="21"/>
                      <w:highlight w:val="none"/>
                    </w:rPr>
                    <w:t>体检、健康养护</w:t>
                  </w:r>
                </w:p>
              </w:tc>
              <w:tc>
                <w:tcPr>
                  <w:tcW w:w="3989" w:type="dxa"/>
                  <w:tcBorders>
                    <w:tl2br w:val="nil"/>
                    <w:tr2bl w:val="nil"/>
                  </w:tcBorders>
                  <w:noWrap w:val="0"/>
                  <w:vAlign w:val="center"/>
                </w:tcPr>
                <w:p>
                  <w:pPr>
                    <w:adjustRightInd w:val="0"/>
                    <w:snapToGrid w:val="0"/>
                    <w:spacing w:line="360" w:lineRule="exact"/>
                    <w:jc w:val="center"/>
                    <w:rPr>
                      <w:szCs w:val="21"/>
                      <w:highlight w:val="none"/>
                    </w:rPr>
                  </w:pPr>
                  <w:r>
                    <w:rPr>
                      <w:rFonts w:hAnsi="宋体"/>
                      <w:szCs w:val="21"/>
                      <w:highlight w:val="none"/>
                    </w:rPr>
                    <w:t>医疗废物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4"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vMerge w:val="continue"/>
                  <w:tcBorders>
                    <w:tl2br w:val="nil"/>
                    <w:tr2bl w:val="nil"/>
                  </w:tcBorders>
                  <w:noWrap w:val="0"/>
                  <w:vAlign w:val="center"/>
                </w:tcPr>
                <w:p>
                  <w:pPr>
                    <w:adjustRightInd w:val="0"/>
                    <w:snapToGrid w:val="0"/>
                    <w:spacing w:line="360" w:lineRule="exact"/>
                    <w:jc w:val="center"/>
                    <w:rPr>
                      <w:rFonts w:hint="eastAsia"/>
                      <w:bCs/>
                      <w:szCs w:val="21"/>
                      <w:highlight w:val="none"/>
                    </w:rPr>
                  </w:pPr>
                </w:p>
              </w:tc>
              <w:tc>
                <w:tcPr>
                  <w:tcW w:w="2662"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Ansi="宋体"/>
                      <w:bCs/>
                      <w:szCs w:val="21"/>
                      <w:highlight w:val="none"/>
                    </w:rPr>
                    <w:t>办公生活</w:t>
                  </w:r>
                </w:p>
              </w:tc>
              <w:tc>
                <w:tcPr>
                  <w:tcW w:w="3989"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Ansi="宋体"/>
                      <w:bCs/>
                      <w:szCs w:val="21"/>
                      <w:highlight w:val="none"/>
                    </w:rPr>
                    <w:t>生活垃圾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4"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vMerge w:val="continue"/>
                  <w:tcBorders>
                    <w:tl2br w:val="nil"/>
                    <w:tr2bl w:val="nil"/>
                  </w:tcBorders>
                  <w:noWrap w:val="0"/>
                  <w:vAlign w:val="center"/>
                </w:tcPr>
                <w:p>
                  <w:pPr>
                    <w:adjustRightInd w:val="0"/>
                    <w:snapToGrid w:val="0"/>
                    <w:spacing w:line="360" w:lineRule="exact"/>
                    <w:jc w:val="center"/>
                    <w:rPr>
                      <w:rFonts w:hint="eastAsia"/>
                      <w:bCs/>
                      <w:szCs w:val="21"/>
                      <w:highlight w:val="none"/>
                    </w:rPr>
                  </w:pPr>
                </w:p>
              </w:tc>
              <w:tc>
                <w:tcPr>
                  <w:tcW w:w="2662" w:type="dxa"/>
                  <w:tcBorders>
                    <w:tl2br w:val="nil"/>
                    <w:tr2bl w:val="nil"/>
                  </w:tcBorders>
                  <w:noWrap w:val="0"/>
                  <w:vAlign w:val="center"/>
                </w:tcPr>
                <w:p>
                  <w:pPr>
                    <w:adjustRightInd w:val="0"/>
                    <w:snapToGrid w:val="0"/>
                    <w:spacing w:line="360" w:lineRule="exact"/>
                    <w:jc w:val="center"/>
                    <w:rPr>
                      <w:rFonts w:hint="eastAsia" w:hAnsi="宋体" w:eastAsia="宋体"/>
                      <w:bCs/>
                      <w:szCs w:val="21"/>
                      <w:highlight w:val="none"/>
                      <w:lang w:eastAsia="zh-CN"/>
                    </w:rPr>
                  </w:pPr>
                  <w:r>
                    <w:rPr>
                      <w:rFonts w:hint="eastAsia" w:hAnsi="宋体"/>
                      <w:bCs/>
                      <w:szCs w:val="21"/>
                      <w:highlight w:val="none"/>
                      <w:lang w:eastAsia="zh-CN"/>
                    </w:rPr>
                    <w:t>化粪池</w:t>
                  </w:r>
                </w:p>
              </w:tc>
              <w:tc>
                <w:tcPr>
                  <w:tcW w:w="3989"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int="eastAsia"/>
                      <w:szCs w:val="21"/>
                      <w:highlight w:val="none"/>
                    </w:rPr>
                    <w:t>化粪池污泥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8" w:hRule="atLeast"/>
              </w:trPr>
              <w:tc>
                <w:tcPr>
                  <w:tcW w:w="1145"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936"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噪声</w:t>
                  </w:r>
                </w:p>
              </w:tc>
              <w:tc>
                <w:tcPr>
                  <w:tcW w:w="2662" w:type="dxa"/>
                  <w:tcBorders>
                    <w:tl2br w:val="nil"/>
                    <w:tr2bl w:val="nil"/>
                  </w:tcBorders>
                  <w:noWrap w:val="0"/>
                  <w:vAlign w:val="center"/>
                </w:tcPr>
                <w:p>
                  <w:pPr>
                    <w:adjustRightInd w:val="0"/>
                    <w:snapToGrid w:val="0"/>
                    <w:spacing w:line="360" w:lineRule="exact"/>
                    <w:jc w:val="center"/>
                    <w:rPr>
                      <w:rFonts w:hAnsi="宋体"/>
                      <w:bCs/>
                      <w:szCs w:val="21"/>
                      <w:highlight w:val="none"/>
                    </w:rPr>
                  </w:pPr>
                  <w:r>
                    <w:rPr>
                      <w:rFonts w:hint="eastAsia" w:hAnsi="宋体"/>
                      <w:bCs/>
                      <w:szCs w:val="21"/>
                      <w:highlight w:val="none"/>
                    </w:rPr>
                    <w:t>空调</w:t>
                  </w:r>
                  <w:r>
                    <w:rPr>
                      <w:rFonts w:hAnsi="宋体"/>
                      <w:bCs/>
                      <w:szCs w:val="21"/>
                      <w:highlight w:val="none"/>
                    </w:rPr>
                    <w:t>风机</w:t>
                  </w:r>
                </w:p>
              </w:tc>
              <w:tc>
                <w:tcPr>
                  <w:tcW w:w="3989" w:type="dxa"/>
                  <w:tcBorders>
                    <w:tl2br w:val="nil"/>
                    <w:tr2bl w:val="nil"/>
                  </w:tcBorders>
                  <w:noWrap w:val="0"/>
                  <w:vAlign w:val="center"/>
                </w:tcPr>
                <w:p>
                  <w:pPr>
                    <w:adjustRightInd w:val="0"/>
                    <w:snapToGrid w:val="0"/>
                    <w:spacing w:line="360" w:lineRule="exact"/>
                    <w:jc w:val="center"/>
                    <w:rPr>
                      <w:rFonts w:hint="eastAsia" w:hAnsi="宋体"/>
                      <w:bCs/>
                      <w:szCs w:val="21"/>
                      <w:highlight w:val="none"/>
                    </w:rPr>
                  </w:pPr>
                  <w:r>
                    <w:rPr>
                      <w:rFonts w:hint="eastAsia" w:hAnsi="宋体"/>
                      <w:bCs/>
                      <w:szCs w:val="21"/>
                      <w:highlight w:val="none"/>
                    </w:rPr>
                    <w:t>A声级</w:t>
                  </w:r>
                </w:p>
              </w:tc>
            </w:tr>
          </w:tbl>
          <w:p>
            <w:pPr>
              <w:rPr>
                <w:rFonts w:hint="eastAsia"/>
                <w:b/>
                <w:sz w:val="28"/>
                <w:highlight w:val="none"/>
              </w:rPr>
            </w:pPr>
          </w:p>
          <w:p>
            <w:pPr>
              <w:rPr>
                <w:rFonts w:hint="eastAsia"/>
                <w:b/>
                <w:sz w:val="28"/>
                <w:highlight w:val="none"/>
              </w:rPr>
            </w:pPr>
          </w:p>
          <w:p>
            <w:pPr>
              <w:rPr>
                <w:rFonts w:hint="eastAsia"/>
                <w:b/>
                <w:sz w:val="28"/>
                <w:highlight w:val="none"/>
              </w:rPr>
            </w:pPr>
          </w:p>
          <w:p>
            <w:pPr>
              <w:rPr>
                <w:rFonts w:hint="eastAsia"/>
                <w:b/>
                <w:sz w:val="28"/>
                <w:highlight w:val="none"/>
              </w:rPr>
            </w:pPr>
          </w:p>
          <w:p>
            <w:pPr>
              <w:rPr>
                <w:rFonts w:hint="eastAsia"/>
                <w:b/>
                <w:sz w:val="28"/>
                <w:highlight w:val="none"/>
              </w:rPr>
            </w:pPr>
          </w:p>
          <w:p>
            <w:pPr>
              <w:rPr>
                <w:rFonts w:hint="eastAsia"/>
                <w:b/>
                <w:sz w:val="28"/>
                <w:highlight w:val="none"/>
              </w:rPr>
            </w:pPr>
          </w:p>
          <w:p>
            <w:pPr>
              <w:rPr>
                <w:rFonts w:hint="eastAsia"/>
                <w:b/>
                <w:sz w:val="28"/>
                <w:highlight w:val="none"/>
              </w:rPr>
            </w:pPr>
          </w:p>
          <w:p>
            <w:pPr>
              <w:rPr>
                <w:rFonts w:hint="eastAsia"/>
                <w:b/>
                <w:sz w:val="28"/>
                <w:highlight w:val="none"/>
              </w:rPr>
            </w:pPr>
          </w:p>
        </w:tc>
      </w:tr>
    </w:tbl>
    <w:p>
      <w:pPr>
        <w:pStyle w:val="46"/>
        <w:jc w:val="left"/>
        <w:outlineLvl w:val="0"/>
        <w:rPr>
          <w:rFonts w:eastAsia="黑体"/>
          <w:spacing w:val="0"/>
          <w:szCs w:val="32"/>
          <w:highlight w:val="none"/>
        </w:rPr>
      </w:pPr>
      <w:r>
        <w:rPr>
          <w:rFonts w:eastAsia="黑体"/>
          <w:spacing w:val="0"/>
          <w:szCs w:val="32"/>
          <w:highlight w:val="none"/>
        </w:rPr>
        <w:t>项目主要污染物产生及预计排放情况</w:t>
      </w:r>
    </w:p>
    <w:tbl>
      <w:tblPr>
        <w:tblStyle w:val="36"/>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65"/>
        <w:gridCol w:w="1909"/>
        <w:gridCol w:w="2095"/>
        <w:gridCol w:w="28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80" w:type="dxa"/>
            <w:tcBorders>
              <w:tl2br w:val="single" w:color="auto" w:sz="4" w:space="0"/>
            </w:tcBorders>
            <w:noWrap w:val="0"/>
            <w:vAlign w:val="center"/>
          </w:tcPr>
          <w:p>
            <w:pPr>
              <w:spacing w:line="300" w:lineRule="exact"/>
              <w:jc w:val="center"/>
              <w:rPr>
                <w:b w:val="0"/>
                <w:bCs w:val="0"/>
                <w:szCs w:val="21"/>
                <w:highlight w:val="none"/>
              </w:rPr>
            </w:pPr>
            <w:r>
              <w:rPr>
                <w:rFonts w:hint="eastAsia" w:hAnsi="宋体"/>
                <w:b w:val="0"/>
                <w:bCs w:val="0"/>
                <w:szCs w:val="21"/>
                <w:highlight w:val="none"/>
              </w:rPr>
              <w:t xml:space="preserve">    </w:t>
            </w:r>
            <w:r>
              <w:rPr>
                <w:rFonts w:hAnsi="宋体"/>
                <w:b w:val="0"/>
                <w:bCs w:val="0"/>
                <w:szCs w:val="21"/>
                <w:highlight w:val="none"/>
              </w:rPr>
              <w:t>内容</w:t>
            </w:r>
          </w:p>
          <w:p>
            <w:pPr>
              <w:spacing w:line="300" w:lineRule="exact"/>
              <w:rPr>
                <w:b w:val="0"/>
                <w:bCs w:val="0"/>
                <w:szCs w:val="21"/>
                <w:highlight w:val="none"/>
              </w:rPr>
            </w:pPr>
            <w:r>
              <w:rPr>
                <w:rFonts w:hAnsi="宋体"/>
                <w:b w:val="0"/>
                <w:bCs w:val="0"/>
                <w:szCs w:val="21"/>
                <w:highlight w:val="none"/>
              </w:rPr>
              <w:t>类型</w:t>
            </w:r>
          </w:p>
        </w:tc>
        <w:tc>
          <w:tcPr>
            <w:tcW w:w="1065" w:type="dxa"/>
            <w:noWrap w:val="0"/>
            <w:vAlign w:val="center"/>
          </w:tcPr>
          <w:p>
            <w:pPr>
              <w:widowControl/>
              <w:spacing w:line="300" w:lineRule="exact"/>
              <w:jc w:val="center"/>
              <w:rPr>
                <w:b w:val="0"/>
                <w:bCs w:val="0"/>
                <w:szCs w:val="21"/>
                <w:highlight w:val="none"/>
              </w:rPr>
            </w:pPr>
            <w:r>
              <w:rPr>
                <w:rFonts w:hAnsi="宋体"/>
                <w:b w:val="0"/>
                <w:bCs w:val="0"/>
                <w:szCs w:val="21"/>
                <w:highlight w:val="none"/>
              </w:rPr>
              <w:t>排放源</w:t>
            </w:r>
          </w:p>
        </w:tc>
        <w:tc>
          <w:tcPr>
            <w:tcW w:w="1909" w:type="dxa"/>
            <w:noWrap w:val="0"/>
            <w:vAlign w:val="center"/>
          </w:tcPr>
          <w:p>
            <w:pPr>
              <w:adjustRightInd w:val="0"/>
              <w:spacing w:line="300" w:lineRule="exact"/>
              <w:jc w:val="center"/>
              <w:rPr>
                <w:b w:val="0"/>
                <w:bCs w:val="0"/>
                <w:szCs w:val="21"/>
                <w:highlight w:val="none"/>
              </w:rPr>
            </w:pPr>
            <w:r>
              <w:rPr>
                <w:rFonts w:hAnsi="宋体"/>
                <w:b w:val="0"/>
                <w:bCs w:val="0"/>
                <w:szCs w:val="21"/>
                <w:highlight w:val="none"/>
              </w:rPr>
              <w:t>污染物</w:t>
            </w:r>
          </w:p>
          <w:p>
            <w:pPr>
              <w:adjustRightInd w:val="0"/>
              <w:spacing w:line="300" w:lineRule="exact"/>
              <w:jc w:val="center"/>
              <w:rPr>
                <w:b w:val="0"/>
                <w:bCs w:val="0"/>
                <w:szCs w:val="21"/>
                <w:highlight w:val="none"/>
              </w:rPr>
            </w:pPr>
            <w:r>
              <w:rPr>
                <w:rFonts w:hAnsi="宋体"/>
                <w:b w:val="0"/>
                <w:bCs w:val="0"/>
                <w:szCs w:val="21"/>
                <w:highlight w:val="none"/>
              </w:rPr>
              <w:t>名称</w:t>
            </w:r>
          </w:p>
        </w:tc>
        <w:tc>
          <w:tcPr>
            <w:tcW w:w="2095" w:type="dxa"/>
            <w:noWrap w:val="0"/>
            <w:vAlign w:val="center"/>
          </w:tcPr>
          <w:p>
            <w:pPr>
              <w:adjustRightInd w:val="0"/>
              <w:spacing w:line="300" w:lineRule="exact"/>
              <w:jc w:val="center"/>
              <w:rPr>
                <w:b w:val="0"/>
                <w:bCs w:val="0"/>
                <w:szCs w:val="21"/>
                <w:highlight w:val="none"/>
              </w:rPr>
            </w:pPr>
            <w:r>
              <w:rPr>
                <w:rFonts w:hAnsi="宋体"/>
                <w:b w:val="0"/>
                <w:bCs w:val="0"/>
                <w:szCs w:val="21"/>
                <w:highlight w:val="none"/>
              </w:rPr>
              <w:t>处理前产生浓度及产生量</w:t>
            </w:r>
            <w:r>
              <w:rPr>
                <w:b w:val="0"/>
                <w:bCs w:val="0"/>
                <w:szCs w:val="21"/>
                <w:highlight w:val="none"/>
              </w:rPr>
              <w:t>(</w:t>
            </w:r>
            <w:r>
              <w:rPr>
                <w:rFonts w:hAnsi="宋体"/>
                <w:b w:val="0"/>
                <w:bCs w:val="0"/>
                <w:szCs w:val="21"/>
                <w:highlight w:val="none"/>
              </w:rPr>
              <w:t>单位</w:t>
            </w:r>
            <w:r>
              <w:rPr>
                <w:b w:val="0"/>
                <w:bCs w:val="0"/>
                <w:szCs w:val="21"/>
                <w:highlight w:val="none"/>
              </w:rPr>
              <w:t>)</w:t>
            </w:r>
          </w:p>
        </w:tc>
        <w:tc>
          <w:tcPr>
            <w:tcW w:w="2871" w:type="dxa"/>
            <w:noWrap w:val="0"/>
            <w:vAlign w:val="center"/>
          </w:tcPr>
          <w:p>
            <w:pPr>
              <w:spacing w:line="300" w:lineRule="exact"/>
              <w:jc w:val="center"/>
              <w:rPr>
                <w:b w:val="0"/>
                <w:bCs w:val="0"/>
                <w:szCs w:val="21"/>
                <w:highlight w:val="none"/>
              </w:rPr>
            </w:pPr>
            <w:r>
              <w:rPr>
                <w:rFonts w:hAnsi="宋体"/>
                <w:b w:val="0"/>
                <w:bCs w:val="0"/>
                <w:szCs w:val="21"/>
                <w:highlight w:val="none"/>
              </w:rPr>
              <w:t>排放浓度及排放量</w:t>
            </w:r>
          </w:p>
          <w:p>
            <w:pPr>
              <w:spacing w:line="300" w:lineRule="exact"/>
              <w:jc w:val="center"/>
              <w:rPr>
                <w:b w:val="0"/>
                <w:bCs w:val="0"/>
                <w:szCs w:val="21"/>
                <w:highlight w:val="none"/>
              </w:rPr>
            </w:pPr>
            <w:r>
              <w:rPr>
                <w:b w:val="0"/>
                <w:bCs w:val="0"/>
                <w:szCs w:val="21"/>
                <w:highlight w:val="none"/>
              </w:rPr>
              <w:t>(</w:t>
            </w:r>
            <w:r>
              <w:rPr>
                <w:rFonts w:hAnsi="宋体"/>
                <w:b w:val="0"/>
                <w:bCs w:val="0"/>
                <w:szCs w:val="21"/>
                <w:highlight w:val="none"/>
              </w:rPr>
              <w:t>单位</w:t>
            </w:r>
            <w:r>
              <w:rPr>
                <w:b w:val="0"/>
                <w:bCs w:val="0"/>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080" w:type="dxa"/>
            <w:vMerge w:val="restart"/>
            <w:noWrap w:val="0"/>
            <w:vAlign w:val="center"/>
          </w:tcPr>
          <w:p>
            <w:pPr>
              <w:spacing w:line="360" w:lineRule="exact"/>
              <w:jc w:val="center"/>
              <w:rPr>
                <w:szCs w:val="21"/>
                <w:highlight w:val="none"/>
              </w:rPr>
            </w:pPr>
            <w:r>
              <w:rPr>
                <w:rFonts w:hAnsi="宋体"/>
                <w:szCs w:val="21"/>
                <w:highlight w:val="none"/>
              </w:rPr>
              <w:t>水</w:t>
            </w:r>
          </w:p>
          <w:p>
            <w:pPr>
              <w:spacing w:line="360" w:lineRule="exact"/>
              <w:jc w:val="center"/>
              <w:rPr>
                <w:szCs w:val="21"/>
                <w:highlight w:val="none"/>
              </w:rPr>
            </w:pPr>
            <w:r>
              <w:rPr>
                <w:rFonts w:hAnsi="宋体"/>
                <w:szCs w:val="21"/>
                <w:highlight w:val="none"/>
              </w:rPr>
              <w:t>污</w:t>
            </w:r>
          </w:p>
          <w:p>
            <w:pPr>
              <w:spacing w:line="360" w:lineRule="exact"/>
              <w:jc w:val="center"/>
              <w:rPr>
                <w:szCs w:val="21"/>
                <w:highlight w:val="none"/>
              </w:rPr>
            </w:pPr>
            <w:r>
              <w:rPr>
                <w:rFonts w:hAnsi="宋体"/>
                <w:szCs w:val="21"/>
                <w:highlight w:val="none"/>
              </w:rPr>
              <w:t>染</w:t>
            </w:r>
          </w:p>
          <w:p>
            <w:pPr>
              <w:spacing w:line="360" w:lineRule="exact"/>
              <w:jc w:val="center"/>
              <w:rPr>
                <w:szCs w:val="21"/>
                <w:highlight w:val="none"/>
              </w:rPr>
            </w:pPr>
            <w:r>
              <w:rPr>
                <w:rFonts w:hAnsi="宋体"/>
                <w:szCs w:val="21"/>
                <w:highlight w:val="none"/>
              </w:rPr>
              <w:t>物</w:t>
            </w:r>
          </w:p>
        </w:tc>
        <w:tc>
          <w:tcPr>
            <w:tcW w:w="1065" w:type="dxa"/>
            <w:vMerge w:val="restart"/>
            <w:noWrap w:val="0"/>
            <w:vAlign w:val="center"/>
          </w:tcPr>
          <w:p>
            <w:pPr>
              <w:spacing w:line="360" w:lineRule="exact"/>
              <w:jc w:val="center"/>
              <w:rPr>
                <w:rFonts w:hint="eastAsia"/>
                <w:bCs/>
                <w:szCs w:val="21"/>
                <w:highlight w:val="none"/>
              </w:rPr>
            </w:pPr>
            <w:r>
              <w:rPr>
                <w:rFonts w:hAnsi="宋体"/>
                <w:szCs w:val="21"/>
                <w:highlight w:val="none"/>
              </w:rPr>
              <w:t>废水</w:t>
            </w:r>
          </w:p>
        </w:tc>
        <w:tc>
          <w:tcPr>
            <w:tcW w:w="1909" w:type="dxa"/>
            <w:noWrap w:val="0"/>
            <w:vAlign w:val="center"/>
          </w:tcPr>
          <w:p>
            <w:pPr>
              <w:adjustRightInd w:val="0"/>
              <w:snapToGrid w:val="0"/>
              <w:spacing w:line="360" w:lineRule="exact"/>
              <w:jc w:val="center"/>
              <w:rPr>
                <w:szCs w:val="21"/>
                <w:highlight w:val="none"/>
              </w:rPr>
            </w:pPr>
            <w:r>
              <w:rPr>
                <w:rFonts w:hAnsi="宋体"/>
                <w:szCs w:val="21"/>
                <w:highlight w:val="none"/>
              </w:rPr>
              <w:t>废水量</w:t>
            </w:r>
          </w:p>
        </w:tc>
        <w:tc>
          <w:tcPr>
            <w:tcW w:w="2095" w:type="dxa"/>
            <w:noWrap w:val="0"/>
            <w:vAlign w:val="center"/>
          </w:tcPr>
          <w:p>
            <w:pPr>
              <w:adjustRightInd w:val="0"/>
              <w:snapToGrid w:val="0"/>
              <w:spacing w:line="360" w:lineRule="exact"/>
              <w:jc w:val="center"/>
              <w:rPr>
                <w:szCs w:val="21"/>
                <w:highlight w:val="none"/>
              </w:rPr>
            </w:pPr>
            <w:r>
              <w:rPr>
                <w:rFonts w:hint="eastAsia"/>
                <w:szCs w:val="21"/>
                <w:highlight w:val="none"/>
              </w:rPr>
              <w:t>4620m</w:t>
            </w:r>
            <w:r>
              <w:rPr>
                <w:rFonts w:hint="eastAsia"/>
                <w:szCs w:val="21"/>
                <w:highlight w:val="none"/>
                <w:vertAlign w:val="superscript"/>
              </w:rPr>
              <w:t>3</w:t>
            </w:r>
            <w:r>
              <w:rPr>
                <w:rFonts w:hint="eastAsia"/>
                <w:szCs w:val="21"/>
                <w:highlight w:val="none"/>
              </w:rPr>
              <w:t>/a</w:t>
            </w:r>
          </w:p>
        </w:tc>
        <w:tc>
          <w:tcPr>
            <w:tcW w:w="2871" w:type="dxa"/>
            <w:noWrap w:val="0"/>
            <w:vAlign w:val="center"/>
          </w:tcPr>
          <w:p>
            <w:pPr>
              <w:pStyle w:val="87"/>
              <w:tabs>
                <w:tab w:val="center" w:pos="4153"/>
                <w:tab w:val="right" w:pos="8306"/>
              </w:tabs>
              <w:snapToGrid w:val="0"/>
              <w:spacing w:after="0" w:line="360" w:lineRule="exact"/>
              <w:jc w:val="center"/>
              <w:rPr>
                <w:szCs w:val="21"/>
                <w:highlight w:val="none"/>
              </w:rPr>
            </w:pPr>
            <w:r>
              <w:rPr>
                <w:rFonts w:hint="eastAsia"/>
                <w:szCs w:val="21"/>
                <w:highlight w:val="none"/>
              </w:rPr>
              <w:t>4620m</w:t>
            </w:r>
            <w:r>
              <w:rPr>
                <w:rFonts w:hint="eastAsia"/>
                <w:szCs w:val="21"/>
                <w:highlight w:val="none"/>
                <w:vertAlign w:val="superscript"/>
              </w:rPr>
              <w:t>3</w:t>
            </w:r>
            <w:r>
              <w:rPr>
                <w:rFonts w:hint="eastAsia"/>
                <w:szCs w:val="21"/>
                <w:highlight w:val="none"/>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080" w:type="dxa"/>
            <w:vMerge w:val="continue"/>
            <w:noWrap w:val="0"/>
            <w:vAlign w:val="center"/>
          </w:tcPr>
          <w:p>
            <w:pPr>
              <w:spacing w:line="360" w:lineRule="exact"/>
              <w:jc w:val="center"/>
              <w:rPr>
                <w:szCs w:val="21"/>
                <w:highlight w:val="none"/>
              </w:rPr>
            </w:pPr>
          </w:p>
        </w:tc>
        <w:tc>
          <w:tcPr>
            <w:tcW w:w="1065" w:type="dxa"/>
            <w:vMerge w:val="continue"/>
            <w:noWrap w:val="0"/>
            <w:vAlign w:val="center"/>
          </w:tcPr>
          <w:p>
            <w:pPr>
              <w:spacing w:line="360" w:lineRule="exact"/>
              <w:jc w:val="center"/>
              <w:rPr>
                <w:szCs w:val="21"/>
                <w:highlight w:val="none"/>
              </w:rPr>
            </w:pPr>
          </w:p>
        </w:tc>
        <w:tc>
          <w:tcPr>
            <w:tcW w:w="1909" w:type="dxa"/>
            <w:noWrap w:val="0"/>
            <w:vAlign w:val="center"/>
          </w:tcPr>
          <w:p>
            <w:pPr>
              <w:adjustRightInd w:val="0"/>
              <w:snapToGrid w:val="0"/>
              <w:spacing w:line="360" w:lineRule="exact"/>
              <w:jc w:val="center"/>
              <w:rPr>
                <w:szCs w:val="21"/>
                <w:highlight w:val="none"/>
              </w:rPr>
            </w:pPr>
            <w:r>
              <w:rPr>
                <w:szCs w:val="21"/>
                <w:highlight w:val="none"/>
              </w:rPr>
              <w:t>COD</w:t>
            </w:r>
          </w:p>
        </w:tc>
        <w:tc>
          <w:tcPr>
            <w:tcW w:w="2095" w:type="dxa"/>
            <w:noWrap w:val="0"/>
            <w:vAlign w:val="center"/>
          </w:tcPr>
          <w:p>
            <w:pPr>
              <w:adjustRightInd w:val="0"/>
              <w:snapToGrid w:val="0"/>
              <w:spacing w:line="360" w:lineRule="exact"/>
              <w:jc w:val="center"/>
              <w:rPr>
                <w:szCs w:val="21"/>
                <w:highlight w:val="none"/>
              </w:rPr>
            </w:pPr>
            <w:r>
              <w:rPr>
                <w:szCs w:val="21"/>
                <w:highlight w:val="none"/>
              </w:rPr>
              <w:t>300mg/L</w:t>
            </w:r>
            <w:r>
              <w:rPr>
                <w:rFonts w:hAnsi="宋体"/>
                <w:szCs w:val="21"/>
                <w:highlight w:val="none"/>
              </w:rPr>
              <w:t>、</w:t>
            </w:r>
            <w:r>
              <w:rPr>
                <w:rFonts w:hint="eastAsia"/>
                <w:color w:val="000000"/>
                <w:szCs w:val="21"/>
                <w:highlight w:val="none"/>
              </w:rPr>
              <w:t>1.39</w:t>
            </w:r>
            <w:r>
              <w:rPr>
                <w:color w:val="000000"/>
                <w:szCs w:val="21"/>
                <w:highlight w:val="none"/>
              </w:rPr>
              <w:t>t</w:t>
            </w:r>
            <w:r>
              <w:rPr>
                <w:szCs w:val="21"/>
                <w:highlight w:val="none"/>
              </w:rPr>
              <w:t>/a</w:t>
            </w:r>
          </w:p>
        </w:tc>
        <w:tc>
          <w:tcPr>
            <w:tcW w:w="2871" w:type="dxa"/>
            <w:noWrap w:val="0"/>
            <w:vAlign w:val="center"/>
          </w:tcPr>
          <w:p>
            <w:pPr>
              <w:snapToGrid w:val="0"/>
              <w:spacing w:line="360" w:lineRule="exact"/>
              <w:jc w:val="center"/>
              <w:rPr>
                <w:szCs w:val="21"/>
                <w:highlight w:val="none"/>
              </w:rPr>
            </w:pPr>
            <w:r>
              <w:rPr>
                <w:rFonts w:hint="eastAsia"/>
                <w:szCs w:val="21"/>
                <w:highlight w:val="none"/>
              </w:rPr>
              <w:t>2</w:t>
            </w:r>
            <w:r>
              <w:rPr>
                <w:rFonts w:hint="eastAsia"/>
                <w:szCs w:val="21"/>
                <w:highlight w:val="none"/>
                <w:lang w:val="en-US" w:eastAsia="zh-CN"/>
              </w:rPr>
              <w:t>05</w:t>
            </w:r>
            <w:r>
              <w:rPr>
                <w:szCs w:val="21"/>
                <w:highlight w:val="none"/>
              </w:rPr>
              <w:t>mg/L、</w:t>
            </w:r>
            <w:r>
              <w:rPr>
                <w:rFonts w:hint="eastAsia"/>
                <w:szCs w:val="21"/>
                <w:highlight w:val="none"/>
                <w:lang w:val="en-US" w:eastAsia="zh-CN"/>
              </w:rPr>
              <w:t>0.95</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jc w:val="center"/>
        </w:trPr>
        <w:tc>
          <w:tcPr>
            <w:tcW w:w="1080" w:type="dxa"/>
            <w:vMerge w:val="continue"/>
            <w:noWrap w:val="0"/>
            <w:vAlign w:val="center"/>
          </w:tcPr>
          <w:p>
            <w:pPr>
              <w:spacing w:line="360" w:lineRule="exact"/>
              <w:jc w:val="center"/>
              <w:rPr>
                <w:szCs w:val="21"/>
                <w:highlight w:val="none"/>
              </w:rPr>
            </w:pPr>
          </w:p>
        </w:tc>
        <w:tc>
          <w:tcPr>
            <w:tcW w:w="1065" w:type="dxa"/>
            <w:vMerge w:val="continue"/>
            <w:noWrap w:val="0"/>
            <w:vAlign w:val="center"/>
          </w:tcPr>
          <w:p>
            <w:pPr>
              <w:spacing w:line="360" w:lineRule="exact"/>
              <w:jc w:val="center"/>
              <w:rPr>
                <w:szCs w:val="21"/>
                <w:highlight w:val="none"/>
              </w:rPr>
            </w:pPr>
          </w:p>
        </w:tc>
        <w:tc>
          <w:tcPr>
            <w:tcW w:w="1909" w:type="dxa"/>
            <w:noWrap w:val="0"/>
            <w:vAlign w:val="center"/>
          </w:tcPr>
          <w:p>
            <w:pPr>
              <w:adjustRightInd w:val="0"/>
              <w:snapToGrid w:val="0"/>
              <w:spacing w:line="360" w:lineRule="exact"/>
              <w:jc w:val="center"/>
              <w:rPr>
                <w:szCs w:val="21"/>
                <w:highlight w:val="none"/>
              </w:rPr>
            </w:pPr>
            <w:r>
              <w:rPr>
                <w:szCs w:val="21"/>
                <w:highlight w:val="none"/>
              </w:rPr>
              <w:t>BOD</w:t>
            </w:r>
          </w:p>
        </w:tc>
        <w:tc>
          <w:tcPr>
            <w:tcW w:w="2095" w:type="dxa"/>
            <w:noWrap w:val="0"/>
            <w:vAlign w:val="center"/>
          </w:tcPr>
          <w:p>
            <w:pPr>
              <w:adjustRightInd w:val="0"/>
              <w:snapToGrid w:val="0"/>
              <w:spacing w:line="360" w:lineRule="exact"/>
              <w:jc w:val="center"/>
              <w:rPr>
                <w:szCs w:val="21"/>
                <w:highlight w:val="none"/>
              </w:rPr>
            </w:pPr>
            <w:r>
              <w:rPr>
                <w:szCs w:val="21"/>
                <w:highlight w:val="none"/>
              </w:rPr>
              <w:t>150mg/L</w:t>
            </w:r>
            <w:r>
              <w:rPr>
                <w:rFonts w:hAnsi="宋体"/>
                <w:szCs w:val="21"/>
                <w:highlight w:val="none"/>
              </w:rPr>
              <w:t>、</w:t>
            </w:r>
            <w:r>
              <w:rPr>
                <w:rFonts w:hint="eastAsia"/>
                <w:szCs w:val="21"/>
                <w:highlight w:val="none"/>
              </w:rPr>
              <w:t>0.69</w:t>
            </w:r>
            <w:r>
              <w:rPr>
                <w:szCs w:val="21"/>
                <w:highlight w:val="none"/>
              </w:rPr>
              <w:t>t/a</w:t>
            </w:r>
          </w:p>
        </w:tc>
        <w:tc>
          <w:tcPr>
            <w:tcW w:w="2871" w:type="dxa"/>
            <w:noWrap w:val="0"/>
            <w:vAlign w:val="center"/>
          </w:tcPr>
          <w:p>
            <w:pPr>
              <w:snapToGrid w:val="0"/>
              <w:spacing w:line="360" w:lineRule="exact"/>
              <w:jc w:val="center"/>
              <w:rPr>
                <w:szCs w:val="21"/>
                <w:highlight w:val="none"/>
              </w:rPr>
            </w:pPr>
            <w:r>
              <w:rPr>
                <w:rFonts w:hint="eastAsia"/>
                <w:szCs w:val="21"/>
                <w:highlight w:val="none"/>
                <w:lang w:val="en-US" w:eastAsia="zh-CN"/>
              </w:rPr>
              <w:t>95</w:t>
            </w:r>
            <w:r>
              <w:rPr>
                <w:szCs w:val="21"/>
                <w:highlight w:val="none"/>
              </w:rPr>
              <w:t>mg/L、</w:t>
            </w:r>
            <w:r>
              <w:rPr>
                <w:rFonts w:hint="eastAsia"/>
                <w:szCs w:val="21"/>
                <w:highlight w:val="none"/>
              </w:rPr>
              <w:t>0.4</w:t>
            </w:r>
            <w:r>
              <w:rPr>
                <w:rFonts w:hint="eastAsia"/>
                <w:szCs w:val="21"/>
                <w:highlight w:val="none"/>
                <w:lang w:val="en-US" w:eastAsia="zh-CN"/>
              </w:rPr>
              <w:t>4</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080" w:type="dxa"/>
            <w:vMerge w:val="continue"/>
            <w:noWrap w:val="0"/>
            <w:vAlign w:val="center"/>
          </w:tcPr>
          <w:p>
            <w:pPr>
              <w:spacing w:line="360" w:lineRule="exact"/>
              <w:jc w:val="center"/>
              <w:rPr>
                <w:szCs w:val="21"/>
                <w:highlight w:val="none"/>
              </w:rPr>
            </w:pPr>
          </w:p>
        </w:tc>
        <w:tc>
          <w:tcPr>
            <w:tcW w:w="1065" w:type="dxa"/>
            <w:vMerge w:val="continue"/>
            <w:noWrap w:val="0"/>
            <w:vAlign w:val="center"/>
          </w:tcPr>
          <w:p>
            <w:pPr>
              <w:spacing w:line="360" w:lineRule="exact"/>
              <w:jc w:val="center"/>
              <w:rPr>
                <w:szCs w:val="21"/>
                <w:highlight w:val="none"/>
              </w:rPr>
            </w:pPr>
          </w:p>
        </w:tc>
        <w:tc>
          <w:tcPr>
            <w:tcW w:w="1909" w:type="dxa"/>
            <w:noWrap w:val="0"/>
            <w:vAlign w:val="center"/>
          </w:tcPr>
          <w:p>
            <w:pPr>
              <w:adjustRightInd w:val="0"/>
              <w:snapToGrid w:val="0"/>
              <w:spacing w:line="360" w:lineRule="exact"/>
              <w:jc w:val="center"/>
              <w:rPr>
                <w:szCs w:val="21"/>
                <w:highlight w:val="none"/>
              </w:rPr>
            </w:pPr>
            <w:r>
              <w:rPr>
                <w:szCs w:val="21"/>
                <w:highlight w:val="none"/>
              </w:rPr>
              <w:t>SS</w:t>
            </w:r>
          </w:p>
        </w:tc>
        <w:tc>
          <w:tcPr>
            <w:tcW w:w="2095" w:type="dxa"/>
            <w:noWrap w:val="0"/>
            <w:vAlign w:val="center"/>
          </w:tcPr>
          <w:p>
            <w:pPr>
              <w:adjustRightInd w:val="0"/>
              <w:snapToGrid w:val="0"/>
              <w:spacing w:line="360" w:lineRule="exact"/>
              <w:jc w:val="center"/>
              <w:rPr>
                <w:szCs w:val="21"/>
                <w:highlight w:val="none"/>
              </w:rPr>
            </w:pPr>
            <w:r>
              <w:rPr>
                <w:szCs w:val="21"/>
                <w:highlight w:val="none"/>
              </w:rPr>
              <w:t>1</w:t>
            </w:r>
            <w:r>
              <w:rPr>
                <w:rFonts w:hint="eastAsia"/>
                <w:szCs w:val="21"/>
                <w:highlight w:val="none"/>
                <w:lang w:val="en-US" w:eastAsia="zh-CN"/>
              </w:rPr>
              <w:t>5</w:t>
            </w:r>
            <w:r>
              <w:rPr>
                <w:szCs w:val="21"/>
                <w:highlight w:val="none"/>
              </w:rPr>
              <w:t>0mg/L</w:t>
            </w:r>
            <w:r>
              <w:rPr>
                <w:rFonts w:hAnsi="宋体"/>
                <w:szCs w:val="21"/>
                <w:highlight w:val="none"/>
              </w:rPr>
              <w:t>、</w:t>
            </w:r>
            <w:r>
              <w:rPr>
                <w:rFonts w:hint="eastAsia"/>
                <w:szCs w:val="21"/>
                <w:highlight w:val="none"/>
              </w:rPr>
              <w:t>0.</w:t>
            </w:r>
            <w:r>
              <w:rPr>
                <w:rFonts w:hint="eastAsia"/>
                <w:szCs w:val="21"/>
                <w:highlight w:val="none"/>
                <w:lang w:val="en-US" w:eastAsia="zh-CN"/>
              </w:rPr>
              <w:t>69</w:t>
            </w:r>
            <w:r>
              <w:rPr>
                <w:szCs w:val="21"/>
                <w:highlight w:val="none"/>
              </w:rPr>
              <w:t>t/a</w:t>
            </w:r>
          </w:p>
        </w:tc>
        <w:tc>
          <w:tcPr>
            <w:tcW w:w="2871" w:type="dxa"/>
            <w:noWrap w:val="0"/>
            <w:vAlign w:val="center"/>
          </w:tcPr>
          <w:p>
            <w:pPr>
              <w:snapToGrid w:val="0"/>
              <w:spacing w:line="360" w:lineRule="exact"/>
              <w:jc w:val="center"/>
              <w:rPr>
                <w:szCs w:val="21"/>
                <w:highlight w:val="none"/>
              </w:rPr>
            </w:pPr>
            <w:r>
              <w:rPr>
                <w:rFonts w:hint="eastAsia"/>
                <w:szCs w:val="21"/>
                <w:highlight w:val="none"/>
                <w:lang w:val="en-US" w:eastAsia="zh-CN"/>
              </w:rPr>
              <w:t>15</w:t>
            </w:r>
            <w:r>
              <w:rPr>
                <w:szCs w:val="21"/>
                <w:highlight w:val="none"/>
              </w:rPr>
              <w:t>mg/L、0.</w:t>
            </w:r>
            <w:r>
              <w:rPr>
                <w:rFonts w:hint="eastAsia"/>
                <w:szCs w:val="21"/>
                <w:highlight w:val="none"/>
                <w:lang w:val="en-US" w:eastAsia="zh-CN"/>
              </w:rPr>
              <w:t>07</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1080" w:type="dxa"/>
            <w:vMerge w:val="continue"/>
            <w:noWrap w:val="0"/>
            <w:vAlign w:val="center"/>
          </w:tcPr>
          <w:p>
            <w:pPr>
              <w:spacing w:line="360" w:lineRule="exact"/>
              <w:jc w:val="center"/>
              <w:rPr>
                <w:szCs w:val="21"/>
                <w:highlight w:val="none"/>
              </w:rPr>
            </w:pPr>
          </w:p>
        </w:tc>
        <w:tc>
          <w:tcPr>
            <w:tcW w:w="1065" w:type="dxa"/>
            <w:vMerge w:val="continue"/>
            <w:noWrap w:val="0"/>
            <w:vAlign w:val="center"/>
          </w:tcPr>
          <w:p>
            <w:pPr>
              <w:spacing w:line="360" w:lineRule="exact"/>
              <w:jc w:val="center"/>
              <w:rPr>
                <w:szCs w:val="21"/>
                <w:highlight w:val="none"/>
              </w:rPr>
            </w:pPr>
          </w:p>
        </w:tc>
        <w:tc>
          <w:tcPr>
            <w:tcW w:w="1909" w:type="dxa"/>
            <w:noWrap w:val="0"/>
            <w:vAlign w:val="center"/>
          </w:tcPr>
          <w:p>
            <w:pPr>
              <w:adjustRightInd w:val="0"/>
              <w:snapToGrid w:val="0"/>
              <w:spacing w:line="360" w:lineRule="exact"/>
              <w:jc w:val="center"/>
              <w:rPr>
                <w:szCs w:val="21"/>
                <w:highlight w:val="none"/>
              </w:rPr>
            </w:pPr>
            <w:r>
              <w:rPr>
                <w:szCs w:val="21"/>
                <w:highlight w:val="none"/>
              </w:rPr>
              <w:t>NH</w:t>
            </w:r>
            <w:r>
              <w:rPr>
                <w:szCs w:val="21"/>
                <w:highlight w:val="none"/>
                <w:vertAlign w:val="subscript"/>
              </w:rPr>
              <w:t>3</w:t>
            </w:r>
            <w:r>
              <w:rPr>
                <w:szCs w:val="21"/>
                <w:highlight w:val="none"/>
              </w:rPr>
              <w:t>-N</w:t>
            </w:r>
          </w:p>
        </w:tc>
        <w:tc>
          <w:tcPr>
            <w:tcW w:w="2095" w:type="dxa"/>
            <w:noWrap w:val="0"/>
            <w:vAlign w:val="center"/>
          </w:tcPr>
          <w:p>
            <w:pPr>
              <w:adjustRightInd w:val="0"/>
              <w:snapToGrid w:val="0"/>
              <w:spacing w:line="360" w:lineRule="exact"/>
              <w:jc w:val="center"/>
              <w:rPr>
                <w:szCs w:val="21"/>
                <w:highlight w:val="none"/>
              </w:rPr>
            </w:pPr>
            <w:r>
              <w:rPr>
                <w:rFonts w:hint="eastAsia"/>
                <w:szCs w:val="21"/>
                <w:highlight w:val="none"/>
              </w:rPr>
              <w:t>50</w:t>
            </w:r>
            <w:r>
              <w:rPr>
                <w:szCs w:val="21"/>
                <w:highlight w:val="none"/>
              </w:rPr>
              <w:t>mg/L</w:t>
            </w:r>
            <w:r>
              <w:rPr>
                <w:rFonts w:hAnsi="宋体"/>
                <w:szCs w:val="21"/>
                <w:highlight w:val="none"/>
              </w:rPr>
              <w:t>、</w:t>
            </w:r>
            <w:r>
              <w:rPr>
                <w:rFonts w:hint="eastAsia"/>
                <w:szCs w:val="21"/>
                <w:highlight w:val="none"/>
              </w:rPr>
              <w:t>0.23</w:t>
            </w:r>
            <w:r>
              <w:rPr>
                <w:szCs w:val="21"/>
                <w:highlight w:val="none"/>
              </w:rPr>
              <w:t>t/a</w:t>
            </w:r>
          </w:p>
        </w:tc>
        <w:tc>
          <w:tcPr>
            <w:tcW w:w="2871" w:type="dxa"/>
            <w:noWrap w:val="0"/>
            <w:vAlign w:val="center"/>
          </w:tcPr>
          <w:p>
            <w:pPr>
              <w:snapToGrid w:val="0"/>
              <w:spacing w:line="360" w:lineRule="exact"/>
              <w:jc w:val="center"/>
              <w:rPr>
                <w:szCs w:val="21"/>
                <w:highlight w:val="none"/>
              </w:rPr>
            </w:pPr>
            <w:r>
              <w:rPr>
                <w:rFonts w:hint="eastAsia"/>
                <w:szCs w:val="21"/>
                <w:highlight w:val="none"/>
                <w:lang w:val="en-US" w:eastAsia="zh-CN"/>
              </w:rPr>
              <w:t>22.5</w:t>
            </w:r>
            <w:r>
              <w:rPr>
                <w:szCs w:val="21"/>
                <w:highlight w:val="none"/>
              </w:rPr>
              <w:t>mg/L、0.</w:t>
            </w:r>
            <w:r>
              <w:rPr>
                <w:rFonts w:hint="eastAsia"/>
                <w:szCs w:val="21"/>
                <w:highlight w:val="none"/>
              </w:rPr>
              <w:t>1</w:t>
            </w:r>
            <w:r>
              <w:rPr>
                <w:rFonts w:hint="eastAsia"/>
                <w:szCs w:val="21"/>
                <w:highlight w:val="none"/>
                <w:lang w:val="en-US" w:eastAsia="zh-CN"/>
              </w:rPr>
              <w:t>0</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080" w:type="dxa"/>
            <w:vMerge w:val="continue"/>
            <w:noWrap w:val="0"/>
            <w:vAlign w:val="center"/>
          </w:tcPr>
          <w:p>
            <w:pPr>
              <w:spacing w:line="360" w:lineRule="exact"/>
              <w:jc w:val="center"/>
              <w:rPr>
                <w:color w:val="FF0000"/>
                <w:szCs w:val="21"/>
                <w:highlight w:val="none"/>
              </w:rPr>
            </w:pPr>
          </w:p>
        </w:tc>
        <w:tc>
          <w:tcPr>
            <w:tcW w:w="1065" w:type="dxa"/>
            <w:vMerge w:val="continue"/>
            <w:noWrap w:val="0"/>
            <w:vAlign w:val="center"/>
          </w:tcPr>
          <w:p>
            <w:pPr>
              <w:spacing w:line="360" w:lineRule="exact"/>
              <w:jc w:val="center"/>
              <w:rPr>
                <w:color w:val="FF0000"/>
                <w:szCs w:val="21"/>
                <w:highlight w:val="none"/>
              </w:rPr>
            </w:pPr>
          </w:p>
        </w:tc>
        <w:tc>
          <w:tcPr>
            <w:tcW w:w="1909" w:type="dxa"/>
            <w:noWrap w:val="0"/>
            <w:vAlign w:val="center"/>
          </w:tcPr>
          <w:p>
            <w:pPr>
              <w:adjustRightInd w:val="0"/>
              <w:snapToGrid w:val="0"/>
              <w:spacing w:line="360" w:lineRule="exact"/>
              <w:jc w:val="center"/>
              <w:rPr>
                <w:rFonts w:hint="eastAsia" w:hAnsi="宋体"/>
                <w:szCs w:val="21"/>
                <w:highlight w:val="none"/>
              </w:rPr>
            </w:pPr>
            <w:r>
              <w:rPr>
                <w:rFonts w:hint="eastAsia" w:hAnsi="宋体"/>
                <w:szCs w:val="21"/>
                <w:highlight w:val="none"/>
              </w:rPr>
              <w:t>TN</w:t>
            </w:r>
          </w:p>
        </w:tc>
        <w:tc>
          <w:tcPr>
            <w:tcW w:w="2095" w:type="dxa"/>
            <w:noWrap w:val="0"/>
            <w:vAlign w:val="center"/>
          </w:tcPr>
          <w:p>
            <w:pPr>
              <w:adjustRightInd w:val="0"/>
              <w:snapToGrid w:val="0"/>
              <w:spacing w:line="360" w:lineRule="exact"/>
              <w:jc w:val="center"/>
              <w:rPr>
                <w:szCs w:val="21"/>
                <w:highlight w:val="none"/>
              </w:rPr>
            </w:pPr>
            <w:r>
              <w:rPr>
                <w:rFonts w:hint="eastAsia"/>
                <w:szCs w:val="21"/>
                <w:highlight w:val="none"/>
              </w:rPr>
              <w:t>40</w:t>
            </w:r>
            <w:r>
              <w:rPr>
                <w:szCs w:val="21"/>
                <w:highlight w:val="none"/>
              </w:rPr>
              <w:t>mg/L</w:t>
            </w:r>
            <w:r>
              <w:rPr>
                <w:rFonts w:hAnsi="宋体"/>
                <w:szCs w:val="21"/>
                <w:highlight w:val="none"/>
              </w:rPr>
              <w:t>、</w:t>
            </w:r>
            <w:r>
              <w:rPr>
                <w:szCs w:val="21"/>
                <w:highlight w:val="none"/>
              </w:rPr>
              <w:t>0.</w:t>
            </w:r>
            <w:r>
              <w:rPr>
                <w:rFonts w:hint="eastAsia"/>
                <w:szCs w:val="21"/>
                <w:highlight w:val="none"/>
              </w:rPr>
              <w:t>18</w:t>
            </w:r>
            <w:r>
              <w:rPr>
                <w:szCs w:val="21"/>
                <w:highlight w:val="none"/>
              </w:rPr>
              <w:t>t/a</w:t>
            </w:r>
          </w:p>
        </w:tc>
        <w:tc>
          <w:tcPr>
            <w:tcW w:w="2871" w:type="dxa"/>
            <w:noWrap w:val="0"/>
            <w:vAlign w:val="center"/>
          </w:tcPr>
          <w:p>
            <w:pPr>
              <w:snapToGrid w:val="0"/>
              <w:spacing w:line="360" w:lineRule="exact"/>
              <w:jc w:val="center"/>
              <w:rPr>
                <w:rFonts w:hint="eastAsia"/>
                <w:szCs w:val="21"/>
                <w:highlight w:val="none"/>
              </w:rPr>
            </w:pPr>
            <w:r>
              <w:rPr>
                <w:rFonts w:hint="eastAsia"/>
                <w:szCs w:val="21"/>
                <w:highlight w:val="none"/>
              </w:rPr>
              <w:t>35</w:t>
            </w:r>
            <w:r>
              <w:rPr>
                <w:szCs w:val="21"/>
                <w:highlight w:val="none"/>
              </w:rPr>
              <w:t>mg/L</w:t>
            </w:r>
            <w:r>
              <w:rPr>
                <w:rFonts w:hAnsi="宋体"/>
                <w:szCs w:val="21"/>
                <w:highlight w:val="none"/>
              </w:rPr>
              <w:t>、</w:t>
            </w:r>
            <w:r>
              <w:rPr>
                <w:rFonts w:hint="eastAsia"/>
                <w:szCs w:val="21"/>
                <w:highlight w:val="none"/>
              </w:rPr>
              <w:t>0.16</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080" w:type="dxa"/>
            <w:vMerge w:val="continue"/>
            <w:noWrap w:val="0"/>
            <w:vAlign w:val="center"/>
          </w:tcPr>
          <w:p>
            <w:pPr>
              <w:spacing w:line="360" w:lineRule="exact"/>
              <w:jc w:val="center"/>
              <w:rPr>
                <w:color w:val="FF0000"/>
                <w:szCs w:val="21"/>
                <w:highlight w:val="none"/>
              </w:rPr>
            </w:pPr>
          </w:p>
        </w:tc>
        <w:tc>
          <w:tcPr>
            <w:tcW w:w="1065" w:type="dxa"/>
            <w:vMerge w:val="continue"/>
            <w:noWrap w:val="0"/>
            <w:vAlign w:val="center"/>
          </w:tcPr>
          <w:p>
            <w:pPr>
              <w:spacing w:line="360" w:lineRule="exact"/>
              <w:jc w:val="center"/>
              <w:rPr>
                <w:color w:val="FF0000"/>
                <w:szCs w:val="21"/>
                <w:highlight w:val="none"/>
              </w:rPr>
            </w:pPr>
          </w:p>
        </w:tc>
        <w:tc>
          <w:tcPr>
            <w:tcW w:w="1909" w:type="dxa"/>
            <w:noWrap w:val="0"/>
            <w:vAlign w:val="center"/>
          </w:tcPr>
          <w:p>
            <w:pPr>
              <w:adjustRightInd w:val="0"/>
              <w:snapToGrid w:val="0"/>
              <w:spacing w:line="360" w:lineRule="exact"/>
              <w:jc w:val="center"/>
              <w:rPr>
                <w:rFonts w:hint="eastAsia" w:hAnsi="宋体" w:eastAsia="宋体"/>
                <w:szCs w:val="21"/>
                <w:highlight w:val="none"/>
                <w:lang w:eastAsia="zh-CN"/>
              </w:rPr>
            </w:pPr>
            <w:r>
              <w:rPr>
                <w:rFonts w:hint="eastAsia" w:hAnsi="宋体"/>
                <w:szCs w:val="21"/>
                <w:highlight w:val="none"/>
                <w:lang w:eastAsia="zh-CN"/>
              </w:rPr>
              <w:t>阴离子表面活性剂</w:t>
            </w:r>
          </w:p>
        </w:tc>
        <w:tc>
          <w:tcPr>
            <w:tcW w:w="2095" w:type="dxa"/>
            <w:noWrap w:val="0"/>
            <w:vAlign w:val="center"/>
          </w:tcPr>
          <w:p>
            <w:pPr>
              <w:adjustRightInd w:val="0"/>
              <w:snapToGrid w:val="0"/>
              <w:spacing w:line="360" w:lineRule="exact"/>
              <w:jc w:val="center"/>
              <w:rPr>
                <w:rFonts w:hint="default" w:eastAsia="宋体"/>
                <w:szCs w:val="21"/>
                <w:highlight w:val="none"/>
                <w:lang w:val="en-US" w:eastAsia="zh-CN"/>
              </w:rPr>
            </w:pPr>
            <w:r>
              <w:rPr>
                <w:szCs w:val="21"/>
                <w:highlight w:val="none"/>
              </w:rPr>
              <w:t>1</w:t>
            </w:r>
            <w:r>
              <w:rPr>
                <w:rFonts w:hint="eastAsia"/>
                <w:szCs w:val="21"/>
                <w:highlight w:val="none"/>
                <w:lang w:val="en-US" w:eastAsia="zh-CN"/>
              </w:rPr>
              <w:t>5</w:t>
            </w:r>
            <w:r>
              <w:rPr>
                <w:szCs w:val="21"/>
                <w:highlight w:val="none"/>
              </w:rPr>
              <w:t>mg/L</w:t>
            </w:r>
            <w:r>
              <w:rPr>
                <w:rFonts w:hAnsi="宋体"/>
                <w:szCs w:val="21"/>
                <w:highlight w:val="none"/>
              </w:rPr>
              <w:t>、</w:t>
            </w:r>
            <w:r>
              <w:rPr>
                <w:rFonts w:hint="eastAsia"/>
                <w:szCs w:val="21"/>
                <w:highlight w:val="none"/>
              </w:rPr>
              <w:t>0.</w:t>
            </w:r>
            <w:r>
              <w:rPr>
                <w:rFonts w:hint="eastAsia"/>
                <w:szCs w:val="21"/>
                <w:highlight w:val="none"/>
                <w:lang w:val="en-US" w:eastAsia="zh-CN"/>
              </w:rPr>
              <w:t>07</w:t>
            </w:r>
            <w:r>
              <w:rPr>
                <w:szCs w:val="21"/>
                <w:highlight w:val="none"/>
              </w:rPr>
              <w:t>t/a</w:t>
            </w:r>
          </w:p>
        </w:tc>
        <w:tc>
          <w:tcPr>
            <w:tcW w:w="2871" w:type="dxa"/>
            <w:noWrap w:val="0"/>
            <w:vAlign w:val="center"/>
          </w:tcPr>
          <w:p>
            <w:pPr>
              <w:snapToGrid w:val="0"/>
              <w:spacing w:line="360" w:lineRule="exact"/>
              <w:jc w:val="center"/>
              <w:rPr>
                <w:rFonts w:hint="eastAsia" w:eastAsia="宋体"/>
                <w:szCs w:val="21"/>
                <w:highlight w:val="none"/>
                <w:lang w:val="en-US" w:eastAsia="zh-CN"/>
              </w:rPr>
            </w:pPr>
            <w:r>
              <w:rPr>
                <w:rFonts w:hint="eastAsia"/>
                <w:szCs w:val="21"/>
                <w:highlight w:val="none"/>
                <w:lang w:val="en-US" w:eastAsia="zh-CN"/>
              </w:rPr>
              <w:t>5</w:t>
            </w:r>
            <w:r>
              <w:rPr>
                <w:szCs w:val="21"/>
                <w:highlight w:val="none"/>
              </w:rPr>
              <w:t>mg/L</w:t>
            </w:r>
            <w:r>
              <w:rPr>
                <w:rFonts w:hAnsi="宋体"/>
                <w:szCs w:val="21"/>
                <w:highlight w:val="none"/>
              </w:rPr>
              <w:t>、</w:t>
            </w:r>
            <w:r>
              <w:rPr>
                <w:rFonts w:hint="eastAsia"/>
                <w:szCs w:val="21"/>
                <w:highlight w:val="none"/>
              </w:rPr>
              <w:t>0.</w:t>
            </w:r>
            <w:r>
              <w:rPr>
                <w:rFonts w:hint="eastAsia"/>
                <w:szCs w:val="21"/>
                <w:highlight w:val="none"/>
                <w:lang w:val="en-US" w:eastAsia="zh-CN"/>
              </w:rPr>
              <w:t>02</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080" w:type="dxa"/>
            <w:vMerge w:val="continue"/>
            <w:noWrap w:val="0"/>
            <w:vAlign w:val="center"/>
          </w:tcPr>
          <w:p>
            <w:pPr>
              <w:spacing w:line="360" w:lineRule="exact"/>
              <w:jc w:val="center"/>
              <w:rPr>
                <w:color w:val="FF0000"/>
                <w:szCs w:val="21"/>
                <w:highlight w:val="none"/>
              </w:rPr>
            </w:pPr>
          </w:p>
        </w:tc>
        <w:tc>
          <w:tcPr>
            <w:tcW w:w="1065" w:type="dxa"/>
            <w:vMerge w:val="continue"/>
            <w:noWrap w:val="0"/>
            <w:vAlign w:val="center"/>
          </w:tcPr>
          <w:p>
            <w:pPr>
              <w:spacing w:line="360" w:lineRule="exact"/>
              <w:jc w:val="center"/>
              <w:rPr>
                <w:color w:val="FF0000"/>
                <w:szCs w:val="21"/>
                <w:highlight w:val="none"/>
              </w:rPr>
            </w:pPr>
          </w:p>
        </w:tc>
        <w:tc>
          <w:tcPr>
            <w:tcW w:w="1909" w:type="dxa"/>
            <w:noWrap w:val="0"/>
            <w:vAlign w:val="center"/>
          </w:tcPr>
          <w:p>
            <w:pPr>
              <w:adjustRightInd w:val="0"/>
              <w:snapToGrid w:val="0"/>
              <w:spacing w:line="360" w:lineRule="exact"/>
              <w:jc w:val="center"/>
              <w:rPr>
                <w:rFonts w:hint="eastAsia" w:hAnsi="宋体"/>
                <w:szCs w:val="21"/>
                <w:highlight w:val="none"/>
                <w:lang w:eastAsia="zh-CN"/>
              </w:rPr>
            </w:pPr>
            <w:r>
              <w:rPr>
                <w:rFonts w:hint="eastAsia" w:hAnsi="宋体"/>
                <w:szCs w:val="21"/>
                <w:highlight w:val="none"/>
                <w:lang w:eastAsia="zh-CN"/>
              </w:rPr>
              <w:t>粪大肠菌群</w:t>
            </w:r>
          </w:p>
        </w:tc>
        <w:tc>
          <w:tcPr>
            <w:tcW w:w="2095" w:type="dxa"/>
            <w:noWrap w:val="0"/>
            <w:vAlign w:val="center"/>
          </w:tcPr>
          <w:p>
            <w:pPr>
              <w:bidi w:val="0"/>
              <w:jc w:val="center"/>
              <w:rPr>
                <w:rFonts w:ascii="Times New Roman" w:hAnsi="Times New Roman" w:eastAsia="宋体" w:cs="Times New Roman"/>
                <w:kern w:val="2"/>
                <w:sz w:val="21"/>
                <w:szCs w:val="21"/>
                <w:highlight w:val="none"/>
                <w:lang w:val="en-US" w:eastAsia="zh-CN" w:bidi="ar-SA"/>
              </w:rPr>
            </w:pPr>
            <w:r>
              <w:rPr>
                <w:sz w:val="21"/>
                <w:szCs w:val="21"/>
                <w:highlight w:val="none"/>
              </w:rPr>
              <w:t>1.6×10</w:t>
            </w:r>
            <w:r>
              <w:rPr>
                <w:sz w:val="21"/>
                <w:szCs w:val="21"/>
                <w:highlight w:val="none"/>
                <w:vertAlign w:val="superscript"/>
              </w:rPr>
              <w:t>8</w:t>
            </w:r>
            <w:r>
              <w:rPr>
                <w:sz w:val="21"/>
                <w:szCs w:val="21"/>
                <w:highlight w:val="none"/>
              </w:rPr>
              <w:t>MPN/L</w:t>
            </w:r>
          </w:p>
        </w:tc>
        <w:tc>
          <w:tcPr>
            <w:tcW w:w="2871" w:type="dxa"/>
            <w:noWrap w:val="0"/>
            <w:vAlign w:val="center"/>
          </w:tcPr>
          <w:p>
            <w:pPr>
              <w:bidi w:val="0"/>
              <w:jc w:val="center"/>
              <w:rPr>
                <w:rFonts w:hint="eastAsia" w:ascii="Times New Roman" w:hAnsi="Times New Roman" w:eastAsia="宋体" w:cs="Times New Roman"/>
                <w:kern w:val="2"/>
                <w:sz w:val="21"/>
                <w:szCs w:val="21"/>
                <w:highlight w:val="none"/>
                <w:lang w:val="en-US" w:eastAsia="zh-CN" w:bidi="ar-SA"/>
              </w:rPr>
            </w:pPr>
            <w:r>
              <w:rPr>
                <w:sz w:val="21"/>
                <w:szCs w:val="21"/>
                <w:highlight w:val="none"/>
              </w:rPr>
              <w:t>5000MPN/L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080" w:type="dxa"/>
            <w:vMerge w:val="restart"/>
            <w:noWrap w:val="0"/>
            <w:vAlign w:val="center"/>
          </w:tcPr>
          <w:p>
            <w:pPr>
              <w:spacing w:line="360" w:lineRule="exact"/>
              <w:jc w:val="center"/>
              <w:rPr>
                <w:szCs w:val="21"/>
                <w:highlight w:val="none"/>
              </w:rPr>
            </w:pPr>
            <w:r>
              <w:rPr>
                <w:rFonts w:hAnsi="宋体"/>
                <w:szCs w:val="21"/>
                <w:highlight w:val="none"/>
              </w:rPr>
              <w:t>固</w:t>
            </w:r>
          </w:p>
          <w:p>
            <w:pPr>
              <w:spacing w:line="360" w:lineRule="exact"/>
              <w:jc w:val="center"/>
              <w:rPr>
                <w:szCs w:val="21"/>
                <w:highlight w:val="none"/>
              </w:rPr>
            </w:pPr>
            <w:r>
              <w:rPr>
                <w:rFonts w:hAnsi="宋体"/>
                <w:szCs w:val="21"/>
                <w:highlight w:val="none"/>
              </w:rPr>
              <w:t>体</w:t>
            </w:r>
          </w:p>
          <w:p>
            <w:pPr>
              <w:spacing w:line="360" w:lineRule="exact"/>
              <w:jc w:val="center"/>
              <w:rPr>
                <w:szCs w:val="21"/>
                <w:highlight w:val="none"/>
              </w:rPr>
            </w:pPr>
            <w:r>
              <w:rPr>
                <w:rFonts w:hAnsi="宋体"/>
                <w:szCs w:val="21"/>
                <w:highlight w:val="none"/>
              </w:rPr>
              <w:t>废</w:t>
            </w:r>
          </w:p>
          <w:p>
            <w:pPr>
              <w:spacing w:line="360" w:lineRule="exact"/>
              <w:jc w:val="center"/>
              <w:rPr>
                <w:szCs w:val="21"/>
                <w:highlight w:val="none"/>
              </w:rPr>
            </w:pPr>
            <w:r>
              <w:rPr>
                <w:rFonts w:hAnsi="宋体"/>
                <w:szCs w:val="21"/>
                <w:highlight w:val="none"/>
              </w:rPr>
              <w:t>物</w:t>
            </w:r>
          </w:p>
        </w:tc>
        <w:tc>
          <w:tcPr>
            <w:tcW w:w="1065" w:type="dxa"/>
            <w:noWrap w:val="0"/>
            <w:vAlign w:val="center"/>
          </w:tcPr>
          <w:p>
            <w:pPr>
              <w:spacing w:line="360" w:lineRule="exact"/>
              <w:jc w:val="center"/>
              <w:rPr>
                <w:szCs w:val="21"/>
                <w:highlight w:val="none"/>
              </w:rPr>
            </w:pPr>
            <w:r>
              <w:rPr>
                <w:rFonts w:hint="eastAsia" w:hAnsi="宋体"/>
                <w:bCs/>
                <w:szCs w:val="21"/>
                <w:highlight w:val="none"/>
              </w:rPr>
              <w:t>办公生活</w:t>
            </w:r>
          </w:p>
        </w:tc>
        <w:tc>
          <w:tcPr>
            <w:tcW w:w="1909" w:type="dxa"/>
            <w:noWrap w:val="0"/>
            <w:vAlign w:val="center"/>
          </w:tcPr>
          <w:p>
            <w:pPr>
              <w:adjustRightInd w:val="0"/>
              <w:snapToGrid w:val="0"/>
              <w:spacing w:line="360" w:lineRule="exact"/>
              <w:jc w:val="center"/>
              <w:rPr>
                <w:rFonts w:hAnsi="宋体"/>
                <w:bCs/>
                <w:szCs w:val="21"/>
                <w:highlight w:val="none"/>
              </w:rPr>
            </w:pPr>
            <w:r>
              <w:rPr>
                <w:rFonts w:hAnsi="宋体"/>
                <w:bCs/>
                <w:szCs w:val="21"/>
                <w:highlight w:val="none"/>
              </w:rPr>
              <w:t>一般生活垃圾</w:t>
            </w:r>
          </w:p>
        </w:tc>
        <w:tc>
          <w:tcPr>
            <w:tcW w:w="2095" w:type="dxa"/>
            <w:noWrap w:val="0"/>
            <w:vAlign w:val="center"/>
          </w:tcPr>
          <w:p>
            <w:pPr>
              <w:adjustRightInd w:val="0"/>
              <w:snapToGrid w:val="0"/>
              <w:spacing w:line="360" w:lineRule="exact"/>
              <w:jc w:val="center"/>
              <w:rPr>
                <w:rFonts w:hint="eastAsia"/>
                <w:szCs w:val="21"/>
                <w:highlight w:val="none"/>
              </w:rPr>
            </w:pPr>
            <w:r>
              <w:rPr>
                <w:rFonts w:hint="eastAsia"/>
                <w:szCs w:val="21"/>
                <w:highlight w:val="none"/>
              </w:rPr>
              <w:t>22.44t/a</w:t>
            </w:r>
          </w:p>
        </w:tc>
        <w:tc>
          <w:tcPr>
            <w:tcW w:w="2871" w:type="dxa"/>
            <w:noWrap w:val="0"/>
            <w:vAlign w:val="center"/>
          </w:tcPr>
          <w:p>
            <w:pPr>
              <w:spacing w:line="360" w:lineRule="exact"/>
              <w:jc w:val="center"/>
              <w:rPr>
                <w:rFonts w:hint="eastAsia"/>
                <w:szCs w:val="21"/>
                <w:highlight w:val="none"/>
              </w:rPr>
            </w:pPr>
            <w:r>
              <w:rPr>
                <w:rFonts w:hint="eastAsia" w:ascii="宋体" w:hAnsi="宋体"/>
                <w:szCs w:val="21"/>
                <w:highlight w:val="none"/>
              </w:rPr>
              <w:t>交由环卫部门处理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1080" w:type="dxa"/>
            <w:vMerge w:val="continue"/>
            <w:noWrap w:val="0"/>
            <w:vAlign w:val="center"/>
          </w:tcPr>
          <w:p>
            <w:pPr>
              <w:spacing w:line="360" w:lineRule="exact"/>
              <w:jc w:val="center"/>
              <w:rPr>
                <w:rFonts w:hAnsi="宋体"/>
                <w:szCs w:val="21"/>
                <w:highlight w:val="none"/>
              </w:rPr>
            </w:pPr>
          </w:p>
        </w:tc>
        <w:tc>
          <w:tcPr>
            <w:tcW w:w="1065" w:type="dxa"/>
            <w:noWrap w:val="0"/>
            <w:vAlign w:val="center"/>
          </w:tcPr>
          <w:p>
            <w:pPr>
              <w:spacing w:line="360" w:lineRule="exact"/>
              <w:jc w:val="center"/>
              <w:rPr>
                <w:rFonts w:hint="eastAsia" w:hAnsi="宋体"/>
                <w:bCs/>
                <w:szCs w:val="21"/>
                <w:highlight w:val="none"/>
              </w:rPr>
            </w:pPr>
            <w:r>
              <w:rPr>
                <w:rFonts w:hint="eastAsia" w:hAnsi="宋体"/>
                <w:bCs/>
                <w:szCs w:val="21"/>
                <w:highlight w:val="none"/>
              </w:rPr>
              <w:t>体检、</w:t>
            </w:r>
          </w:p>
          <w:p>
            <w:pPr>
              <w:spacing w:line="360" w:lineRule="exact"/>
              <w:jc w:val="center"/>
              <w:rPr>
                <w:rFonts w:hint="eastAsia" w:hAnsi="宋体"/>
                <w:bCs/>
                <w:szCs w:val="21"/>
                <w:highlight w:val="none"/>
              </w:rPr>
            </w:pPr>
            <w:r>
              <w:rPr>
                <w:rFonts w:hint="eastAsia" w:hAnsi="宋体"/>
                <w:bCs/>
                <w:szCs w:val="21"/>
                <w:highlight w:val="none"/>
              </w:rPr>
              <w:t>健康养护</w:t>
            </w:r>
          </w:p>
        </w:tc>
        <w:tc>
          <w:tcPr>
            <w:tcW w:w="1909" w:type="dxa"/>
            <w:noWrap w:val="0"/>
            <w:vAlign w:val="center"/>
          </w:tcPr>
          <w:p>
            <w:pPr>
              <w:adjustRightInd w:val="0"/>
              <w:snapToGrid w:val="0"/>
              <w:spacing w:line="360" w:lineRule="exact"/>
              <w:jc w:val="center"/>
              <w:rPr>
                <w:bCs/>
                <w:szCs w:val="21"/>
                <w:highlight w:val="none"/>
              </w:rPr>
            </w:pPr>
            <w:r>
              <w:rPr>
                <w:rFonts w:hAnsi="宋体"/>
                <w:bCs/>
                <w:szCs w:val="21"/>
                <w:highlight w:val="none"/>
              </w:rPr>
              <w:t>医疗废物</w:t>
            </w:r>
          </w:p>
        </w:tc>
        <w:tc>
          <w:tcPr>
            <w:tcW w:w="2095" w:type="dxa"/>
            <w:noWrap w:val="0"/>
            <w:vAlign w:val="center"/>
          </w:tcPr>
          <w:p>
            <w:pPr>
              <w:adjustRightInd w:val="0"/>
              <w:snapToGrid w:val="0"/>
              <w:spacing w:line="360" w:lineRule="exact"/>
              <w:jc w:val="center"/>
              <w:rPr>
                <w:rFonts w:hint="eastAsia"/>
                <w:szCs w:val="21"/>
                <w:highlight w:val="none"/>
              </w:rPr>
            </w:pPr>
            <w:r>
              <w:rPr>
                <w:rFonts w:hint="eastAsia"/>
                <w:szCs w:val="21"/>
                <w:highlight w:val="none"/>
              </w:rPr>
              <w:t>25.08t/a</w:t>
            </w:r>
          </w:p>
        </w:tc>
        <w:tc>
          <w:tcPr>
            <w:tcW w:w="2871" w:type="dxa"/>
            <w:noWrap w:val="0"/>
            <w:vAlign w:val="center"/>
          </w:tcPr>
          <w:p>
            <w:pPr>
              <w:spacing w:line="360" w:lineRule="exact"/>
              <w:jc w:val="center"/>
              <w:rPr>
                <w:rFonts w:hint="eastAsia" w:ascii="宋体" w:hAnsi="宋体"/>
                <w:szCs w:val="21"/>
                <w:highlight w:val="none"/>
              </w:rPr>
            </w:pPr>
            <w:r>
              <w:rPr>
                <w:rFonts w:hint="eastAsia" w:ascii="宋体" w:hAnsi="宋体"/>
                <w:szCs w:val="21"/>
                <w:highlight w:val="none"/>
              </w:rPr>
              <w:t>暂存医疗废物暂存间，交有资质单位处理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1080" w:type="dxa"/>
            <w:vMerge w:val="continue"/>
            <w:noWrap w:val="0"/>
            <w:vAlign w:val="center"/>
          </w:tcPr>
          <w:p>
            <w:pPr>
              <w:spacing w:line="360" w:lineRule="exact"/>
              <w:jc w:val="center"/>
              <w:rPr>
                <w:rFonts w:hAnsi="宋体"/>
                <w:szCs w:val="21"/>
                <w:highlight w:val="none"/>
              </w:rPr>
            </w:pPr>
          </w:p>
        </w:tc>
        <w:tc>
          <w:tcPr>
            <w:tcW w:w="1065" w:type="dxa"/>
            <w:noWrap w:val="0"/>
            <w:vAlign w:val="center"/>
          </w:tcPr>
          <w:p>
            <w:pPr>
              <w:spacing w:line="360" w:lineRule="exact"/>
              <w:jc w:val="center"/>
              <w:rPr>
                <w:rFonts w:hint="eastAsia" w:hAnsi="宋体" w:eastAsia="宋体"/>
                <w:bCs/>
                <w:szCs w:val="21"/>
                <w:highlight w:val="none"/>
                <w:lang w:eastAsia="zh-CN"/>
              </w:rPr>
            </w:pPr>
            <w:r>
              <w:rPr>
                <w:rFonts w:hint="eastAsia" w:hAnsi="宋体"/>
                <w:bCs/>
                <w:szCs w:val="21"/>
                <w:highlight w:val="none"/>
                <w:lang w:eastAsia="zh-CN"/>
              </w:rPr>
              <w:t>化粪池</w:t>
            </w:r>
          </w:p>
        </w:tc>
        <w:tc>
          <w:tcPr>
            <w:tcW w:w="1909" w:type="dxa"/>
            <w:noWrap w:val="0"/>
            <w:vAlign w:val="center"/>
          </w:tcPr>
          <w:p>
            <w:pPr>
              <w:adjustRightInd w:val="0"/>
              <w:snapToGrid w:val="0"/>
              <w:spacing w:line="360" w:lineRule="exact"/>
              <w:jc w:val="center"/>
              <w:rPr>
                <w:rFonts w:hint="eastAsia" w:hAnsi="宋体" w:eastAsia="宋体"/>
                <w:bCs/>
                <w:szCs w:val="21"/>
                <w:highlight w:val="none"/>
                <w:lang w:eastAsia="zh-CN"/>
              </w:rPr>
            </w:pPr>
            <w:r>
              <w:rPr>
                <w:rFonts w:hint="eastAsia" w:hAnsi="宋体"/>
                <w:bCs/>
                <w:szCs w:val="21"/>
                <w:highlight w:val="none"/>
                <w:lang w:eastAsia="zh-CN"/>
              </w:rPr>
              <w:t>污泥</w:t>
            </w:r>
          </w:p>
        </w:tc>
        <w:tc>
          <w:tcPr>
            <w:tcW w:w="2095" w:type="dxa"/>
            <w:noWrap w:val="0"/>
            <w:vAlign w:val="center"/>
          </w:tcPr>
          <w:p>
            <w:pPr>
              <w:adjustRightInd w:val="0"/>
              <w:snapToGrid w:val="0"/>
              <w:spacing w:line="360" w:lineRule="exact"/>
              <w:jc w:val="center"/>
              <w:rPr>
                <w:rFonts w:hint="default" w:eastAsia="宋体"/>
                <w:szCs w:val="21"/>
                <w:highlight w:val="none"/>
                <w:lang w:val="en-US" w:eastAsia="zh-CN"/>
              </w:rPr>
            </w:pPr>
            <w:r>
              <w:rPr>
                <w:rFonts w:hint="eastAsia"/>
                <w:szCs w:val="21"/>
                <w:highlight w:val="none"/>
                <w:lang w:val="en-US" w:eastAsia="zh-CN"/>
              </w:rPr>
              <w:t>12.87</w:t>
            </w:r>
            <w:r>
              <w:rPr>
                <w:rFonts w:hint="eastAsia"/>
                <w:szCs w:val="21"/>
                <w:highlight w:val="none"/>
              </w:rPr>
              <w:t>t/a</w:t>
            </w:r>
          </w:p>
        </w:tc>
        <w:tc>
          <w:tcPr>
            <w:tcW w:w="2871" w:type="dxa"/>
            <w:noWrap w:val="0"/>
            <w:vAlign w:val="center"/>
          </w:tcPr>
          <w:p>
            <w:pPr>
              <w:spacing w:line="360" w:lineRule="exact"/>
              <w:jc w:val="center"/>
              <w:rPr>
                <w:rFonts w:hint="eastAsia" w:ascii="宋体" w:hAnsi="宋体"/>
                <w:szCs w:val="21"/>
                <w:highlight w:val="none"/>
              </w:rPr>
            </w:pPr>
            <w:r>
              <w:rPr>
                <w:rFonts w:hint="eastAsia"/>
                <w:bCs/>
                <w:color w:val="000000"/>
                <w:szCs w:val="21"/>
                <w:highlight w:val="none"/>
              </w:rPr>
              <w:t>经消毒处理后，</w:t>
            </w:r>
            <w:r>
              <w:rPr>
                <w:bCs/>
                <w:color w:val="000000"/>
                <w:szCs w:val="21"/>
                <w:highlight w:val="none"/>
              </w:rPr>
              <w:t>交由</w:t>
            </w:r>
            <w:r>
              <w:rPr>
                <w:rFonts w:hint="eastAsia"/>
                <w:bCs/>
                <w:color w:val="000000"/>
                <w:szCs w:val="21"/>
                <w:highlight w:val="none"/>
                <w:lang w:val="en-US" w:eastAsia="zh-CN"/>
              </w:rPr>
              <w:t>有</w:t>
            </w:r>
            <w:r>
              <w:rPr>
                <w:rFonts w:hint="eastAsia"/>
                <w:bCs/>
                <w:color w:val="000000"/>
                <w:szCs w:val="21"/>
                <w:highlight w:val="none"/>
              </w:rPr>
              <w:t>资质单位</w:t>
            </w:r>
            <w:r>
              <w:rPr>
                <w:bCs/>
                <w:color w:val="000000"/>
                <w:szCs w:val="21"/>
                <w:highlight w:val="none"/>
              </w:rPr>
              <w:t>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080" w:type="dxa"/>
            <w:noWrap w:val="0"/>
            <w:vAlign w:val="center"/>
          </w:tcPr>
          <w:p>
            <w:pPr>
              <w:spacing w:line="360" w:lineRule="exact"/>
              <w:jc w:val="center"/>
              <w:rPr>
                <w:szCs w:val="21"/>
                <w:highlight w:val="none"/>
              </w:rPr>
            </w:pPr>
            <w:r>
              <w:rPr>
                <w:rFonts w:hAnsi="宋体"/>
                <w:szCs w:val="21"/>
                <w:highlight w:val="none"/>
              </w:rPr>
              <w:t>噪</w:t>
            </w:r>
          </w:p>
          <w:p>
            <w:pPr>
              <w:spacing w:line="360" w:lineRule="exact"/>
              <w:jc w:val="center"/>
              <w:rPr>
                <w:szCs w:val="21"/>
                <w:highlight w:val="none"/>
              </w:rPr>
            </w:pPr>
            <w:r>
              <w:rPr>
                <w:rFonts w:hAnsi="宋体"/>
                <w:szCs w:val="21"/>
                <w:highlight w:val="none"/>
              </w:rPr>
              <w:t>声</w:t>
            </w:r>
          </w:p>
        </w:tc>
        <w:tc>
          <w:tcPr>
            <w:tcW w:w="7940" w:type="dxa"/>
            <w:gridSpan w:val="4"/>
            <w:noWrap w:val="0"/>
            <w:vAlign w:val="center"/>
          </w:tcPr>
          <w:p>
            <w:pPr>
              <w:spacing w:line="360" w:lineRule="exact"/>
              <w:rPr>
                <w:szCs w:val="21"/>
                <w:highlight w:val="none"/>
              </w:rPr>
            </w:pPr>
            <w:r>
              <w:rPr>
                <w:rFonts w:hAnsi="宋体"/>
                <w:szCs w:val="21"/>
                <w:highlight w:val="none"/>
              </w:rPr>
              <w:t>项目主要噪声为</w:t>
            </w:r>
            <w:r>
              <w:rPr>
                <w:rFonts w:hint="eastAsia" w:hAnsi="宋体"/>
                <w:szCs w:val="21"/>
                <w:highlight w:val="none"/>
              </w:rPr>
              <w:t>空调</w:t>
            </w:r>
            <w:r>
              <w:rPr>
                <w:rFonts w:hAnsi="宋体"/>
                <w:szCs w:val="21"/>
                <w:highlight w:val="none"/>
              </w:rPr>
              <w:t>风机产生的机械噪声。项目采用低噪声及振动小的设备，并采取基础减振措施，隔声</w:t>
            </w:r>
            <w:r>
              <w:rPr>
                <w:rFonts w:hint="eastAsia" w:hAnsi="宋体"/>
                <w:szCs w:val="21"/>
                <w:highlight w:val="none"/>
              </w:rPr>
              <w:t>罩</w:t>
            </w:r>
            <w:r>
              <w:rPr>
                <w:rFonts w:hAnsi="宋体"/>
                <w:szCs w:val="21"/>
                <w:highlight w:val="none"/>
              </w:rPr>
              <w:t>后对外界声环境影响较小</w:t>
            </w:r>
            <w:r>
              <w:rPr>
                <w:rFonts w:hint="eastAsia" w:hAnsi="宋体"/>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080" w:type="dxa"/>
            <w:noWrap w:val="0"/>
            <w:vAlign w:val="center"/>
          </w:tcPr>
          <w:p>
            <w:pPr>
              <w:spacing w:line="360" w:lineRule="exact"/>
              <w:jc w:val="center"/>
              <w:rPr>
                <w:szCs w:val="21"/>
                <w:highlight w:val="none"/>
              </w:rPr>
            </w:pPr>
            <w:r>
              <w:rPr>
                <w:rFonts w:hAnsi="宋体"/>
                <w:szCs w:val="21"/>
                <w:highlight w:val="none"/>
              </w:rPr>
              <w:t>其它</w:t>
            </w:r>
          </w:p>
        </w:tc>
        <w:tc>
          <w:tcPr>
            <w:tcW w:w="7940" w:type="dxa"/>
            <w:gridSpan w:val="4"/>
            <w:noWrap w:val="0"/>
            <w:vAlign w:val="center"/>
          </w:tcPr>
          <w:p>
            <w:pPr>
              <w:spacing w:line="360" w:lineRule="exact"/>
              <w:jc w:val="center"/>
              <w:rPr>
                <w:szCs w:val="21"/>
                <w:highlight w:val="none"/>
              </w:rPr>
            </w:pPr>
            <w:r>
              <w:rPr>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jc w:val="center"/>
        </w:trPr>
        <w:tc>
          <w:tcPr>
            <w:tcW w:w="9020" w:type="dxa"/>
            <w:gridSpan w:val="5"/>
            <w:noWrap w:val="0"/>
            <w:vAlign w:val="center"/>
          </w:tcPr>
          <w:p>
            <w:pPr>
              <w:rPr>
                <w:b/>
                <w:sz w:val="28"/>
                <w:szCs w:val="28"/>
                <w:highlight w:val="none"/>
              </w:rPr>
            </w:pPr>
            <w:r>
              <w:rPr>
                <w:b/>
                <w:sz w:val="28"/>
                <w:szCs w:val="28"/>
                <w:highlight w:val="none"/>
              </w:rPr>
              <w:t>主要生态影响(不够时可附另页)：</w:t>
            </w:r>
          </w:p>
          <w:p>
            <w:pPr>
              <w:adjustRightInd w:val="0"/>
              <w:snapToGrid w:val="0"/>
              <w:spacing w:line="480" w:lineRule="exact"/>
              <w:ind w:firstLine="420" w:firstLineChars="200"/>
              <w:rPr>
                <w:rFonts w:hint="eastAsia" w:hAnsi="宋体"/>
                <w:sz w:val="21"/>
                <w:szCs w:val="21"/>
                <w:highlight w:val="none"/>
              </w:rPr>
            </w:pPr>
            <w:r>
              <w:rPr>
                <w:rFonts w:hint="eastAsia"/>
                <w:sz w:val="21"/>
                <w:szCs w:val="21"/>
                <w:highlight w:val="none"/>
              </w:rPr>
              <w:t>项目位于</w:t>
            </w:r>
            <w:r>
              <w:rPr>
                <w:rFonts w:hint="eastAsia" w:ascii="宋体" w:hAnsi="宋体"/>
                <w:sz w:val="21"/>
                <w:szCs w:val="21"/>
                <w:highlight w:val="none"/>
              </w:rPr>
              <w:t>迁安市惠安大街北侧</w:t>
            </w:r>
            <w:r>
              <w:rPr>
                <w:sz w:val="21"/>
                <w:szCs w:val="21"/>
                <w:highlight w:val="none"/>
              </w:rPr>
              <w:t>，</w:t>
            </w:r>
            <w:r>
              <w:rPr>
                <w:rFonts w:hint="eastAsia"/>
                <w:sz w:val="21"/>
                <w:szCs w:val="21"/>
                <w:highlight w:val="none"/>
                <w:lang w:eastAsia="zh-CN"/>
              </w:rPr>
              <w:t>人民医院院内，</w:t>
            </w:r>
            <w:r>
              <w:rPr>
                <w:rFonts w:hint="eastAsia"/>
                <w:sz w:val="21"/>
                <w:szCs w:val="21"/>
                <w:highlight w:val="none"/>
              </w:rPr>
              <w:t>中心地理坐标为</w:t>
            </w:r>
            <w:r>
              <w:rPr>
                <w:sz w:val="21"/>
                <w:szCs w:val="21"/>
                <w:highlight w:val="none"/>
              </w:rPr>
              <w:t>北纬</w:t>
            </w:r>
            <w:r>
              <w:rPr>
                <w:rFonts w:hint="eastAsia"/>
                <w:sz w:val="21"/>
                <w:szCs w:val="21"/>
                <w:highlight w:val="none"/>
              </w:rPr>
              <w:t>39</w:t>
            </w:r>
            <w:r>
              <w:rPr>
                <w:sz w:val="21"/>
                <w:szCs w:val="21"/>
                <w:highlight w:val="none"/>
              </w:rPr>
              <w:t>°</w:t>
            </w:r>
            <w:r>
              <w:rPr>
                <w:rFonts w:hint="eastAsia"/>
                <w:sz w:val="21"/>
                <w:szCs w:val="21"/>
                <w:highlight w:val="none"/>
              </w:rPr>
              <w:t>59</w:t>
            </w:r>
            <w:r>
              <w:rPr>
                <w:sz w:val="21"/>
                <w:szCs w:val="21"/>
                <w:highlight w:val="none"/>
              </w:rPr>
              <w:t>′</w:t>
            </w:r>
            <w:r>
              <w:rPr>
                <w:rFonts w:hint="eastAsia"/>
                <w:sz w:val="21"/>
                <w:szCs w:val="21"/>
                <w:highlight w:val="none"/>
              </w:rPr>
              <w:t>13.91</w:t>
            </w:r>
            <w:r>
              <w:rPr>
                <w:sz w:val="21"/>
                <w:szCs w:val="21"/>
                <w:highlight w:val="none"/>
              </w:rPr>
              <w:t>″、东经118°</w:t>
            </w:r>
            <w:r>
              <w:rPr>
                <w:rFonts w:hint="eastAsia"/>
                <w:sz w:val="21"/>
                <w:szCs w:val="21"/>
                <w:highlight w:val="none"/>
              </w:rPr>
              <w:t>43</w:t>
            </w:r>
            <w:r>
              <w:rPr>
                <w:sz w:val="21"/>
                <w:szCs w:val="21"/>
                <w:highlight w:val="none"/>
              </w:rPr>
              <w:t>′</w:t>
            </w:r>
            <w:r>
              <w:rPr>
                <w:rFonts w:hint="eastAsia"/>
                <w:sz w:val="21"/>
                <w:szCs w:val="21"/>
                <w:highlight w:val="none"/>
              </w:rPr>
              <w:t>29.96</w:t>
            </w:r>
            <w:r>
              <w:rPr>
                <w:sz w:val="21"/>
                <w:szCs w:val="21"/>
                <w:highlight w:val="none"/>
              </w:rPr>
              <w:t>″</w:t>
            </w:r>
            <w:r>
              <w:rPr>
                <w:rFonts w:hint="eastAsia" w:hAnsi="宋体"/>
                <w:sz w:val="21"/>
                <w:szCs w:val="21"/>
                <w:highlight w:val="none"/>
              </w:rPr>
              <w:t>，不构成对植被的破坏，</w:t>
            </w:r>
            <w:r>
              <w:rPr>
                <w:rFonts w:hAnsi="宋体"/>
                <w:sz w:val="21"/>
                <w:szCs w:val="21"/>
                <w:highlight w:val="none"/>
              </w:rPr>
              <w:t>项目建设对当地的生态环境</w:t>
            </w:r>
            <w:r>
              <w:rPr>
                <w:rFonts w:hint="eastAsia" w:hAnsi="宋体"/>
                <w:sz w:val="21"/>
                <w:szCs w:val="21"/>
                <w:highlight w:val="none"/>
              </w:rPr>
              <w:t>无</w:t>
            </w:r>
            <w:r>
              <w:rPr>
                <w:rFonts w:hAnsi="宋体"/>
                <w:sz w:val="21"/>
                <w:szCs w:val="21"/>
                <w:highlight w:val="none"/>
              </w:rPr>
              <w:t>影响</w:t>
            </w:r>
            <w:r>
              <w:rPr>
                <w:rFonts w:hint="eastAsia" w:hAnsi="宋体"/>
                <w:sz w:val="21"/>
                <w:szCs w:val="21"/>
                <w:highlight w:val="none"/>
              </w:rPr>
              <w:t>。</w:t>
            </w:r>
          </w:p>
          <w:p>
            <w:pPr>
              <w:adjustRightInd w:val="0"/>
              <w:snapToGrid w:val="0"/>
              <w:spacing w:line="360" w:lineRule="auto"/>
              <w:jc w:val="left"/>
              <w:rPr>
                <w:rFonts w:hint="eastAsia" w:hAnsi="宋体"/>
                <w:szCs w:val="21"/>
                <w:highlight w:val="none"/>
              </w:rPr>
            </w:pPr>
          </w:p>
          <w:p>
            <w:pPr>
              <w:pStyle w:val="7"/>
              <w:tabs>
                <w:tab w:val="left" w:pos="3128"/>
              </w:tabs>
              <w:rPr>
                <w:rFonts w:hint="eastAsia" w:hAnsi="宋体" w:eastAsia="宋体"/>
                <w:szCs w:val="21"/>
                <w:highlight w:val="none"/>
                <w:lang w:eastAsia="zh-CN"/>
              </w:rPr>
            </w:pPr>
          </w:p>
          <w:p>
            <w:pPr>
              <w:rPr>
                <w:rFonts w:hint="eastAsia" w:hAnsi="宋体"/>
                <w:szCs w:val="21"/>
                <w:highlight w:val="none"/>
              </w:rPr>
            </w:pPr>
          </w:p>
          <w:p>
            <w:pPr>
              <w:pStyle w:val="6"/>
              <w:rPr>
                <w:rFonts w:hint="eastAsia" w:hAnsi="宋体"/>
                <w:szCs w:val="21"/>
                <w:highlight w:val="none"/>
              </w:rPr>
            </w:pPr>
          </w:p>
          <w:p>
            <w:pPr>
              <w:pStyle w:val="7"/>
              <w:rPr>
                <w:rFonts w:hint="eastAsia" w:hAnsi="宋体"/>
                <w:szCs w:val="21"/>
                <w:highlight w:val="none"/>
              </w:rPr>
            </w:pPr>
          </w:p>
          <w:p>
            <w:pPr>
              <w:rPr>
                <w:rFonts w:hint="eastAsia"/>
                <w:highlight w:val="none"/>
              </w:rPr>
            </w:pPr>
          </w:p>
          <w:p>
            <w:pPr>
              <w:pStyle w:val="6"/>
              <w:ind w:left="0" w:leftChars="0" w:firstLine="0" w:firstLineChars="0"/>
              <w:rPr>
                <w:rFonts w:hint="eastAsia" w:hAnsi="宋体"/>
                <w:szCs w:val="21"/>
                <w:highlight w:val="none"/>
              </w:rPr>
            </w:pPr>
          </w:p>
          <w:p>
            <w:pPr>
              <w:pStyle w:val="7"/>
              <w:rPr>
                <w:rFonts w:hint="eastAsia" w:hAnsi="宋体"/>
                <w:szCs w:val="21"/>
                <w:highlight w:val="none"/>
              </w:rPr>
            </w:pPr>
          </w:p>
          <w:p>
            <w:pPr>
              <w:rPr>
                <w:rFonts w:hint="eastAsia"/>
                <w:highlight w:val="none"/>
              </w:rPr>
            </w:pPr>
          </w:p>
          <w:p>
            <w:pPr>
              <w:adjustRightInd w:val="0"/>
              <w:snapToGrid w:val="0"/>
              <w:spacing w:line="360" w:lineRule="auto"/>
              <w:jc w:val="left"/>
              <w:rPr>
                <w:rFonts w:hint="eastAsia" w:hAnsi="宋体"/>
                <w:szCs w:val="21"/>
                <w:highlight w:val="none"/>
              </w:rPr>
            </w:pPr>
          </w:p>
          <w:p>
            <w:pPr>
              <w:pStyle w:val="6"/>
              <w:rPr>
                <w:rFonts w:hint="eastAsia"/>
                <w:highlight w:val="none"/>
              </w:rPr>
            </w:pPr>
          </w:p>
          <w:p>
            <w:pPr>
              <w:adjustRightInd w:val="0"/>
              <w:snapToGrid w:val="0"/>
              <w:spacing w:line="360" w:lineRule="auto"/>
              <w:jc w:val="left"/>
              <w:rPr>
                <w:rFonts w:hint="eastAsia" w:hAnsi="宋体"/>
                <w:szCs w:val="21"/>
                <w:highlight w:val="none"/>
              </w:rPr>
            </w:pPr>
          </w:p>
        </w:tc>
      </w:tr>
    </w:tbl>
    <w:p>
      <w:pPr>
        <w:outlineLvl w:val="0"/>
        <w:rPr>
          <w:rFonts w:eastAsia="黑体"/>
          <w:b/>
          <w:kern w:val="0"/>
          <w:sz w:val="32"/>
          <w:szCs w:val="32"/>
          <w:highlight w:val="none"/>
        </w:rPr>
      </w:pPr>
      <w:r>
        <w:rPr>
          <w:rFonts w:eastAsia="黑体"/>
          <w:b/>
          <w:kern w:val="0"/>
          <w:sz w:val="32"/>
          <w:szCs w:val="32"/>
          <w:highlight w:val="none"/>
        </w:rPr>
        <w:t>环境影响分析</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7" w:hRule="atLeast"/>
          <w:jc w:val="center"/>
        </w:trPr>
        <w:tc>
          <w:tcPr>
            <w:tcW w:w="9094" w:type="dxa"/>
            <w:noWrap w:val="0"/>
            <w:vAlign w:val="top"/>
          </w:tcPr>
          <w:p>
            <w:pPr>
              <w:spacing w:line="360" w:lineRule="auto"/>
              <w:outlineLvl w:val="0"/>
              <w:rPr>
                <w:b/>
                <w:sz w:val="28"/>
                <w:highlight w:val="none"/>
              </w:rPr>
            </w:pPr>
            <w:r>
              <w:rPr>
                <w:rFonts w:hint="eastAsia"/>
                <w:b/>
                <w:sz w:val="28"/>
                <w:highlight w:val="none"/>
              </w:rPr>
              <w:t>施工期</w:t>
            </w:r>
            <w:r>
              <w:rPr>
                <w:rFonts w:hint="eastAsia" w:cs="宋体"/>
                <w:b/>
                <w:sz w:val="28"/>
                <w:highlight w:val="none"/>
              </w:rPr>
              <w:t>环</w:t>
            </w:r>
            <w:r>
              <w:rPr>
                <w:rFonts w:hint="eastAsia" w:cs="MS Mincho"/>
                <w:b/>
                <w:sz w:val="28"/>
                <w:highlight w:val="none"/>
              </w:rPr>
              <w:t>境影响</w:t>
            </w:r>
            <w:r>
              <w:rPr>
                <w:rFonts w:hint="eastAsia" w:cs="宋体"/>
                <w:b/>
                <w:sz w:val="28"/>
                <w:highlight w:val="none"/>
              </w:rPr>
              <w:t>简</w:t>
            </w:r>
            <w:r>
              <w:rPr>
                <w:rFonts w:hint="eastAsia" w:cs="MS Mincho"/>
                <w:b/>
                <w:sz w:val="28"/>
                <w:highlight w:val="none"/>
              </w:rPr>
              <w:t>要分析：</w:t>
            </w:r>
          </w:p>
          <w:p>
            <w:pPr>
              <w:spacing w:line="480" w:lineRule="exact"/>
              <w:ind w:firstLine="482" w:firstLineChars="200"/>
              <w:rPr>
                <w:b/>
                <w:sz w:val="24"/>
                <w:highlight w:val="none"/>
              </w:rPr>
            </w:pPr>
            <w:r>
              <w:rPr>
                <w:b/>
                <w:sz w:val="24"/>
                <w:highlight w:val="none"/>
              </w:rPr>
              <w:t>1</w:t>
            </w:r>
            <w:r>
              <w:rPr>
                <w:rFonts w:hint="eastAsia"/>
                <w:b/>
                <w:sz w:val="24"/>
                <w:highlight w:val="none"/>
              </w:rPr>
              <w:t>、大气环境影响分析</w:t>
            </w:r>
          </w:p>
          <w:p>
            <w:pPr>
              <w:spacing w:line="480" w:lineRule="exact"/>
              <w:ind w:firstLine="480" w:firstLineChars="200"/>
              <w:rPr>
                <w:rFonts w:hint="eastAsia" w:ascii="Times New Roman" w:hAnsi="Times New Roman" w:eastAsia="宋体" w:cs="Times New Roman"/>
                <w:sz w:val="24"/>
                <w:szCs w:val="22"/>
                <w:highlight w:val="none"/>
              </w:rPr>
            </w:pPr>
            <w:r>
              <w:rPr>
                <w:rFonts w:hint="eastAsia"/>
                <w:sz w:val="24"/>
                <w:highlight w:val="none"/>
              </w:rPr>
              <w:t>施工期建筑材料运输等产生施工扬尘。根据《河北省</w:t>
            </w:r>
            <w:r>
              <w:rPr>
                <w:sz w:val="24"/>
                <w:highlight w:val="none"/>
              </w:rPr>
              <w:t>2018</w:t>
            </w:r>
            <w:r>
              <w:rPr>
                <w:rFonts w:hint="eastAsia"/>
                <w:sz w:val="24"/>
                <w:highlight w:val="none"/>
              </w:rPr>
              <w:t>年建筑施工与城市道路扬尘整治工作方案》、《河北省建筑施工扬尘防治强化措施</w:t>
            </w:r>
            <w:r>
              <w:rPr>
                <w:sz w:val="24"/>
                <w:highlight w:val="none"/>
              </w:rPr>
              <w:t>18</w:t>
            </w:r>
            <w:r>
              <w:rPr>
                <w:rFonts w:hint="eastAsia"/>
                <w:sz w:val="24"/>
                <w:highlight w:val="none"/>
              </w:rPr>
              <w:t>条》、《</w:t>
            </w:r>
            <w:r>
              <w:rPr>
                <w:rFonts w:hint="eastAsia" w:ascii="宋体" w:hAnsi="宋体"/>
                <w:bCs/>
                <w:color w:val="000000"/>
                <w:sz w:val="24"/>
                <w:szCs w:val="24"/>
                <w:highlight w:val="none"/>
              </w:rPr>
              <w:t>河北省</w:t>
            </w:r>
            <w:r>
              <w:rPr>
                <w:bCs/>
                <w:color w:val="000000"/>
                <w:sz w:val="24"/>
                <w:szCs w:val="24"/>
                <w:highlight w:val="none"/>
              </w:rPr>
              <w:t>2018</w:t>
            </w:r>
            <w:r>
              <w:rPr>
                <w:rFonts w:hint="eastAsia" w:ascii="宋体" w:hAnsi="宋体"/>
                <w:bCs/>
                <w:color w:val="000000"/>
                <w:sz w:val="24"/>
                <w:szCs w:val="24"/>
                <w:highlight w:val="none"/>
              </w:rPr>
              <w:t>年建筑施工与城市道路扬尘整治工作方案》的通知</w:t>
            </w:r>
            <w:r>
              <w:rPr>
                <w:rFonts w:hint="eastAsia" w:ascii="宋体" w:hAnsi="宋体"/>
                <w:bCs/>
                <w:color w:val="000000"/>
                <w:sz w:val="24"/>
                <w:szCs w:val="24"/>
                <w:highlight w:val="none"/>
                <w:lang w:eastAsia="zh-CN"/>
              </w:rPr>
              <w:t>、</w:t>
            </w:r>
            <w:r>
              <w:rPr>
                <w:rFonts w:hint="default" w:ascii="Times New Roman" w:hAnsi="Times New Roman" w:eastAsia="宋体" w:cs="Times New Roman"/>
                <w:sz w:val="24"/>
                <w:szCs w:val="22"/>
                <w:highlight w:val="none"/>
              </w:rPr>
              <w:t>《河北省扬尘</w:t>
            </w:r>
            <w:r>
              <w:rPr>
                <w:rFonts w:hint="eastAsia" w:ascii="Times New Roman" w:hAnsi="Times New Roman" w:eastAsia="宋体" w:cs="Times New Roman"/>
                <w:sz w:val="24"/>
                <w:szCs w:val="22"/>
                <w:highlight w:val="none"/>
                <w:lang w:val="en-US" w:eastAsia="zh-CN"/>
              </w:rPr>
              <w:t>污染</w:t>
            </w:r>
            <w:r>
              <w:rPr>
                <w:rFonts w:hint="default" w:ascii="Times New Roman" w:hAnsi="Times New Roman" w:eastAsia="宋体" w:cs="Times New Roman"/>
                <w:sz w:val="24"/>
                <w:szCs w:val="22"/>
                <w:highlight w:val="none"/>
              </w:rPr>
              <w:t>防治</w:t>
            </w:r>
            <w:r>
              <w:rPr>
                <w:rFonts w:hint="eastAsia" w:ascii="Times New Roman" w:hAnsi="Times New Roman" w:eastAsia="宋体" w:cs="Times New Roman"/>
                <w:sz w:val="24"/>
                <w:szCs w:val="22"/>
                <w:highlight w:val="none"/>
                <w:lang w:val="en-US" w:eastAsia="zh-CN"/>
              </w:rPr>
              <w:t>办法</w:t>
            </w:r>
            <w:r>
              <w:rPr>
                <w:rFonts w:hint="default" w:ascii="Times New Roman" w:hAnsi="Times New Roman" w:eastAsia="宋体" w:cs="Times New Roman"/>
                <w:sz w:val="24"/>
                <w:szCs w:val="22"/>
                <w:highlight w:val="none"/>
              </w:rPr>
              <w:t>》</w:t>
            </w:r>
            <w:r>
              <w:rPr>
                <w:rFonts w:hint="eastAsia" w:ascii="Times New Roman" w:hAnsi="Times New Roman" w:eastAsia="宋体" w:cs="Times New Roman"/>
                <w:sz w:val="24"/>
                <w:szCs w:val="22"/>
                <w:highlight w:val="none"/>
              </w:rPr>
              <w:t>等</w:t>
            </w:r>
            <w:r>
              <w:rPr>
                <w:rFonts w:hint="eastAsia"/>
                <w:sz w:val="24"/>
                <w:highlight w:val="none"/>
              </w:rPr>
              <w:t>文件要求，为控制施工废气对周围环境的影响，应采取以下措施：</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rPr>
              <w:t>）施工单位必须在施工现场出入口明显位置设置扬尘防治公示牌，内容包括建设、施工、监理及监管等单位名称、扬尘防治负责人的名称、联系电话、举报电话等。</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2</w:t>
            </w:r>
            <w:r>
              <w:rPr>
                <w:rFonts w:hint="eastAsia"/>
                <w:sz w:val="24"/>
                <w:highlight w:val="none"/>
              </w:rPr>
              <w:t>）施工现场必须连续设置硬质围挡，围挡应坚固、美观，严禁围挡不严或敞开式施工。两侧的围挡高度不低于</w:t>
            </w:r>
            <w:r>
              <w:rPr>
                <w:sz w:val="24"/>
                <w:highlight w:val="none"/>
              </w:rPr>
              <w:t>2.5</w:t>
            </w:r>
            <w:r>
              <w:rPr>
                <w:rFonts w:hint="eastAsia"/>
                <w:sz w:val="24"/>
                <w:highlight w:val="none"/>
              </w:rPr>
              <w:t>米</w:t>
            </w:r>
            <w:r>
              <w:rPr>
                <w:rFonts w:hint="eastAsia"/>
                <w:sz w:val="24"/>
                <w:highlight w:val="none"/>
                <w:lang w:eastAsia="zh-CN"/>
              </w:rPr>
              <w:t>。</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3</w:t>
            </w:r>
            <w:r>
              <w:rPr>
                <w:rFonts w:hint="eastAsia"/>
                <w:sz w:val="24"/>
                <w:highlight w:val="none"/>
              </w:rPr>
              <w:t>）施工现场出入口和场内施工道路、材料加工堆放区、办公区、生活区必须采用混凝土硬化或用硬质砌块铺设，硬化后的地面应清扫整洁无浮土、积土，严禁使用其他软质材料铺设。</w:t>
            </w:r>
          </w:p>
          <w:p>
            <w:pPr>
              <w:spacing w:line="480" w:lineRule="exact"/>
              <w:ind w:firstLine="480" w:firstLineChars="200"/>
              <w:rPr>
                <w:sz w:val="24"/>
                <w:highlight w:val="none"/>
              </w:rPr>
            </w:pPr>
            <w:r>
              <w:rPr>
                <w:rFonts w:hint="eastAsia"/>
                <w:sz w:val="24"/>
                <w:highlight w:val="none"/>
              </w:rPr>
              <w:t>（</w:t>
            </w:r>
            <w:r>
              <w:rPr>
                <w:sz w:val="24"/>
                <w:highlight w:val="none"/>
              </w:rPr>
              <w:t>4</w:t>
            </w:r>
            <w:r>
              <w:rPr>
                <w:rFonts w:hint="eastAsia"/>
                <w:sz w:val="24"/>
                <w:highlight w:val="none"/>
              </w:rPr>
              <w:t>）施工现场出入口必须配备车辆冲洗设施，设置排水、泥浆沉淀池等设施，建立冲洗制度并设专人管理，严禁车辆带泥上路。</w:t>
            </w:r>
          </w:p>
          <w:p>
            <w:pPr>
              <w:spacing w:line="480" w:lineRule="exact"/>
              <w:ind w:firstLine="480" w:firstLineChars="200"/>
              <w:rPr>
                <w:sz w:val="24"/>
                <w:highlight w:val="none"/>
              </w:rPr>
            </w:pPr>
            <w:r>
              <w:rPr>
                <w:rFonts w:hint="eastAsia"/>
                <w:sz w:val="24"/>
                <w:highlight w:val="none"/>
              </w:rPr>
              <w:t>（</w:t>
            </w:r>
            <w:r>
              <w:rPr>
                <w:sz w:val="24"/>
                <w:highlight w:val="none"/>
              </w:rPr>
              <w:t>5</w:t>
            </w:r>
            <w:r>
              <w:rPr>
                <w:rFonts w:hint="eastAsia"/>
                <w:sz w:val="24"/>
                <w:highlight w:val="none"/>
              </w:rPr>
              <w:t>）施工现场出入口、加工区和主作业区等处必须安装视频监控系统，对施工扬尘实时监控。</w:t>
            </w:r>
          </w:p>
          <w:p>
            <w:pPr>
              <w:spacing w:line="480" w:lineRule="exact"/>
              <w:ind w:firstLine="480" w:firstLineChars="200"/>
              <w:rPr>
                <w:sz w:val="24"/>
                <w:highlight w:val="none"/>
              </w:rPr>
            </w:pPr>
            <w:r>
              <w:rPr>
                <w:rFonts w:hint="eastAsia"/>
                <w:sz w:val="24"/>
                <w:highlight w:val="none"/>
              </w:rPr>
              <w:t>（</w:t>
            </w:r>
            <w:r>
              <w:rPr>
                <w:sz w:val="24"/>
                <w:highlight w:val="none"/>
              </w:rPr>
              <w:t>6</w:t>
            </w:r>
            <w:r>
              <w:rPr>
                <w:rFonts w:hint="eastAsia"/>
                <w:sz w:val="24"/>
                <w:highlight w:val="none"/>
              </w:rPr>
              <w:t>）施工现场集中堆放的土方和裸露场地必须采取覆盖、固化或绿化等防尘措施，严禁裸露。</w:t>
            </w:r>
          </w:p>
          <w:p>
            <w:pPr>
              <w:spacing w:line="480" w:lineRule="exact"/>
              <w:ind w:firstLine="480" w:firstLineChars="200"/>
              <w:rPr>
                <w:sz w:val="24"/>
                <w:highlight w:val="none"/>
              </w:rPr>
            </w:pPr>
            <w:r>
              <w:rPr>
                <w:rFonts w:hint="eastAsia"/>
                <w:sz w:val="24"/>
                <w:highlight w:val="none"/>
              </w:rPr>
              <w:t>（</w:t>
            </w:r>
            <w:r>
              <w:rPr>
                <w:rFonts w:hint="eastAsia"/>
                <w:sz w:val="24"/>
                <w:highlight w:val="none"/>
                <w:lang w:val="en-US" w:eastAsia="zh-CN"/>
              </w:rPr>
              <w:t>7</w:t>
            </w:r>
            <w:r>
              <w:rPr>
                <w:rFonts w:hint="eastAsia"/>
                <w:sz w:val="24"/>
                <w:highlight w:val="none"/>
              </w:rPr>
              <w:t>）施工现场易飞扬的细颗粒建筑材料必须密闭存放或严密覆盖，严禁露天放置；搬运时应有降尘措施，余料及时回收。</w:t>
            </w:r>
          </w:p>
          <w:p>
            <w:pPr>
              <w:spacing w:line="480" w:lineRule="exact"/>
              <w:ind w:firstLine="480" w:firstLineChars="200"/>
              <w:rPr>
                <w:sz w:val="24"/>
                <w:highlight w:val="none"/>
              </w:rPr>
            </w:pPr>
            <w:r>
              <w:rPr>
                <w:rFonts w:hint="eastAsia"/>
                <w:sz w:val="24"/>
                <w:highlight w:val="none"/>
              </w:rPr>
              <w:t>（</w:t>
            </w:r>
            <w:r>
              <w:rPr>
                <w:rFonts w:hint="eastAsia"/>
                <w:sz w:val="24"/>
                <w:highlight w:val="none"/>
                <w:lang w:val="en-US" w:eastAsia="zh-CN"/>
              </w:rPr>
              <w:t>8</w:t>
            </w:r>
            <w:r>
              <w:rPr>
                <w:rFonts w:hint="eastAsia"/>
                <w:sz w:val="24"/>
                <w:highlight w:val="none"/>
              </w:rPr>
              <w:t>）具备条件的地区施工现场必须使用商品混凝土、预拌砂浆，严禁现场搅拌。不具备条件的地区，现场搅拌砂浆必须搭设封闭式搅拌机棚。</w:t>
            </w:r>
          </w:p>
          <w:p>
            <w:pPr>
              <w:spacing w:line="480" w:lineRule="exact"/>
              <w:ind w:firstLine="480" w:firstLineChars="200"/>
              <w:rPr>
                <w:sz w:val="24"/>
                <w:highlight w:val="none"/>
              </w:rPr>
            </w:pPr>
            <w:r>
              <w:rPr>
                <w:rFonts w:hint="eastAsia"/>
                <w:sz w:val="24"/>
                <w:highlight w:val="none"/>
              </w:rPr>
              <w:t>（</w:t>
            </w:r>
            <w:r>
              <w:rPr>
                <w:rFonts w:hint="eastAsia"/>
                <w:sz w:val="24"/>
                <w:highlight w:val="none"/>
                <w:lang w:val="en-US" w:eastAsia="zh-CN"/>
              </w:rPr>
              <w:t>9</w:t>
            </w:r>
            <w:r>
              <w:rPr>
                <w:rFonts w:hint="eastAsia"/>
                <w:sz w:val="24"/>
                <w:highlight w:val="none"/>
              </w:rPr>
              <w:t>）施工现场运送土方、渣土的车辆必须封闭或遮盖严密，严禁使用未办理相关手续的渣土等运输车辆，严禁沿路遗撒和随意倾倒。</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0</w:t>
            </w:r>
            <w:r>
              <w:rPr>
                <w:rFonts w:hint="eastAsia"/>
                <w:sz w:val="24"/>
                <w:highlight w:val="none"/>
              </w:rPr>
              <w:t>）建筑物内应保持干净整洁，清扫垃圾时要洒水抑尘，施工层建筑垃圾必须采用封闭式管道或装袋用垂直升降机械清运，严禁凌空抛掷和焚烧垃圾。</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1</w:t>
            </w:r>
            <w:r>
              <w:rPr>
                <w:rFonts w:hint="eastAsia"/>
                <w:sz w:val="24"/>
                <w:highlight w:val="none"/>
              </w:rPr>
              <w:t>）施工现场的建筑垃圾必须设置垃圾存放点</w:t>
            </w:r>
            <w:r>
              <w:rPr>
                <w:sz w:val="24"/>
                <w:highlight w:val="none"/>
              </w:rPr>
              <w:t>,</w:t>
            </w:r>
            <w:r>
              <w:rPr>
                <w:rFonts w:hint="eastAsia"/>
                <w:sz w:val="24"/>
                <w:highlight w:val="none"/>
              </w:rPr>
              <w:t>集中堆放并严密覆盖，及时清运。生活垃圾应用封闭式容器存放，日产日清，严禁随意丢弃。</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2</w:t>
            </w:r>
            <w:r>
              <w:rPr>
                <w:rFonts w:hint="eastAsia"/>
                <w:sz w:val="24"/>
                <w:highlight w:val="none"/>
              </w:rPr>
              <w:t>）施工现场必须建立洒水清扫抑尘制度，配备洒水设备。非冰冻期每天洒水不少于</w:t>
            </w:r>
            <w:r>
              <w:rPr>
                <w:sz w:val="24"/>
                <w:highlight w:val="none"/>
              </w:rPr>
              <w:t>2</w:t>
            </w:r>
            <w:r>
              <w:rPr>
                <w:rFonts w:hint="eastAsia"/>
                <w:sz w:val="24"/>
                <w:highlight w:val="none"/>
              </w:rPr>
              <w:t>次，并有专人负责。重污染天气时相应增加洒水频次。</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3</w:t>
            </w:r>
            <w:r>
              <w:rPr>
                <w:rFonts w:hint="eastAsia"/>
                <w:sz w:val="24"/>
                <w:highlight w:val="none"/>
              </w:rPr>
              <w:t>）建筑工程主体外侧脚手架及临边防护栏杆必须使用符合标准的密目式安全网封闭施工，并保持整洁、牢固、无破损。</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4</w:t>
            </w:r>
            <w:r>
              <w:rPr>
                <w:rFonts w:hint="eastAsia"/>
                <w:sz w:val="24"/>
                <w:highlight w:val="none"/>
              </w:rPr>
              <w:t>）遇有</w:t>
            </w:r>
            <w:r>
              <w:rPr>
                <w:sz w:val="24"/>
                <w:highlight w:val="none"/>
              </w:rPr>
              <w:t>4</w:t>
            </w:r>
            <w:r>
              <w:rPr>
                <w:rFonts w:hint="eastAsia"/>
                <w:sz w:val="24"/>
                <w:highlight w:val="none"/>
              </w:rPr>
              <w:t>级以上大风或重污染天气预警时，必须采取扬尘防治应急措施，严禁土方开挖、土方回填、房屋拆除、材料切割、金属焊接、喷涂或其他有可能产生扬尘的作业。</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5</w:t>
            </w:r>
            <w:r>
              <w:rPr>
                <w:rFonts w:hint="eastAsia"/>
                <w:sz w:val="24"/>
                <w:highlight w:val="none"/>
              </w:rPr>
              <w:t>）建设单位必须组织相关单位做好工程外管网及绿化施工阶段的扬尘防治工作。</w:t>
            </w:r>
            <w:r>
              <w:rPr>
                <w:sz w:val="24"/>
                <w:highlight w:val="none"/>
              </w:rPr>
              <w:t xml:space="preserve"> </w:t>
            </w:r>
          </w:p>
          <w:p>
            <w:pPr>
              <w:spacing w:line="480" w:lineRule="exact"/>
              <w:ind w:firstLine="480" w:firstLineChars="200"/>
              <w:rPr>
                <w:sz w:val="24"/>
                <w:highlight w:val="none"/>
              </w:rPr>
            </w:pPr>
            <w:r>
              <w:rPr>
                <w:rFonts w:hint="eastAsia"/>
                <w:sz w:val="24"/>
                <w:highlight w:val="none"/>
              </w:rPr>
              <w:t>（</w:t>
            </w:r>
            <w:r>
              <w:rPr>
                <w:sz w:val="24"/>
                <w:highlight w:val="none"/>
              </w:rPr>
              <w:t>1</w:t>
            </w:r>
            <w:r>
              <w:rPr>
                <w:rFonts w:hint="eastAsia"/>
                <w:sz w:val="24"/>
                <w:highlight w:val="none"/>
                <w:lang w:val="en-US" w:eastAsia="zh-CN"/>
              </w:rPr>
              <w:t>6</w:t>
            </w:r>
            <w:r>
              <w:rPr>
                <w:rFonts w:hint="eastAsia"/>
                <w:sz w:val="24"/>
                <w:highlight w:val="none"/>
              </w:rPr>
              <w:t>）鼓励施工现场在道路、围墙、脚手架等部位安装喷淋或喷雾等降尘装置；鼓励在施工现场安装空气质量检测仪等装置。</w:t>
            </w:r>
          </w:p>
          <w:p>
            <w:pPr>
              <w:spacing w:line="480" w:lineRule="exact"/>
              <w:ind w:firstLine="480" w:firstLineChars="200"/>
              <w:rPr>
                <w:rFonts w:hint="eastAsia"/>
                <w:color w:val="000000"/>
                <w:sz w:val="24"/>
                <w:szCs w:val="24"/>
                <w:highlight w:val="none"/>
              </w:rPr>
            </w:pPr>
            <w:r>
              <w:rPr>
                <w:rFonts w:hint="eastAsia"/>
                <w:sz w:val="24"/>
                <w:highlight w:val="none"/>
              </w:rPr>
              <w:t>（1</w:t>
            </w:r>
            <w:r>
              <w:rPr>
                <w:rFonts w:hint="eastAsia"/>
                <w:sz w:val="24"/>
                <w:highlight w:val="none"/>
                <w:lang w:val="en-US" w:eastAsia="zh-CN"/>
              </w:rPr>
              <w:t>7</w:t>
            </w:r>
            <w:r>
              <w:rPr>
                <w:rFonts w:hint="eastAsia"/>
                <w:sz w:val="24"/>
                <w:highlight w:val="none"/>
              </w:rPr>
              <w:t>）</w:t>
            </w:r>
            <w:r>
              <w:rPr>
                <w:rFonts w:hint="eastAsia"/>
                <w:color w:val="000000"/>
                <w:sz w:val="24"/>
                <w:szCs w:val="24"/>
                <w:highlight w:val="none"/>
              </w:rPr>
              <w:t>施工现场视频监控和监测。施工现场出入口、加工区和主作业区等处安装远程视频监控，与住建部门联网；按规定安装在线监测系统，与环保部门联网，对施工扬尘实时监控。</w:t>
            </w:r>
          </w:p>
          <w:p>
            <w:pPr>
              <w:spacing w:line="480" w:lineRule="exact"/>
              <w:ind w:firstLine="480" w:firstLineChars="200"/>
              <w:rPr>
                <w:sz w:val="24"/>
                <w:highlight w:val="none"/>
              </w:rPr>
            </w:pPr>
            <w:r>
              <w:rPr>
                <w:rFonts w:hint="eastAsia"/>
                <w:sz w:val="24"/>
                <w:szCs w:val="24"/>
                <w:highlight w:val="none"/>
              </w:rPr>
              <w:t>采取上述措施后，</w:t>
            </w:r>
            <w:r>
              <w:rPr>
                <w:rFonts w:hint="eastAsia" w:hAnsi="宋体" w:cs="宋体"/>
                <w:color w:val="000000"/>
                <w:sz w:val="24"/>
                <w:szCs w:val="24"/>
                <w:highlight w:val="none"/>
                <w:lang w:bidi="ar"/>
              </w:rPr>
              <w:t>施工</w:t>
            </w:r>
            <w:r>
              <w:rPr>
                <w:sz w:val="24"/>
                <w:szCs w:val="24"/>
                <w:highlight w:val="none"/>
              </w:rPr>
              <w:t>扬尘</w:t>
            </w:r>
            <w:r>
              <w:rPr>
                <w:rFonts w:hint="eastAsia"/>
                <w:sz w:val="24"/>
                <w:szCs w:val="24"/>
                <w:highlight w:val="none"/>
              </w:rPr>
              <w:t>满足</w:t>
            </w:r>
            <w:r>
              <w:rPr>
                <w:sz w:val="24"/>
                <w:szCs w:val="24"/>
                <w:highlight w:val="none"/>
              </w:rPr>
              <w:t>《施工场地扬尘排放标准》（DB13/2934-2019）表1扬尘排放浓度限值</w:t>
            </w:r>
            <w:r>
              <w:rPr>
                <w:rFonts w:hint="eastAsia"/>
                <w:sz w:val="24"/>
                <w:szCs w:val="24"/>
                <w:highlight w:val="none"/>
              </w:rPr>
              <w:t>标准</w:t>
            </w:r>
            <w:r>
              <w:rPr>
                <w:sz w:val="24"/>
                <w:szCs w:val="24"/>
                <w:highlight w:val="none"/>
                <w:lang w:bidi="en-US"/>
              </w:rPr>
              <w:t>。</w:t>
            </w:r>
            <w:r>
              <w:rPr>
                <w:rFonts w:hint="eastAsia"/>
                <w:sz w:val="24"/>
                <w:szCs w:val="24"/>
                <w:highlight w:val="none"/>
              </w:rPr>
              <w:t>不会对环境空气造成明显的影响。</w:t>
            </w:r>
          </w:p>
          <w:p>
            <w:pPr>
              <w:spacing w:line="480" w:lineRule="exact"/>
              <w:ind w:firstLine="482" w:firstLineChars="200"/>
              <w:rPr>
                <w:b/>
                <w:sz w:val="24"/>
                <w:highlight w:val="none"/>
              </w:rPr>
            </w:pPr>
            <w:r>
              <w:rPr>
                <w:b/>
                <w:sz w:val="24"/>
                <w:highlight w:val="none"/>
              </w:rPr>
              <w:t>2</w:t>
            </w:r>
            <w:r>
              <w:rPr>
                <w:rFonts w:hint="eastAsia"/>
                <w:b/>
                <w:sz w:val="24"/>
                <w:highlight w:val="none"/>
              </w:rPr>
              <w:t>、水环境影响分析</w:t>
            </w:r>
          </w:p>
          <w:p>
            <w:pPr>
              <w:spacing w:line="480" w:lineRule="exact"/>
              <w:ind w:firstLine="480" w:firstLineChars="200"/>
              <w:rPr>
                <w:sz w:val="24"/>
                <w:highlight w:val="none"/>
              </w:rPr>
            </w:pPr>
            <w:r>
              <w:rPr>
                <w:rFonts w:hint="eastAsia"/>
                <w:sz w:val="24"/>
                <w:highlight w:val="none"/>
              </w:rPr>
              <w:t>拟建项目施工期废水主要为施工人员生活污水，水量较少且成分简单，用于泼洒地面抑尘。生活污水不外排，不会对区域水环境产生影响。</w:t>
            </w:r>
          </w:p>
          <w:p>
            <w:pPr>
              <w:spacing w:line="480" w:lineRule="exact"/>
              <w:ind w:firstLine="482" w:firstLineChars="200"/>
              <w:rPr>
                <w:b/>
                <w:sz w:val="24"/>
                <w:highlight w:val="none"/>
              </w:rPr>
            </w:pPr>
            <w:r>
              <w:rPr>
                <w:b/>
                <w:sz w:val="24"/>
                <w:highlight w:val="none"/>
              </w:rPr>
              <w:t>3</w:t>
            </w:r>
            <w:r>
              <w:rPr>
                <w:rFonts w:hint="eastAsia"/>
                <w:b/>
                <w:sz w:val="24"/>
                <w:highlight w:val="none"/>
              </w:rPr>
              <w:t>、声环境影响分析</w:t>
            </w:r>
          </w:p>
          <w:p>
            <w:pPr>
              <w:pStyle w:val="6"/>
              <w:adjustRightInd w:val="0"/>
              <w:snapToGrid w:val="0"/>
              <w:spacing w:line="480" w:lineRule="exact"/>
              <w:ind w:firstLine="480" w:firstLineChars="200"/>
              <w:rPr>
                <w:sz w:val="24"/>
                <w:szCs w:val="24"/>
                <w:highlight w:val="none"/>
              </w:rPr>
            </w:pPr>
            <w:r>
              <w:rPr>
                <w:sz w:val="24"/>
                <w:szCs w:val="24"/>
                <w:highlight w:val="none"/>
              </w:rPr>
              <w:t>施工期噪声源主要为砂轮机、电钻、切割机等设备产生的噪声，其噪声值一般在70-90</w:t>
            </w:r>
            <w:r>
              <w:rPr>
                <w:rFonts w:hint="eastAsia"/>
                <w:sz w:val="24"/>
                <w:szCs w:val="24"/>
                <w:highlight w:val="none"/>
              </w:rPr>
              <w:t>d</w:t>
            </w:r>
            <w:r>
              <w:rPr>
                <w:sz w:val="24"/>
                <w:szCs w:val="24"/>
                <w:highlight w:val="none"/>
              </w:rPr>
              <w:t>B（A）之间。随着施工期的结束，噪声也就不复存在。施工期间采取如下降噪措施：</w:t>
            </w:r>
          </w:p>
          <w:p>
            <w:pPr>
              <w:pStyle w:val="6"/>
              <w:adjustRightInd w:val="0"/>
              <w:snapToGrid w:val="0"/>
              <w:spacing w:line="480" w:lineRule="exact"/>
              <w:ind w:firstLine="480" w:firstLineChars="200"/>
              <w:rPr>
                <w:sz w:val="24"/>
                <w:szCs w:val="24"/>
                <w:highlight w:val="none"/>
              </w:rPr>
            </w:pPr>
            <w:r>
              <w:rPr>
                <w:sz w:val="24"/>
                <w:szCs w:val="24"/>
                <w:highlight w:val="none"/>
              </w:rPr>
              <w:t>①施工单位要严格按照建筑施工场地要求的时间段施工，尽量避免多台施工机械同时作业。中午12:00-14:00，夜间22:00到次日清晨6:00时段内，禁止施工。</w:t>
            </w:r>
          </w:p>
          <w:p>
            <w:pPr>
              <w:pStyle w:val="6"/>
              <w:adjustRightInd w:val="0"/>
              <w:snapToGrid w:val="0"/>
              <w:spacing w:line="480" w:lineRule="exact"/>
              <w:ind w:firstLine="480" w:firstLineChars="200"/>
              <w:rPr>
                <w:sz w:val="24"/>
                <w:szCs w:val="24"/>
                <w:highlight w:val="none"/>
              </w:rPr>
            </w:pPr>
            <w:r>
              <w:rPr>
                <w:sz w:val="24"/>
                <w:szCs w:val="24"/>
                <w:highlight w:val="none"/>
              </w:rPr>
              <w:t>②选用高效、低噪声施工机械，加强对机械设备的维护保养和正确操作，保证在良好的条件下使用，减少运行噪声。</w:t>
            </w:r>
          </w:p>
          <w:p>
            <w:pPr>
              <w:pStyle w:val="6"/>
              <w:adjustRightInd w:val="0"/>
              <w:snapToGrid w:val="0"/>
              <w:spacing w:line="480" w:lineRule="exact"/>
              <w:ind w:firstLine="480" w:firstLineChars="200"/>
              <w:rPr>
                <w:sz w:val="24"/>
                <w:szCs w:val="24"/>
                <w:highlight w:val="none"/>
              </w:rPr>
            </w:pPr>
            <w:r>
              <w:rPr>
                <w:sz w:val="24"/>
                <w:szCs w:val="24"/>
                <w:highlight w:val="none"/>
              </w:rPr>
              <w:t>③规范施工现场围挡，充分发挥其隔声降噪作用。</w:t>
            </w:r>
          </w:p>
          <w:p>
            <w:pPr>
              <w:pStyle w:val="6"/>
              <w:adjustRightInd w:val="0"/>
              <w:snapToGrid w:val="0"/>
              <w:spacing w:line="480" w:lineRule="exact"/>
              <w:ind w:firstLine="480" w:firstLineChars="200"/>
              <w:rPr>
                <w:sz w:val="24"/>
                <w:szCs w:val="24"/>
                <w:highlight w:val="none"/>
              </w:rPr>
            </w:pPr>
            <w:r>
              <w:rPr>
                <w:sz w:val="24"/>
                <w:szCs w:val="24"/>
                <w:highlight w:val="none"/>
              </w:rPr>
              <w:t>通过采取以上措施，项目施工噪声对周围环境影响能够较小。</w:t>
            </w:r>
          </w:p>
          <w:p>
            <w:pPr>
              <w:spacing w:line="480" w:lineRule="exact"/>
              <w:ind w:firstLine="482" w:firstLineChars="200"/>
              <w:rPr>
                <w:b/>
                <w:sz w:val="24"/>
                <w:highlight w:val="none"/>
              </w:rPr>
            </w:pPr>
            <w:r>
              <w:rPr>
                <w:b/>
                <w:sz w:val="24"/>
                <w:highlight w:val="none"/>
              </w:rPr>
              <w:t>4</w:t>
            </w:r>
            <w:r>
              <w:rPr>
                <w:rFonts w:hint="eastAsia"/>
                <w:b/>
                <w:sz w:val="24"/>
                <w:highlight w:val="none"/>
              </w:rPr>
              <w:t>、固废影响分析</w:t>
            </w:r>
          </w:p>
          <w:p>
            <w:pPr>
              <w:spacing w:line="480" w:lineRule="exact"/>
              <w:ind w:firstLine="480" w:firstLineChars="200"/>
              <w:outlineLvl w:val="0"/>
              <w:rPr>
                <w:rFonts w:hint="eastAsia"/>
                <w:b/>
                <w:sz w:val="28"/>
                <w:highlight w:val="none"/>
              </w:rPr>
            </w:pPr>
            <w:r>
              <w:rPr>
                <w:rFonts w:hint="eastAsia"/>
                <w:sz w:val="24"/>
                <w:highlight w:val="none"/>
              </w:rPr>
              <w:t>施工期间产生的固体废物主要为施工产生的弃土、建筑垃圾和施工人员的生活垃圾。对不同的固体废物应合理分类、</w:t>
            </w:r>
            <w:r>
              <w:rPr>
                <w:rFonts w:hint="eastAsia"/>
                <w:color w:val="000000"/>
                <w:sz w:val="24"/>
                <w:highlight w:val="none"/>
              </w:rPr>
              <w:t>收集</w:t>
            </w:r>
            <w:r>
              <w:rPr>
                <w:rFonts w:hint="eastAsia"/>
                <w:sz w:val="24"/>
                <w:highlight w:val="none"/>
              </w:rPr>
              <w:t>并合法处置。对施工弃土尽可能的利用，如用于绿化表土。生活垃圾由环卫部门定期清运，统一处置。固体废物全部妥善处置，因此，不会对周围环境产生明显影响。</w:t>
            </w:r>
          </w:p>
          <w:p>
            <w:pPr>
              <w:pStyle w:val="6"/>
              <w:spacing w:line="500" w:lineRule="exact"/>
              <w:ind w:firstLine="0"/>
              <w:rPr>
                <w:sz w:val="24"/>
                <w:szCs w:val="24"/>
                <w:highlight w:val="none"/>
              </w:rPr>
            </w:pPr>
          </w:p>
          <w:p>
            <w:pPr>
              <w:pStyle w:val="6"/>
              <w:spacing w:line="500" w:lineRule="exact"/>
              <w:ind w:firstLine="0"/>
              <w:rPr>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9" w:hRule="atLeast"/>
          <w:jc w:val="center"/>
        </w:trPr>
        <w:tc>
          <w:tcPr>
            <w:tcW w:w="9094" w:type="dxa"/>
            <w:noWrap w:val="0"/>
            <w:vAlign w:val="top"/>
          </w:tcPr>
          <w:p>
            <w:pPr>
              <w:spacing w:line="500" w:lineRule="exact"/>
              <w:rPr>
                <w:b/>
                <w:sz w:val="28"/>
                <w:highlight w:val="none"/>
              </w:rPr>
            </w:pPr>
            <w:r>
              <w:rPr>
                <w:b/>
                <w:sz w:val="28"/>
                <w:highlight w:val="none"/>
              </w:rPr>
              <w:t>营运期环境影响分析：</w:t>
            </w:r>
          </w:p>
          <w:p>
            <w:pPr>
              <w:pStyle w:val="6"/>
              <w:adjustRightInd w:val="0"/>
              <w:snapToGrid w:val="0"/>
              <w:spacing w:line="480" w:lineRule="exact"/>
              <w:ind w:firstLine="480" w:firstLineChars="200"/>
              <w:rPr>
                <w:rFonts w:hint="eastAsia"/>
                <w:snapToGrid w:val="0"/>
                <w:sz w:val="24"/>
                <w:szCs w:val="24"/>
                <w:highlight w:val="none"/>
              </w:rPr>
            </w:pPr>
            <w:r>
              <w:rPr>
                <w:rFonts w:hint="eastAsia"/>
                <w:snapToGrid w:val="0"/>
                <w:sz w:val="24"/>
                <w:szCs w:val="24"/>
                <w:highlight w:val="none"/>
              </w:rPr>
              <w:t>1、大气环境影响分析</w:t>
            </w:r>
          </w:p>
          <w:p>
            <w:pPr>
              <w:pStyle w:val="6"/>
              <w:adjustRightInd w:val="0"/>
              <w:snapToGrid w:val="0"/>
              <w:spacing w:line="480" w:lineRule="exact"/>
              <w:ind w:firstLine="480" w:firstLineChars="200"/>
              <w:rPr>
                <w:rFonts w:hint="eastAsia"/>
                <w:sz w:val="24"/>
                <w:szCs w:val="24"/>
                <w:highlight w:val="none"/>
              </w:rPr>
            </w:pPr>
            <w:r>
              <w:rPr>
                <w:rFonts w:hint="eastAsia"/>
                <w:snapToGrid w:val="0"/>
                <w:sz w:val="24"/>
                <w:szCs w:val="24"/>
                <w:highlight w:val="none"/>
              </w:rPr>
              <w:t>本项目不设食堂，不产生食堂油烟等</w:t>
            </w:r>
            <w:r>
              <w:rPr>
                <w:rFonts w:hint="eastAsia"/>
                <w:snapToGrid w:val="0"/>
                <w:sz w:val="24"/>
                <w:szCs w:val="24"/>
                <w:highlight w:val="none"/>
                <w:lang w:eastAsia="zh-CN"/>
              </w:rPr>
              <w:t>，</w:t>
            </w:r>
            <w:r>
              <w:rPr>
                <w:rFonts w:hint="eastAsia"/>
                <w:snapToGrid w:val="0"/>
                <w:sz w:val="24"/>
                <w:szCs w:val="24"/>
                <w:highlight w:val="none"/>
              </w:rPr>
              <w:t>无废气</w:t>
            </w:r>
            <w:r>
              <w:rPr>
                <w:rFonts w:hint="eastAsia"/>
                <w:sz w:val="24"/>
                <w:szCs w:val="24"/>
                <w:highlight w:val="none"/>
              </w:rPr>
              <w:t>产生。</w:t>
            </w:r>
          </w:p>
          <w:p>
            <w:pPr>
              <w:pStyle w:val="6"/>
              <w:adjustRightInd w:val="0"/>
              <w:snapToGrid w:val="0"/>
              <w:spacing w:line="360" w:lineRule="auto"/>
              <w:ind w:firstLine="480" w:firstLineChars="200"/>
              <w:rPr>
                <w:snapToGrid w:val="0"/>
                <w:sz w:val="24"/>
                <w:szCs w:val="24"/>
                <w:highlight w:val="none"/>
              </w:rPr>
            </w:pPr>
            <w:r>
              <w:rPr>
                <w:snapToGrid w:val="0"/>
                <w:sz w:val="24"/>
                <w:szCs w:val="24"/>
                <w:highlight w:val="none"/>
              </w:rPr>
              <w:t>2</w:t>
            </w:r>
            <w:r>
              <w:rPr>
                <w:rFonts w:hint="eastAsia"/>
                <w:snapToGrid w:val="0"/>
                <w:sz w:val="24"/>
                <w:szCs w:val="24"/>
                <w:highlight w:val="none"/>
              </w:rPr>
              <w:t>、水环境影响分析</w:t>
            </w:r>
          </w:p>
          <w:p>
            <w:pPr>
              <w:pStyle w:val="6"/>
              <w:tabs>
                <w:tab w:val="left" w:pos="477"/>
              </w:tabs>
              <w:adjustRightInd w:val="0"/>
              <w:snapToGrid w:val="0"/>
              <w:spacing w:line="360" w:lineRule="auto"/>
              <w:ind w:firstLine="480" w:firstLineChars="200"/>
              <w:rPr>
                <w:rFonts w:hint="eastAsia"/>
                <w:sz w:val="24"/>
                <w:szCs w:val="24"/>
                <w:highlight w:val="none"/>
              </w:rPr>
            </w:pPr>
            <w:r>
              <w:rPr>
                <w:rFonts w:hint="eastAsia"/>
                <w:sz w:val="24"/>
                <w:szCs w:val="24"/>
                <w:highlight w:val="none"/>
              </w:rPr>
              <w:t>(1)地表水环境影响分析</w:t>
            </w:r>
          </w:p>
          <w:p>
            <w:pPr>
              <w:pStyle w:val="6"/>
              <w:tabs>
                <w:tab w:val="left" w:pos="477"/>
              </w:tabs>
              <w:adjustRightInd w:val="0"/>
              <w:snapToGrid w:val="0"/>
              <w:spacing w:line="360" w:lineRule="auto"/>
              <w:ind w:firstLine="480" w:firstLineChars="200"/>
              <w:rPr>
                <w:rFonts w:hint="eastAsia"/>
                <w:sz w:val="24"/>
                <w:highlight w:val="none"/>
              </w:rPr>
            </w:pPr>
            <w:r>
              <w:rPr>
                <w:rFonts w:hint="eastAsia"/>
                <w:sz w:val="24"/>
                <w:highlight w:val="none"/>
              </w:rPr>
              <w:t>根据《环境影响评价技术导则 地</w:t>
            </w:r>
            <w:r>
              <w:rPr>
                <w:rFonts w:hint="eastAsia"/>
                <w:sz w:val="24"/>
                <w:highlight w:val="none"/>
                <w:lang w:eastAsia="zh-CN"/>
              </w:rPr>
              <w:t>表</w:t>
            </w:r>
            <w:r>
              <w:rPr>
                <w:rFonts w:hint="eastAsia"/>
                <w:sz w:val="24"/>
                <w:highlight w:val="none"/>
              </w:rPr>
              <w:t>水环境》（HJ</w:t>
            </w:r>
            <w:r>
              <w:rPr>
                <w:rFonts w:hint="eastAsia"/>
                <w:sz w:val="24"/>
                <w:highlight w:val="none"/>
                <w:lang w:val="en-US" w:eastAsia="zh-CN"/>
              </w:rPr>
              <w:t>2.3</w:t>
            </w:r>
            <w:r>
              <w:rPr>
                <w:rFonts w:hint="eastAsia"/>
                <w:sz w:val="24"/>
                <w:highlight w:val="none"/>
              </w:rPr>
              <w:t>-201</w:t>
            </w:r>
            <w:r>
              <w:rPr>
                <w:rFonts w:hint="eastAsia"/>
                <w:sz w:val="24"/>
                <w:highlight w:val="none"/>
                <w:lang w:val="en-US" w:eastAsia="zh-CN"/>
              </w:rPr>
              <w:t>8</w:t>
            </w:r>
            <w:r>
              <w:rPr>
                <w:rFonts w:hint="eastAsia"/>
                <w:sz w:val="24"/>
                <w:highlight w:val="none"/>
              </w:rPr>
              <w:t>），本项目</w:t>
            </w:r>
            <w:r>
              <w:rPr>
                <w:rFonts w:hint="eastAsia"/>
                <w:sz w:val="24"/>
                <w:highlight w:val="none"/>
                <w:lang w:eastAsia="zh-CN"/>
              </w:rPr>
              <w:t>废水排放为间接排放项目</w:t>
            </w:r>
            <w:r>
              <w:rPr>
                <w:rFonts w:hint="eastAsia"/>
                <w:sz w:val="24"/>
                <w:highlight w:val="none"/>
              </w:rPr>
              <w:t>，</w:t>
            </w:r>
            <w:r>
              <w:rPr>
                <w:rFonts w:hint="eastAsia"/>
                <w:sz w:val="24"/>
                <w:highlight w:val="none"/>
                <w:lang w:eastAsia="zh-CN"/>
              </w:rPr>
              <w:t>评价等级为三级</w:t>
            </w:r>
            <w:r>
              <w:rPr>
                <w:rFonts w:hint="eastAsia"/>
                <w:sz w:val="24"/>
                <w:highlight w:val="none"/>
                <w:lang w:val="en-US" w:eastAsia="zh-CN"/>
              </w:rPr>
              <w:t>B，可不进行水环境影响预测</w:t>
            </w:r>
            <w:r>
              <w:rPr>
                <w:rFonts w:hint="eastAsia"/>
                <w:sz w:val="24"/>
                <w:highlight w:val="none"/>
              </w:rPr>
              <w:t>。</w:t>
            </w:r>
          </w:p>
          <w:p>
            <w:pPr>
              <w:pStyle w:val="33"/>
              <w:numPr>
                <w:ilvl w:val="0"/>
                <w:numId w:val="2"/>
              </w:numPr>
              <w:adjustRightInd w:val="0"/>
              <w:snapToGrid w:val="0"/>
              <w:spacing w:before="0" w:beforeAutospacing="0" w:after="0" w:afterAutospacing="0" w:line="360" w:lineRule="auto"/>
              <w:ind w:firstLine="480" w:firstLineChars="200"/>
              <w:rPr>
                <w:color w:val="auto"/>
                <w:highlight w:val="none"/>
              </w:rPr>
            </w:pPr>
            <w:r>
              <w:rPr>
                <w:rFonts w:hint="eastAsia"/>
                <w:color w:val="auto"/>
                <w:highlight w:val="none"/>
              </w:rPr>
              <w:t>废水的产生</w:t>
            </w:r>
          </w:p>
          <w:p>
            <w:pPr>
              <w:pStyle w:val="6"/>
              <w:adjustRightInd w:val="0"/>
              <w:snapToGrid w:val="0"/>
              <w:spacing w:line="360" w:lineRule="auto"/>
              <w:ind w:firstLine="480" w:firstLineChars="200"/>
              <w:rPr>
                <w:snapToGrid w:val="0"/>
                <w:sz w:val="24"/>
                <w:szCs w:val="24"/>
                <w:highlight w:val="none"/>
              </w:rPr>
            </w:pPr>
            <w:r>
              <w:rPr>
                <w:rFonts w:hint="eastAsia"/>
                <w:sz w:val="24"/>
                <w:szCs w:val="24"/>
                <w:highlight w:val="none"/>
              </w:rPr>
              <w:t>项目排水主要为生活污水</w:t>
            </w:r>
            <w:r>
              <w:rPr>
                <w:rFonts w:hint="eastAsia"/>
                <w:sz w:val="24"/>
                <w:szCs w:val="24"/>
                <w:highlight w:val="none"/>
                <w:lang w:eastAsia="zh-CN"/>
              </w:rPr>
              <w:t>和医疗废水，医疗废水包括</w:t>
            </w:r>
            <w:r>
              <w:rPr>
                <w:rFonts w:hint="eastAsia"/>
                <w:sz w:val="24"/>
                <w:szCs w:val="24"/>
                <w:highlight w:val="none"/>
              </w:rPr>
              <w:t>体检废水、</w:t>
            </w:r>
            <w:r>
              <w:rPr>
                <w:rFonts w:hint="eastAsia"/>
                <w:color w:val="000000"/>
                <w:sz w:val="24"/>
                <w:szCs w:val="24"/>
                <w:highlight w:val="none"/>
              </w:rPr>
              <w:t>健康养护废水、洗衣废水</w:t>
            </w:r>
            <w:r>
              <w:rPr>
                <w:rFonts w:hint="eastAsia"/>
                <w:sz w:val="24"/>
                <w:szCs w:val="24"/>
                <w:highlight w:val="none"/>
              </w:rPr>
              <w:t>，排水量按用水量的</w:t>
            </w:r>
            <w:r>
              <w:rPr>
                <w:sz w:val="24"/>
                <w:szCs w:val="24"/>
                <w:highlight w:val="none"/>
              </w:rPr>
              <w:t>80%</w:t>
            </w:r>
            <w:r>
              <w:rPr>
                <w:rFonts w:hint="eastAsia"/>
                <w:sz w:val="24"/>
                <w:szCs w:val="24"/>
                <w:highlight w:val="none"/>
              </w:rPr>
              <w:t>计算，则项目总排水量为14</w:t>
            </w:r>
            <w:r>
              <w:rPr>
                <w:sz w:val="24"/>
                <w:szCs w:val="24"/>
                <w:highlight w:val="none"/>
              </w:rPr>
              <w:t>m</w:t>
            </w:r>
            <w:r>
              <w:rPr>
                <w:sz w:val="24"/>
                <w:szCs w:val="24"/>
                <w:highlight w:val="none"/>
                <w:vertAlign w:val="superscript"/>
              </w:rPr>
              <w:t>3</w:t>
            </w:r>
            <w:r>
              <w:rPr>
                <w:sz w:val="24"/>
                <w:szCs w:val="24"/>
                <w:highlight w:val="none"/>
              </w:rPr>
              <w:t>/d</w:t>
            </w:r>
            <w:r>
              <w:rPr>
                <w:rFonts w:hint="eastAsia"/>
                <w:sz w:val="24"/>
                <w:szCs w:val="24"/>
                <w:highlight w:val="none"/>
              </w:rPr>
              <w:t>（4620</w:t>
            </w:r>
            <w:r>
              <w:rPr>
                <w:sz w:val="24"/>
                <w:szCs w:val="24"/>
                <w:highlight w:val="none"/>
              </w:rPr>
              <w:t>m</w:t>
            </w:r>
            <w:r>
              <w:rPr>
                <w:sz w:val="24"/>
                <w:szCs w:val="24"/>
                <w:highlight w:val="none"/>
                <w:vertAlign w:val="superscript"/>
              </w:rPr>
              <w:t>3</w:t>
            </w:r>
            <w:r>
              <w:rPr>
                <w:sz w:val="24"/>
                <w:szCs w:val="24"/>
                <w:highlight w:val="none"/>
              </w:rPr>
              <w:t>/a</w:t>
            </w:r>
            <w:r>
              <w:rPr>
                <w:rFonts w:hint="eastAsia"/>
                <w:sz w:val="24"/>
                <w:szCs w:val="24"/>
                <w:highlight w:val="none"/>
              </w:rPr>
              <w:t>）。</w:t>
            </w:r>
            <w:r>
              <w:rPr>
                <w:rFonts w:hint="eastAsia"/>
                <w:snapToGrid w:val="0"/>
                <w:sz w:val="24"/>
                <w:szCs w:val="24"/>
                <w:highlight w:val="none"/>
              </w:rPr>
              <w:t>其中产生酸性废水</w:t>
            </w:r>
            <w:r>
              <w:rPr>
                <w:snapToGrid w:val="0"/>
                <w:sz w:val="24"/>
                <w:szCs w:val="24"/>
                <w:highlight w:val="none"/>
              </w:rPr>
              <w:t>PH</w:t>
            </w:r>
            <w:r>
              <w:rPr>
                <w:rFonts w:hint="eastAsia"/>
                <w:snapToGrid w:val="0"/>
                <w:sz w:val="24"/>
                <w:szCs w:val="24"/>
                <w:highlight w:val="none"/>
              </w:rPr>
              <w:t>值在</w:t>
            </w:r>
            <w:r>
              <w:rPr>
                <w:snapToGrid w:val="0"/>
                <w:sz w:val="24"/>
                <w:szCs w:val="24"/>
                <w:highlight w:val="none"/>
              </w:rPr>
              <w:t>6-9</w:t>
            </w:r>
            <w:r>
              <w:rPr>
                <w:rFonts w:hint="eastAsia"/>
                <w:snapToGrid w:val="0"/>
                <w:sz w:val="24"/>
                <w:szCs w:val="24"/>
                <w:highlight w:val="none"/>
              </w:rPr>
              <w:t>范围内，各科室内不涉及含氰、含汞、含铬废水及洗相废水</w:t>
            </w:r>
            <w:r>
              <w:rPr>
                <w:snapToGrid w:val="0"/>
                <w:sz w:val="24"/>
                <w:szCs w:val="24"/>
                <w:highlight w:val="none"/>
              </w:rPr>
              <w:t>。</w:t>
            </w:r>
          </w:p>
          <w:p>
            <w:pPr>
              <w:pStyle w:val="33"/>
              <w:numPr>
                <w:ilvl w:val="0"/>
                <w:numId w:val="2"/>
              </w:numPr>
              <w:adjustRightInd w:val="0"/>
              <w:snapToGrid w:val="0"/>
              <w:spacing w:before="0" w:beforeAutospacing="0" w:after="0" w:afterAutospacing="0" w:line="360" w:lineRule="auto"/>
              <w:rPr>
                <w:rFonts w:ascii="Times New Roman" w:hAnsi="Times New Roman" w:cs="Times New Roman"/>
                <w:color w:val="auto"/>
                <w:highlight w:val="none"/>
              </w:rPr>
            </w:pPr>
            <w:r>
              <w:rPr>
                <w:rFonts w:hint="eastAsia" w:ascii="Times New Roman" w:hAnsi="Times New Roman" w:cs="Times New Roman"/>
                <w:color w:val="auto"/>
                <w:highlight w:val="none"/>
              </w:rPr>
              <w:t>废水的治理</w:t>
            </w:r>
          </w:p>
          <w:p>
            <w:pPr>
              <w:widowControl/>
              <w:spacing w:line="360" w:lineRule="auto"/>
              <w:ind w:firstLine="480" w:firstLineChars="200"/>
              <w:jc w:val="left"/>
              <w:rPr>
                <w:rFonts w:hint="eastAsia"/>
                <w:highlight w:val="none"/>
              </w:rPr>
            </w:pPr>
            <w:r>
              <w:rPr>
                <w:rFonts w:hint="eastAsia"/>
                <w:snapToGrid w:val="0"/>
                <w:sz w:val="24"/>
                <w:szCs w:val="24"/>
                <w:highlight w:val="none"/>
                <w:lang w:eastAsia="zh-CN"/>
              </w:rPr>
              <w:t>生活污水经化粪池处理后，排至</w:t>
            </w:r>
            <w:r>
              <w:rPr>
                <w:rFonts w:hint="eastAsia"/>
                <w:snapToGrid w:val="0"/>
                <w:sz w:val="24"/>
                <w:szCs w:val="24"/>
                <w:highlight w:val="none"/>
              </w:rPr>
              <w:t>迁安市人民医院污水处理站污水处理，</w:t>
            </w:r>
            <w:r>
              <w:rPr>
                <w:rFonts w:hint="eastAsia"/>
                <w:snapToGrid w:val="0"/>
                <w:sz w:val="24"/>
                <w:szCs w:val="24"/>
                <w:highlight w:val="none"/>
                <w:lang w:eastAsia="zh-CN"/>
              </w:rPr>
              <w:t>医疗废水直接排入迁安市人民医院污水处理站处理。</w:t>
            </w:r>
            <w:r>
              <w:rPr>
                <w:rFonts w:hint="eastAsia"/>
                <w:snapToGrid w:val="0"/>
                <w:sz w:val="24"/>
                <w:szCs w:val="24"/>
                <w:highlight w:val="none"/>
              </w:rPr>
              <w:t>污水处理站处理工艺为</w:t>
            </w:r>
            <w:r>
              <w:rPr>
                <w:snapToGrid w:val="0"/>
                <w:sz w:val="24"/>
                <w:szCs w:val="24"/>
                <w:highlight w:val="none"/>
              </w:rPr>
              <w:t>“</w:t>
            </w:r>
            <w:r>
              <w:rPr>
                <w:rFonts w:hint="eastAsia"/>
                <w:snapToGrid w:val="0"/>
                <w:sz w:val="24"/>
                <w:szCs w:val="24"/>
                <w:highlight w:val="none"/>
              </w:rPr>
              <w:t>污水</w:t>
            </w:r>
            <w:r>
              <w:rPr>
                <w:snapToGrid w:val="0"/>
                <w:sz w:val="24"/>
                <w:szCs w:val="24"/>
                <w:highlight w:val="none"/>
              </w:rPr>
              <w:t>→</w:t>
            </w:r>
            <w:r>
              <w:rPr>
                <w:rFonts w:hint="eastAsia"/>
                <w:snapToGrid w:val="0"/>
                <w:sz w:val="24"/>
                <w:szCs w:val="24"/>
                <w:highlight w:val="none"/>
              </w:rPr>
              <w:t>格栅</w:t>
            </w:r>
            <w:r>
              <w:rPr>
                <w:snapToGrid w:val="0"/>
                <w:sz w:val="24"/>
                <w:szCs w:val="24"/>
                <w:highlight w:val="none"/>
              </w:rPr>
              <w:t>→</w:t>
            </w:r>
            <w:r>
              <w:rPr>
                <w:rFonts w:hint="eastAsia"/>
                <w:snapToGrid w:val="0"/>
                <w:sz w:val="24"/>
                <w:szCs w:val="24"/>
                <w:highlight w:val="none"/>
              </w:rPr>
              <w:t>集水井</w:t>
            </w:r>
            <w:r>
              <w:rPr>
                <w:snapToGrid w:val="0"/>
                <w:sz w:val="24"/>
                <w:szCs w:val="24"/>
                <w:highlight w:val="none"/>
              </w:rPr>
              <w:t>→</w:t>
            </w:r>
            <w:r>
              <w:rPr>
                <w:rFonts w:hint="eastAsia"/>
                <w:snapToGrid w:val="0"/>
                <w:sz w:val="24"/>
                <w:szCs w:val="24"/>
                <w:highlight w:val="none"/>
              </w:rPr>
              <w:t>调节池</w:t>
            </w:r>
            <w:r>
              <w:rPr>
                <w:snapToGrid w:val="0"/>
                <w:sz w:val="24"/>
                <w:szCs w:val="24"/>
                <w:highlight w:val="none"/>
              </w:rPr>
              <w:t>→</w:t>
            </w:r>
            <w:r>
              <w:rPr>
                <w:rFonts w:hint="eastAsia"/>
                <w:snapToGrid w:val="0"/>
                <w:sz w:val="24"/>
                <w:szCs w:val="24"/>
                <w:highlight w:val="none"/>
              </w:rPr>
              <w:t>水解池</w:t>
            </w:r>
            <w:r>
              <w:rPr>
                <w:snapToGrid w:val="0"/>
                <w:sz w:val="24"/>
                <w:szCs w:val="24"/>
                <w:highlight w:val="none"/>
              </w:rPr>
              <w:t>→</w:t>
            </w:r>
            <w:r>
              <w:rPr>
                <w:rFonts w:hint="eastAsia"/>
                <w:snapToGrid w:val="0"/>
                <w:sz w:val="24"/>
                <w:szCs w:val="24"/>
                <w:highlight w:val="none"/>
              </w:rPr>
              <w:t>生物接触氧化池</w:t>
            </w:r>
            <w:r>
              <w:rPr>
                <w:snapToGrid w:val="0"/>
                <w:sz w:val="24"/>
                <w:szCs w:val="24"/>
                <w:highlight w:val="none"/>
              </w:rPr>
              <w:t>→</w:t>
            </w:r>
            <w:r>
              <w:rPr>
                <w:rFonts w:hint="eastAsia"/>
                <w:snapToGrid w:val="0"/>
                <w:sz w:val="24"/>
                <w:szCs w:val="24"/>
                <w:highlight w:val="none"/>
              </w:rPr>
              <w:t>高效沉淀池</w:t>
            </w:r>
            <w:r>
              <w:rPr>
                <w:snapToGrid w:val="0"/>
                <w:sz w:val="24"/>
                <w:szCs w:val="24"/>
                <w:highlight w:val="none"/>
              </w:rPr>
              <w:t>→</w:t>
            </w:r>
            <w:r>
              <w:rPr>
                <w:rFonts w:hint="eastAsia"/>
                <w:snapToGrid w:val="0"/>
                <w:sz w:val="24"/>
                <w:szCs w:val="24"/>
                <w:highlight w:val="none"/>
              </w:rPr>
              <w:t>中间水池</w:t>
            </w:r>
            <w:r>
              <w:rPr>
                <w:snapToGrid w:val="0"/>
                <w:sz w:val="24"/>
                <w:szCs w:val="24"/>
                <w:highlight w:val="none"/>
              </w:rPr>
              <w:t>→</w:t>
            </w:r>
            <w:r>
              <w:rPr>
                <w:rFonts w:hint="eastAsia"/>
                <w:snapToGrid w:val="0"/>
                <w:sz w:val="24"/>
                <w:szCs w:val="24"/>
                <w:highlight w:val="none"/>
              </w:rPr>
              <w:t>机械过滤器</w:t>
            </w:r>
            <w:r>
              <w:rPr>
                <w:snapToGrid w:val="0"/>
                <w:sz w:val="24"/>
                <w:szCs w:val="24"/>
                <w:highlight w:val="none"/>
              </w:rPr>
              <w:t>→</w:t>
            </w:r>
            <w:r>
              <w:rPr>
                <w:rFonts w:hint="eastAsia"/>
                <w:snapToGrid w:val="0"/>
                <w:sz w:val="24"/>
                <w:szCs w:val="24"/>
                <w:highlight w:val="none"/>
              </w:rPr>
              <w:t>消毒水池</w:t>
            </w:r>
            <w:r>
              <w:rPr>
                <w:snapToGrid w:val="0"/>
                <w:sz w:val="24"/>
                <w:szCs w:val="24"/>
                <w:highlight w:val="none"/>
              </w:rPr>
              <w:t>→</w:t>
            </w:r>
            <w:r>
              <w:rPr>
                <w:rFonts w:hint="eastAsia"/>
                <w:snapToGrid w:val="0"/>
                <w:sz w:val="24"/>
                <w:szCs w:val="24"/>
                <w:highlight w:val="none"/>
              </w:rPr>
              <w:t>脱氯水池</w:t>
            </w:r>
            <w:r>
              <w:rPr>
                <w:snapToGrid w:val="0"/>
                <w:sz w:val="24"/>
                <w:szCs w:val="24"/>
                <w:highlight w:val="none"/>
              </w:rPr>
              <w:t>”</w:t>
            </w:r>
            <w:r>
              <w:rPr>
                <w:rFonts w:hint="eastAsia"/>
                <w:snapToGrid w:val="0"/>
                <w:sz w:val="24"/>
                <w:szCs w:val="24"/>
                <w:highlight w:val="none"/>
              </w:rPr>
              <w:t>，处理后排入城市市政污水管网</w:t>
            </w:r>
            <w:r>
              <w:rPr>
                <w:rFonts w:hint="eastAsia"/>
                <w:snapToGrid w:val="0"/>
                <w:sz w:val="24"/>
                <w:szCs w:val="24"/>
                <w:highlight w:val="none"/>
                <w:lang w:eastAsia="zh-CN"/>
              </w:rPr>
              <w:t>（与人民医院共用一个排污口）</w:t>
            </w:r>
            <w:r>
              <w:rPr>
                <w:rFonts w:hint="eastAsia"/>
                <w:snapToGrid w:val="0"/>
                <w:sz w:val="24"/>
                <w:szCs w:val="24"/>
                <w:highlight w:val="none"/>
              </w:rPr>
              <w:t>，最终进入迁安市城市污水处理厂</w:t>
            </w:r>
            <w:r>
              <w:rPr>
                <w:rFonts w:hint="eastAsia"/>
                <w:sz w:val="24"/>
                <w:szCs w:val="28"/>
                <w:highlight w:val="none"/>
              </w:rPr>
              <w:t>。</w:t>
            </w:r>
          </w:p>
          <w:p>
            <w:pPr>
              <w:numPr>
                <w:ilvl w:val="0"/>
                <w:numId w:val="2"/>
              </w:numPr>
              <w:adjustRightInd w:val="0"/>
              <w:snapToGrid w:val="0"/>
              <w:spacing w:line="480" w:lineRule="exact"/>
              <w:rPr>
                <w:rFonts w:hint="eastAsia"/>
                <w:sz w:val="24"/>
                <w:highlight w:val="none"/>
              </w:rPr>
            </w:pPr>
            <w:r>
              <w:rPr>
                <w:rFonts w:hint="eastAsia"/>
                <w:sz w:val="24"/>
                <w:highlight w:val="none"/>
              </w:rPr>
              <w:t>废水达标排放</w:t>
            </w:r>
          </w:p>
          <w:p>
            <w:pPr>
              <w:pStyle w:val="89"/>
              <w:ind w:firstLine="482"/>
              <w:jc w:val="left"/>
              <w:rPr>
                <w:rFonts w:hint="eastAsia" w:ascii="Times New Roman" w:hAnsi="Times New Roman" w:eastAsia="宋体" w:cs="Times New Roman"/>
                <w:b w:val="0"/>
                <w:snapToGrid w:val="0"/>
                <w:kern w:val="2"/>
                <w:sz w:val="24"/>
                <w:szCs w:val="24"/>
                <w:highlight w:val="none"/>
                <w:lang w:val="en-US" w:eastAsia="zh-CN" w:bidi="ar-SA"/>
              </w:rPr>
            </w:pPr>
            <w:r>
              <w:rPr>
                <w:rFonts w:hint="eastAsia" w:ascii="Times New Roman" w:hAnsi="Times New Roman" w:eastAsia="宋体" w:cs="Times New Roman"/>
                <w:b w:val="0"/>
                <w:snapToGrid w:val="0"/>
                <w:kern w:val="2"/>
                <w:sz w:val="24"/>
                <w:szCs w:val="24"/>
                <w:highlight w:val="none"/>
                <w:lang w:val="en-US" w:eastAsia="zh-CN" w:bidi="ar-SA"/>
              </w:rPr>
              <w:t>废水经上述工艺处理后，出水水质见表14</w:t>
            </w:r>
            <w:r>
              <w:rPr>
                <w:rFonts w:hint="eastAsia" w:cs="Times New Roman"/>
                <w:b w:val="0"/>
                <w:snapToGrid w:val="0"/>
                <w:kern w:val="2"/>
                <w:sz w:val="24"/>
                <w:szCs w:val="24"/>
                <w:highlight w:val="none"/>
                <w:lang w:val="en-US" w:eastAsia="zh-CN" w:bidi="ar-SA"/>
              </w:rPr>
              <w:t>，排放浓度参照《迁安市人民医院迁建项目环境影响报告书》</w:t>
            </w:r>
            <w:r>
              <w:rPr>
                <w:rFonts w:hint="eastAsia" w:ascii="Times New Roman" w:hAnsi="Times New Roman" w:eastAsia="宋体" w:cs="Times New Roman"/>
                <w:b w:val="0"/>
                <w:snapToGrid w:val="0"/>
                <w:kern w:val="2"/>
                <w:sz w:val="24"/>
                <w:szCs w:val="24"/>
                <w:highlight w:val="none"/>
                <w:lang w:val="en-US" w:eastAsia="zh-CN" w:bidi="ar-SA"/>
              </w:rPr>
              <w:t>。</w:t>
            </w:r>
          </w:p>
          <w:p>
            <w:pPr>
              <w:pStyle w:val="89"/>
              <w:ind w:firstLine="482"/>
              <w:rPr>
                <w:rFonts w:hint="eastAsia" w:eastAsia="宋体"/>
                <w:sz w:val="24"/>
                <w:highlight w:val="none"/>
                <w:lang w:eastAsia="zh-CN"/>
              </w:rPr>
            </w:pPr>
            <w:r>
              <w:rPr>
                <w:rFonts w:hint="eastAsia"/>
                <w:highlight w:val="none"/>
              </w:rPr>
              <w:t>表1</w:t>
            </w:r>
            <w:r>
              <w:rPr>
                <w:rFonts w:hint="eastAsia"/>
                <w:highlight w:val="none"/>
                <w:lang w:val="en-US" w:eastAsia="zh-CN"/>
              </w:rPr>
              <w:t>4</w:t>
            </w:r>
            <w:r>
              <w:rPr>
                <w:rFonts w:hint="eastAsia"/>
                <w:b w:val="0"/>
                <w:highlight w:val="none"/>
              </w:rPr>
              <w:t xml:space="preserve">    </w:t>
            </w:r>
            <w:r>
              <w:rPr>
                <w:rFonts w:hint="eastAsia"/>
                <w:highlight w:val="none"/>
              </w:rPr>
              <w:t>污水中各污染物产生、排放情况</w:t>
            </w:r>
            <w:r>
              <w:rPr>
                <w:rFonts w:hint="eastAsia"/>
                <w:highlight w:val="none"/>
                <w:lang w:eastAsia="zh-CN"/>
              </w:rPr>
              <w:t>一览表</w:t>
            </w:r>
          </w:p>
          <w:tbl>
            <w:tblPr>
              <w:tblStyle w:val="36"/>
              <w:tblW w:w="87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154"/>
              <w:gridCol w:w="763"/>
              <w:gridCol w:w="791"/>
              <w:gridCol w:w="785"/>
              <w:gridCol w:w="654"/>
              <w:gridCol w:w="639"/>
              <w:gridCol w:w="726"/>
              <w:gridCol w:w="1325"/>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排水</w:t>
                  </w:r>
                </w:p>
                <w:p>
                  <w:pPr>
                    <w:bidi w:val="0"/>
                    <w:jc w:val="center"/>
                    <w:rPr>
                      <w:highlight w:val="none"/>
                    </w:rPr>
                  </w:pPr>
                  <w:r>
                    <w:rPr>
                      <w:rFonts w:hint="eastAsia"/>
                      <w:highlight w:val="none"/>
                    </w:rPr>
                    <w:t>区域</w:t>
                  </w:r>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污染物</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单位</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COD</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BOD</w:t>
                  </w:r>
                  <w:r>
                    <w:rPr>
                      <w:highlight w:val="none"/>
                      <w:vertAlign w:val="subscript"/>
                    </w:rPr>
                    <w:t>5</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SS</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rPr>
                  </w:pPr>
                  <w:r>
                    <w:rPr>
                      <w:rFonts w:hint="eastAsia"/>
                      <w:highlight w:val="none"/>
                    </w:rPr>
                    <w:t>TN</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氨氮</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粪大肠菌群</w:t>
                  </w:r>
                  <w:r>
                    <w:rPr>
                      <w:highlight w:val="none"/>
                    </w:rPr>
                    <w:t>(MPN/L)</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lang w:eastAsia="zh-CN"/>
                    </w:rPr>
                  </w:pPr>
                  <w:r>
                    <w:rPr>
                      <w:rFonts w:hint="eastAsia"/>
                      <w:highlight w:val="none"/>
                      <w:lang w:eastAsia="zh-CN"/>
                    </w:rPr>
                    <w:t>阴离子表面活性剂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697" w:type="dxa"/>
                  <w:vMerge w:val="restart"/>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rPr>
                  </w:pPr>
                  <w:r>
                    <w:rPr>
                      <w:rFonts w:hint="eastAsia"/>
                      <w:highlight w:val="none"/>
                    </w:rPr>
                    <w:t>体检</w:t>
                  </w:r>
                </w:p>
                <w:p>
                  <w:pPr>
                    <w:bidi w:val="0"/>
                    <w:jc w:val="center"/>
                    <w:rPr>
                      <w:rFonts w:hint="eastAsia"/>
                      <w:highlight w:val="none"/>
                    </w:rPr>
                  </w:pPr>
                  <w:r>
                    <w:rPr>
                      <w:rFonts w:hint="eastAsia"/>
                      <w:highlight w:val="none"/>
                    </w:rPr>
                    <w:t>中心</w:t>
                  </w:r>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产生浓度</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mg/L</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300</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150</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250</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40</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50</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1.6×10</w:t>
                  </w:r>
                  <w:r>
                    <w:rPr>
                      <w:highlight w:val="none"/>
                      <w:vertAlign w:val="superscript"/>
                    </w:rPr>
                    <w:t>8</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97" w:type="dxa"/>
                  <w:vMerge w:val="continue"/>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bookmarkStart w:id="0" w:name="OLE_LINK5" w:colFirst="3" w:colLast="7"/>
                  <w:bookmarkStart w:id="1" w:name="OLE_LINK4" w:colFirst="3" w:colLast="7"/>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产生量</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t/a</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1.39</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0.69</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1.15</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0.</w:t>
                  </w:r>
                  <w:r>
                    <w:rPr>
                      <w:rFonts w:hint="eastAsia"/>
                      <w:highlight w:val="none"/>
                    </w:rPr>
                    <w:t>18</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0.23</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0.07</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697" w:type="dxa"/>
                  <w:vMerge w:val="continue"/>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排放浓度</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mg/L</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205</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95</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15</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35</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22.5</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5000</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lang w:val="en-US" w:eastAsia="zh-CN"/>
                    </w:rPr>
                  </w:pPr>
                  <w:r>
                    <w:rPr>
                      <w:rFonts w:hint="eastAsia"/>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697" w:type="dxa"/>
                  <w:vMerge w:val="continue"/>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bookmarkStart w:id="2" w:name="OLE_LINK8" w:colFirst="3" w:colLast="7"/>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排放量</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t/a</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0.95</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lang w:val="en-US" w:eastAsia="zh-CN"/>
                    </w:rPr>
                  </w:pPr>
                  <w:r>
                    <w:rPr>
                      <w:rFonts w:hint="eastAsia"/>
                      <w:highlight w:val="none"/>
                    </w:rPr>
                    <w:t>0.4</w:t>
                  </w:r>
                  <w:r>
                    <w:rPr>
                      <w:rFonts w:hint="eastAsia"/>
                      <w:highlight w:val="none"/>
                      <w:lang w:val="en-US" w:eastAsia="zh-CN"/>
                    </w:rPr>
                    <w:t>4</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highlight w:val="none"/>
                    </w:rPr>
                    <w:t>0.</w:t>
                  </w:r>
                  <w:r>
                    <w:rPr>
                      <w:rFonts w:hint="eastAsia"/>
                      <w:highlight w:val="none"/>
                      <w:lang w:val="en-US" w:eastAsia="zh-CN"/>
                    </w:rPr>
                    <w:t>07</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0.16</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lang w:val="en-US" w:eastAsia="zh-CN"/>
                    </w:rPr>
                  </w:pPr>
                  <w:r>
                    <w:rPr>
                      <w:highlight w:val="none"/>
                    </w:rPr>
                    <w:t>0.</w:t>
                  </w:r>
                  <w:r>
                    <w:rPr>
                      <w:rFonts w:hint="eastAsia"/>
                      <w:highlight w:val="none"/>
                    </w:rPr>
                    <w:t>1</w:t>
                  </w:r>
                  <w:r>
                    <w:rPr>
                      <w:rFonts w:hint="eastAsia"/>
                      <w:highlight w:val="none"/>
                      <w:lang w:val="en-US" w:eastAsia="zh-CN"/>
                    </w:rPr>
                    <w:t>0</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0.02</w:t>
                  </w:r>
                </w:p>
              </w:tc>
            </w:tr>
            <w:bookmarkEnd w:id="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697" w:type="dxa"/>
                  <w:vMerge w:val="continue"/>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p>
              </w:tc>
              <w:tc>
                <w:tcPr>
                  <w:tcW w:w="11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排放标准</w:t>
                  </w:r>
                </w:p>
              </w:tc>
              <w:tc>
                <w:tcPr>
                  <w:tcW w:w="763"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mg/L</w:t>
                  </w:r>
                </w:p>
              </w:tc>
              <w:tc>
                <w:tcPr>
                  <w:tcW w:w="791"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250</w:t>
                  </w:r>
                </w:p>
              </w:tc>
              <w:tc>
                <w:tcPr>
                  <w:tcW w:w="78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100</w:t>
                  </w:r>
                </w:p>
              </w:tc>
              <w:tc>
                <w:tcPr>
                  <w:tcW w:w="654"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60</w:t>
                  </w:r>
                </w:p>
              </w:tc>
              <w:tc>
                <w:tcPr>
                  <w:tcW w:w="639"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35</w:t>
                  </w:r>
                </w:p>
              </w:tc>
              <w:tc>
                <w:tcPr>
                  <w:tcW w:w="726"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45</w:t>
                  </w:r>
                </w:p>
              </w:tc>
              <w:tc>
                <w:tcPr>
                  <w:tcW w:w="1325" w:type="dxa"/>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5000</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default"/>
                      <w:highlight w:val="none"/>
                      <w:lang w:val="en-US" w:eastAsia="zh-CN"/>
                    </w:rPr>
                  </w:pPr>
                  <w:r>
                    <w:rPr>
                      <w:rFonts w:hint="eastAsia"/>
                      <w:highlight w:val="none"/>
                      <w:lang w:val="en-US" w:eastAsia="zh-CN"/>
                    </w:rPr>
                    <w:t>10</w:t>
                  </w:r>
                </w:p>
              </w:tc>
            </w:tr>
            <w:bookmarkEnd w:id="1"/>
          </w:tbl>
          <w:p>
            <w:pPr>
              <w:numPr>
                <w:ilvl w:val="0"/>
                <w:numId w:val="2"/>
              </w:numPr>
              <w:adjustRightInd w:val="0"/>
              <w:snapToGrid w:val="0"/>
              <w:spacing w:line="480" w:lineRule="exact"/>
              <w:rPr>
                <w:rFonts w:hint="eastAsia"/>
                <w:sz w:val="24"/>
                <w:highlight w:val="none"/>
              </w:rPr>
            </w:pPr>
            <w:r>
              <w:rPr>
                <w:rFonts w:hint="eastAsia"/>
                <w:sz w:val="24"/>
                <w:szCs w:val="28"/>
                <w:highlight w:val="none"/>
              </w:rPr>
              <w:t>依托可行性</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default"/>
                <w:sz w:val="24"/>
                <w:szCs w:val="24"/>
                <w:highlight w:val="none"/>
                <w:lang w:val="en-US" w:eastAsia="zh-CN"/>
              </w:rPr>
            </w:pPr>
            <w:r>
              <w:rPr>
                <w:rFonts w:hint="eastAsia"/>
                <w:sz w:val="24"/>
                <w:szCs w:val="24"/>
                <w:highlight w:val="none"/>
                <w:lang w:val="en-US" w:eastAsia="zh-CN"/>
              </w:rPr>
              <w:t>A.人民医院污水处理站</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highlight w:val="none"/>
                <w:lang w:val="en-US" w:eastAsia="zh-CN"/>
              </w:rPr>
            </w:pPr>
            <w:r>
              <w:rPr>
                <w:rFonts w:hint="eastAsia"/>
                <w:sz w:val="24"/>
                <w:szCs w:val="24"/>
                <w:highlight w:val="none"/>
                <w:lang w:val="en-US" w:eastAsia="zh-CN"/>
              </w:rPr>
              <w:t>a.环保手续情况</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snapToGrid w:val="0"/>
                <w:sz w:val="24"/>
                <w:szCs w:val="24"/>
                <w:highlight w:val="none"/>
              </w:rPr>
            </w:pPr>
            <w:r>
              <w:rPr>
                <w:rFonts w:hint="default"/>
                <w:snapToGrid w:val="0"/>
                <w:sz w:val="24"/>
                <w:szCs w:val="24"/>
                <w:highlight w:val="none"/>
                <w:lang w:val="en-US" w:eastAsia="zh-CN"/>
              </w:rPr>
              <w:t>2007</w:t>
            </w:r>
            <w:r>
              <w:rPr>
                <w:rFonts w:hint="eastAsia"/>
                <w:snapToGrid w:val="0"/>
                <w:sz w:val="24"/>
                <w:szCs w:val="24"/>
                <w:highlight w:val="none"/>
                <w:lang w:val="en-US" w:eastAsia="zh-CN"/>
              </w:rPr>
              <w:t>年</w:t>
            </w:r>
            <w:r>
              <w:rPr>
                <w:rFonts w:hint="default"/>
                <w:snapToGrid w:val="0"/>
                <w:sz w:val="24"/>
                <w:szCs w:val="24"/>
                <w:highlight w:val="none"/>
                <w:lang w:val="en-US" w:eastAsia="zh-CN"/>
              </w:rPr>
              <w:t>12</w:t>
            </w:r>
            <w:r>
              <w:rPr>
                <w:rFonts w:hint="eastAsia"/>
                <w:snapToGrid w:val="0"/>
                <w:sz w:val="24"/>
                <w:szCs w:val="24"/>
                <w:highlight w:val="none"/>
                <w:lang w:val="en-US" w:eastAsia="zh-CN"/>
              </w:rPr>
              <w:t>月</w:t>
            </w:r>
            <w:r>
              <w:rPr>
                <w:rFonts w:hint="default"/>
                <w:snapToGrid w:val="0"/>
                <w:sz w:val="24"/>
                <w:szCs w:val="24"/>
                <w:highlight w:val="none"/>
                <w:lang w:val="en-US" w:eastAsia="zh-CN"/>
              </w:rPr>
              <w:t>26</w:t>
            </w:r>
            <w:r>
              <w:rPr>
                <w:rFonts w:hint="eastAsia"/>
                <w:snapToGrid w:val="0"/>
                <w:sz w:val="24"/>
                <w:szCs w:val="24"/>
                <w:highlight w:val="none"/>
                <w:lang w:val="en-US" w:eastAsia="zh-CN"/>
              </w:rPr>
              <w:t>日迁安市人民医院委托河北省环境科学研究院进行了迁安市人民医院迁建项目环境影响评价工作，并于</w:t>
            </w:r>
            <w:r>
              <w:rPr>
                <w:rFonts w:hint="default"/>
                <w:snapToGrid w:val="0"/>
                <w:sz w:val="24"/>
                <w:szCs w:val="24"/>
                <w:highlight w:val="none"/>
                <w:lang w:val="en-US" w:eastAsia="zh-CN"/>
              </w:rPr>
              <w:t>2008</w:t>
            </w:r>
            <w:r>
              <w:rPr>
                <w:rFonts w:hint="eastAsia"/>
                <w:snapToGrid w:val="0"/>
                <w:sz w:val="24"/>
                <w:szCs w:val="24"/>
                <w:highlight w:val="none"/>
                <w:lang w:val="en-US" w:eastAsia="zh-CN"/>
              </w:rPr>
              <w:t>年</w:t>
            </w:r>
            <w:r>
              <w:rPr>
                <w:rFonts w:hint="default"/>
                <w:snapToGrid w:val="0"/>
                <w:sz w:val="24"/>
                <w:szCs w:val="24"/>
                <w:highlight w:val="none"/>
                <w:lang w:val="en-US" w:eastAsia="zh-CN"/>
              </w:rPr>
              <w:t>3</w:t>
            </w:r>
            <w:r>
              <w:rPr>
                <w:rFonts w:hint="eastAsia"/>
                <w:snapToGrid w:val="0"/>
                <w:sz w:val="24"/>
                <w:szCs w:val="24"/>
                <w:highlight w:val="none"/>
                <w:lang w:val="en-US" w:eastAsia="zh-CN"/>
              </w:rPr>
              <w:t>月编制了《迁安市人民医院迁建项目环境影响报告书》，</w:t>
            </w:r>
            <w:r>
              <w:rPr>
                <w:rFonts w:hint="default"/>
                <w:snapToGrid w:val="0"/>
                <w:sz w:val="24"/>
                <w:szCs w:val="24"/>
                <w:highlight w:val="none"/>
                <w:lang w:val="en-US" w:eastAsia="zh-CN"/>
              </w:rPr>
              <w:t>2008</w:t>
            </w:r>
            <w:r>
              <w:rPr>
                <w:rFonts w:hint="eastAsia"/>
                <w:snapToGrid w:val="0"/>
                <w:sz w:val="24"/>
                <w:szCs w:val="24"/>
                <w:highlight w:val="none"/>
                <w:lang w:val="en-US" w:eastAsia="zh-CN"/>
              </w:rPr>
              <w:t>年</w:t>
            </w:r>
            <w:r>
              <w:rPr>
                <w:rFonts w:hint="default"/>
                <w:snapToGrid w:val="0"/>
                <w:sz w:val="24"/>
                <w:szCs w:val="24"/>
                <w:highlight w:val="none"/>
                <w:lang w:val="en-US" w:eastAsia="zh-CN"/>
              </w:rPr>
              <w:t>3</w:t>
            </w:r>
            <w:r>
              <w:rPr>
                <w:rFonts w:hint="eastAsia"/>
                <w:snapToGrid w:val="0"/>
                <w:sz w:val="24"/>
                <w:szCs w:val="24"/>
                <w:highlight w:val="none"/>
                <w:lang w:val="en-US" w:eastAsia="zh-CN"/>
              </w:rPr>
              <w:t>月</w:t>
            </w:r>
            <w:r>
              <w:rPr>
                <w:rFonts w:hint="default"/>
                <w:snapToGrid w:val="0"/>
                <w:sz w:val="24"/>
                <w:szCs w:val="24"/>
                <w:highlight w:val="none"/>
                <w:lang w:val="en-US" w:eastAsia="zh-CN"/>
              </w:rPr>
              <w:t>18</w:t>
            </w:r>
            <w:r>
              <w:rPr>
                <w:rFonts w:hint="eastAsia"/>
                <w:snapToGrid w:val="0"/>
                <w:sz w:val="24"/>
                <w:szCs w:val="24"/>
                <w:highlight w:val="none"/>
                <w:lang w:val="en-US" w:eastAsia="zh-CN"/>
              </w:rPr>
              <w:t>日通过了报书技术评估专家评审会，</w:t>
            </w:r>
            <w:r>
              <w:rPr>
                <w:rFonts w:hint="default"/>
                <w:snapToGrid w:val="0"/>
                <w:sz w:val="24"/>
                <w:szCs w:val="24"/>
                <w:highlight w:val="none"/>
                <w:lang w:val="en-US" w:eastAsia="zh-CN"/>
              </w:rPr>
              <w:t>2008</w:t>
            </w:r>
            <w:r>
              <w:rPr>
                <w:rFonts w:hint="eastAsia"/>
                <w:snapToGrid w:val="0"/>
                <w:sz w:val="24"/>
                <w:szCs w:val="24"/>
                <w:highlight w:val="none"/>
                <w:lang w:val="en-US" w:eastAsia="zh-CN"/>
              </w:rPr>
              <w:t>年</w:t>
            </w:r>
            <w:r>
              <w:rPr>
                <w:rFonts w:hint="default"/>
                <w:snapToGrid w:val="0"/>
                <w:sz w:val="24"/>
                <w:szCs w:val="24"/>
                <w:highlight w:val="none"/>
                <w:lang w:val="en-US" w:eastAsia="zh-CN"/>
              </w:rPr>
              <w:t>6</w:t>
            </w:r>
            <w:r>
              <w:rPr>
                <w:rFonts w:hint="eastAsia"/>
                <w:snapToGrid w:val="0"/>
                <w:sz w:val="24"/>
                <w:szCs w:val="24"/>
                <w:highlight w:val="none"/>
                <w:lang w:val="en-US" w:eastAsia="zh-CN"/>
              </w:rPr>
              <w:t>月</w:t>
            </w:r>
            <w:r>
              <w:rPr>
                <w:rFonts w:hint="default"/>
                <w:snapToGrid w:val="0"/>
                <w:sz w:val="24"/>
                <w:szCs w:val="24"/>
                <w:highlight w:val="none"/>
                <w:lang w:val="en-US" w:eastAsia="zh-CN"/>
              </w:rPr>
              <w:t>18</w:t>
            </w:r>
            <w:r>
              <w:rPr>
                <w:rFonts w:hint="eastAsia"/>
                <w:snapToGrid w:val="0"/>
                <w:sz w:val="24"/>
                <w:szCs w:val="24"/>
                <w:highlight w:val="none"/>
                <w:lang w:val="en-US" w:eastAsia="zh-CN"/>
              </w:rPr>
              <w:t>日取得了迁安市环境保护局的批复，批复文号为迁环管字【</w:t>
            </w:r>
            <w:r>
              <w:rPr>
                <w:rFonts w:hint="default"/>
                <w:snapToGrid w:val="0"/>
                <w:sz w:val="24"/>
                <w:szCs w:val="24"/>
                <w:highlight w:val="none"/>
                <w:lang w:val="en-US" w:eastAsia="zh-CN"/>
              </w:rPr>
              <w:t>2008</w:t>
            </w:r>
            <w:r>
              <w:rPr>
                <w:rFonts w:hint="eastAsia"/>
                <w:snapToGrid w:val="0"/>
                <w:sz w:val="24"/>
                <w:szCs w:val="24"/>
                <w:highlight w:val="none"/>
                <w:lang w:val="en-US" w:eastAsia="zh-CN"/>
              </w:rPr>
              <w:t>】</w:t>
            </w:r>
            <w:r>
              <w:rPr>
                <w:rFonts w:hint="default"/>
                <w:snapToGrid w:val="0"/>
                <w:sz w:val="24"/>
                <w:szCs w:val="24"/>
                <w:highlight w:val="none"/>
                <w:lang w:val="en-US" w:eastAsia="zh-CN"/>
              </w:rPr>
              <w:t>4</w:t>
            </w:r>
            <w:r>
              <w:rPr>
                <w:rFonts w:hint="eastAsia"/>
                <w:snapToGrid w:val="0"/>
                <w:sz w:val="24"/>
                <w:szCs w:val="24"/>
                <w:highlight w:val="none"/>
                <w:lang w:val="en-US" w:eastAsia="zh-CN"/>
              </w:rPr>
              <w:t>号。2020年8月02日，迁安市人民医院取得了唐山市生态环境局颁发的《河北省排放污染物许可证》，证书编号：hb1302005000019857001v，有效期为2020年8月02日至2023年8月01日。</w:t>
            </w:r>
          </w:p>
          <w:p>
            <w:pPr>
              <w:pStyle w:val="6"/>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b.工艺可行性</w:t>
            </w:r>
          </w:p>
          <w:p>
            <w:pPr>
              <w:pStyle w:val="6"/>
              <w:keepNext w:val="0"/>
              <w:keepLines w:val="0"/>
              <w:pageBreakBefore w:val="0"/>
              <w:numPr>
                <w:ilvl w:val="0"/>
                <w:numId w:val="0"/>
              </w:numPr>
              <w:tabs>
                <w:tab w:val="left" w:pos="1036"/>
              </w:tabs>
              <w:kinsoku/>
              <w:wordWrap/>
              <w:overflowPunct/>
              <w:topLinePunct w:val="0"/>
              <w:autoSpaceDE/>
              <w:autoSpaceDN/>
              <w:bidi w:val="0"/>
              <w:adjustRightInd/>
              <w:snapToGrid/>
              <w:spacing w:line="360" w:lineRule="auto"/>
              <w:ind w:firstLine="480" w:firstLineChars="200"/>
              <w:textAlignment w:val="auto"/>
              <w:rPr>
                <w:rFonts w:hint="eastAsia"/>
                <w:kern w:val="2"/>
                <w:sz w:val="24"/>
                <w:szCs w:val="22"/>
                <w:highlight w:val="none"/>
                <w:lang w:val="en-US" w:eastAsia="zh-CN" w:bidi="ar-SA"/>
              </w:rPr>
            </w:pPr>
            <w:r>
              <w:rPr>
                <w:rFonts w:hint="eastAsia"/>
                <w:kern w:val="2"/>
                <w:sz w:val="24"/>
                <w:szCs w:val="22"/>
                <w:highlight w:val="none"/>
                <w:lang w:val="en-US" w:eastAsia="zh-CN" w:bidi="ar-SA"/>
              </w:rPr>
              <w:t>人民医院污水处理站处理工艺为“污水→格栅→集水井→调节池→水解池→生物接触氧化池→高效沉淀池→中间水池→机械过滤器→消毒水池→脱氯水池”。</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kern w:val="2"/>
                <w:sz w:val="24"/>
                <w:szCs w:val="22"/>
                <w:highlight w:val="none"/>
                <w:lang w:val="en-US" w:eastAsia="zh-CN" w:bidi="ar-SA"/>
              </w:rPr>
            </w:pPr>
            <w:r>
              <w:rPr>
                <w:rFonts w:hint="eastAsia"/>
                <w:kern w:val="2"/>
                <w:sz w:val="24"/>
                <w:szCs w:val="22"/>
                <w:highlight w:val="none"/>
                <w:lang w:val="en-US" w:eastAsia="zh-CN" w:bidi="ar-SA"/>
              </w:rPr>
              <w:t>污水经格栅去除飘浮大颗粒悬浮杂质，以保护水泵和后续处理单元。格栅处理后进入集水井，经提升泵进入调节池，进行均质均量调节，调节池中设置液位控制器，再经液位控制仪传递信号，由提升泵送至水解酸化池，污水中的大分子有机物经水解酸化作用后转化为易为微生物吸收降解的小分子物质，出水自流至生物接触氧化池，通过生化作用得以降解水中大部分有机物污染物。自流进入高效沉淀池，进行固液分离去除生化池中剥落下来的生物膜和悬浮污泥，上部清水自流入中间水池、机械过滤器处理后，经二氧化氯消毒，杀灭病原菌和病毒后排入脱氯水池脱氯，经市政排水管网最终排至迁安市污水处理厂处理。迁安市人民医院外排废水水质满足《医疗机构水污染物排放标准》（GB18466-2005）预处理标准要求。</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snapToGrid w:val="0"/>
                <w:sz w:val="24"/>
                <w:szCs w:val="24"/>
                <w:highlight w:val="none"/>
              </w:rPr>
            </w:pPr>
            <w:r>
              <w:rPr>
                <w:rFonts w:hint="eastAsia"/>
                <w:kern w:val="2"/>
                <w:sz w:val="24"/>
                <w:szCs w:val="22"/>
                <w:highlight w:val="none"/>
                <w:lang w:val="en-US" w:eastAsia="zh-CN" w:bidi="ar-SA"/>
              </w:rPr>
              <w:t>根据迁安市人民医院环评，污水</w:t>
            </w:r>
            <w:r>
              <w:rPr>
                <w:rFonts w:hint="eastAsia"/>
                <w:snapToGrid w:val="0"/>
                <w:sz w:val="24"/>
                <w:szCs w:val="24"/>
                <w:highlight w:val="none"/>
              </w:rPr>
              <w:t>处理站处理能力600m</w:t>
            </w:r>
            <w:r>
              <w:rPr>
                <w:rFonts w:hint="eastAsia"/>
                <w:snapToGrid w:val="0"/>
                <w:sz w:val="24"/>
                <w:szCs w:val="24"/>
                <w:highlight w:val="none"/>
                <w:vertAlign w:val="superscript"/>
              </w:rPr>
              <w:t>3</w:t>
            </w:r>
            <w:r>
              <w:rPr>
                <w:rFonts w:hint="eastAsia"/>
                <w:snapToGrid w:val="0"/>
                <w:sz w:val="24"/>
                <w:szCs w:val="24"/>
                <w:highlight w:val="none"/>
              </w:rPr>
              <w:t>/d，人民医院总排水量437m</w:t>
            </w:r>
            <w:r>
              <w:rPr>
                <w:rFonts w:hint="eastAsia"/>
                <w:snapToGrid w:val="0"/>
                <w:sz w:val="24"/>
                <w:szCs w:val="24"/>
                <w:highlight w:val="none"/>
                <w:vertAlign w:val="superscript"/>
              </w:rPr>
              <w:t>3</w:t>
            </w:r>
            <w:r>
              <w:rPr>
                <w:rFonts w:hint="eastAsia"/>
                <w:snapToGrid w:val="0"/>
                <w:sz w:val="24"/>
                <w:szCs w:val="24"/>
                <w:highlight w:val="none"/>
              </w:rPr>
              <w:t>/d，本项目总排水量14</w:t>
            </w:r>
            <w:r>
              <w:rPr>
                <w:snapToGrid w:val="0"/>
                <w:sz w:val="24"/>
                <w:szCs w:val="24"/>
                <w:highlight w:val="none"/>
              </w:rPr>
              <w:t>m</w:t>
            </w:r>
            <w:r>
              <w:rPr>
                <w:snapToGrid w:val="0"/>
                <w:sz w:val="24"/>
                <w:szCs w:val="24"/>
                <w:highlight w:val="none"/>
                <w:vertAlign w:val="superscript"/>
              </w:rPr>
              <w:t>3</w:t>
            </w:r>
            <w:r>
              <w:rPr>
                <w:snapToGrid w:val="0"/>
                <w:sz w:val="24"/>
                <w:szCs w:val="24"/>
                <w:highlight w:val="none"/>
              </w:rPr>
              <w:t>/d</w:t>
            </w:r>
            <w:r>
              <w:rPr>
                <w:rFonts w:hint="eastAsia"/>
                <w:snapToGrid w:val="0"/>
                <w:sz w:val="24"/>
                <w:szCs w:val="24"/>
                <w:highlight w:val="none"/>
              </w:rPr>
              <w:t>，因此废水可依托人民医院污水处理站处理。</w:t>
            </w:r>
          </w:p>
          <w:p>
            <w:pPr>
              <w:autoSpaceDE w:val="0"/>
              <w:autoSpaceDN w:val="0"/>
              <w:adjustRightInd w:val="0"/>
              <w:spacing w:line="480" w:lineRule="exact"/>
              <w:ind w:firstLine="480" w:firstLineChars="200"/>
              <w:jc w:val="left"/>
              <w:rPr>
                <w:rFonts w:ascii="宋体" w:hAnsi="宋体" w:cs="宋体"/>
                <w:color w:val="000000"/>
                <w:kern w:val="0"/>
                <w:sz w:val="24"/>
                <w:szCs w:val="24"/>
                <w:highlight w:val="none"/>
              </w:rPr>
            </w:pPr>
            <w:r>
              <w:rPr>
                <w:rFonts w:hint="eastAsia"/>
                <w:color w:val="000000"/>
                <w:kern w:val="0"/>
                <w:sz w:val="24"/>
                <w:szCs w:val="24"/>
                <w:highlight w:val="none"/>
                <w:lang w:val="en-US" w:eastAsia="zh-CN"/>
              </w:rPr>
              <w:t>c</w:t>
            </w:r>
            <w:r>
              <w:rPr>
                <w:rFonts w:hint="eastAsia" w:ascii="宋体" w:hAnsi="宋体" w:cs="宋体"/>
                <w:color w:val="000000"/>
                <w:kern w:val="0"/>
                <w:sz w:val="24"/>
                <w:szCs w:val="24"/>
                <w:highlight w:val="none"/>
              </w:rPr>
              <w:t>．</w:t>
            </w:r>
            <w:r>
              <w:rPr>
                <w:rFonts w:ascii="宋体" w:hAnsi="宋体" w:cs="宋体"/>
                <w:color w:val="000000"/>
                <w:kern w:val="0"/>
                <w:sz w:val="24"/>
                <w:szCs w:val="24"/>
                <w:highlight w:val="none"/>
              </w:rPr>
              <w:t>管网可行性分析</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项目位于迁安市</w:t>
            </w:r>
            <w:r>
              <w:rPr>
                <w:rFonts w:hint="eastAsia" w:ascii="Times New Roman" w:hAnsi="Times New Roman" w:cs="Times New Roman"/>
                <w:color w:val="000000"/>
                <w:kern w:val="0"/>
                <w:sz w:val="24"/>
                <w:szCs w:val="24"/>
                <w:highlight w:val="none"/>
                <w:lang w:eastAsia="zh-CN"/>
              </w:rPr>
              <w:t>惠安大街北侧，人民医院院内</w:t>
            </w:r>
            <w:r>
              <w:rPr>
                <w:rFonts w:hint="default" w:ascii="Times New Roman" w:hAnsi="Times New Roman" w:cs="Times New Roman"/>
                <w:color w:val="000000"/>
                <w:kern w:val="0"/>
                <w:sz w:val="24"/>
                <w:szCs w:val="24"/>
                <w:highlight w:val="none"/>
              </w:rPr>
              <w:t>，属于迁安</w:t>
            </w:r>
            <w:r>
              <w:rPr>
                <w:rFonts w:hint="default" w:ascii="Times New Roman" w:hAnsi="Times New Roman" w:cs="Times New Roman"/>
                <w:color w:val="000000"/>
                <w:kern w:val="0"/>
                <w:sz w:val="24"/>
                <w:szCs w:val="24"/>
                <w:highlight w:val="none"/>
                <w:lang w:eastAsia="zh-CN"/>
              </w:rPr>
              <w:t>市</w:t>
            </w:r>
            <w:r>
              <w:rPr>
                <w:rFonts w:hint="default" w:ascii="Times New Roman" w:hAnsi="Times New Roman" w:cs="Times New Roman"/>
                <w:color w:val="000000"/>
                <w:kern w:val="0"/>
                <w:sz w:val="24"/>
                <w:szCs w:val="24"/>
                <w:highlight w:val="none"/>
              </w:rPr>
              <w:t>污水处理厂服务范围。目前该</w:t>
            </w:r>
            <w:r>
              <w:rPr>
                <w:rFonts w:hint="eastAsia" w:ascii="Times New Roman" w:hAnsi="Times New Roman" w:cs="Times New Roman"/>
                <w:color w:val="000000"/>
                <w:kern w:val="0"/>
                <w:sz w:val="24"/>
                <w:szCs w:val="24"/>
                <w:highlight w:val="none"/>
                <w:lang w:eastAsia="zh-CN"/>
              </w:rPr>
              <w:t>区域</w:t>
            </w:r>
            <w:r>
              <w:rPr>
                <w:rFonts w:hint="default" w:ascii="Times New Roman" w:hAnsi="Times New Roman" w:cs="Times New Roman"/>
                <w:color w:val="000000"/>
                <w:kern w:val="0"/>
                <w:sz w:val="24"/>
                <w:szCs w:val="24"/>
                <w:highlight w:val="none"/>
              </w:rPr>
              <w:t>配套污水管网已铺设完善，项目外排水具备入网条件。</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B．</w:t>
            </w:r>
            <w:r>
              <w:rPr>
                <w:rFonts w:hint="eastAsia" w:ascii="Times New Roman" w:hAnsi="Times New Roman" w:cs="Times New Roman"/>
                <w:color w:val="000000"/>
                <w:kern w:val="0"/>
                <w:sz w:val="24"/>
                <w:szCs w:val="24"/>
                <w:highlight w:val="none"/>
                <w:lang w:eastAsia="zh-CN"/>
              </w:rPr>
              <w:t>迁安市污水处理厂依托可行性</w:t>
            </w:r>
            <w:r>
              <w:rPr>
                <w:rFonts w:hint="default" w:ascii="Times New Roman" w:hAnsi="Times New Roman" w:cs="Times New Roman"/>
                <w:color w:val="000000"/>
                <w:kern w:val="0"/>
                <w:sz w:val="24"/>
                <w:szCs w:val="24"/>
                <w:highlight w:val="none"/>
              </w:rPr>
              <w:t>分析</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ascii="宋体" w:hAnsi="宋体" w:cs="宋体"/>
                <w:color w:val="000000"/>
                <w:kern w:val="0"/>
                <w:sz w:val="24"/>
                <w:szCs w:val="24"/>
                <w:highlight w:val="none"/>
              </w:rPr>
            </w:pPr>
            <w:r>
              <w:rPr>
                <w:rFonts w:hint="default" w:ascii="Times New Roman" w:hAnsi="Times New Roman" w:cs="Times New Roman"/>
                <w:kern w:val="0"/>
                <w:sz w:val="24"/>
                <w:szCs w:val="24"/>
                <w:highlight w:val="none"/>
              </w:rPr>
              <w:t>迁安</w:t>
            </w:r>
            <w:r>
              <w:rPr>
                <w:rFonts w:hint="eastAsia" w:ascii="Times New Roman" w:hAnsi="Times New Roman" w:cs="Times New Roman"/>
                <w:kern w:val="0"/>
                <w:sz w:val="24"/>
                <w:szCs w:val="24"/>
                <w:highlight w:val="none"/>
                <w:lang w:eastAsia="zh-CN"/>
              </w:rPr>
              <w:t>市</w:t>
            </w:r>
            <w:r>
              <w:rPr>
                <w:rFonts w:hint="default" w:ascii="Times New Roman" w:hAnsi="Times New Roman" w:cs="Times New Roman"/>
                <w:kern w:val="0"/>
                <w:sz w:val="24"/>
                <w:szCs w:val="24"/>
                <w:highlight w:val="none"/>
              </w:rPr>
              <w:t>污水处理厂总投资1.137亿元，占地面积140亩，</w:t>
            </w:r>
            <w:r>
              <w:rPr>
                <w:rFonts w:hint="default" w:ascii="Times New Roman" w:hAnsi="Times New Roman" w:cs="Times New Roman"/>
                <w:sz w:val="24"/>
                <w:highlight w:val="none"/>
              </w:rPr>
              <w:t>位于</w:t>
            </w:r>
            <w:r>
              <w:rPr>
                <w:rFonts w:hint="default" w:ascii="Times New Roman" w:hAnsi="Times New Roman" w:cs="Times New Roman"/>
                <w:kern w:val="24"/>
                <w:sz w:val="24"/>
                <w:szCs w:val="24"/>
                <w:highlight w:val="none"/>
              </w:rPr>
              <w:t>迁安市三李庄村东南，</w:t>
            </w:r>
            <w:r>
              <w:rPr>
                <w:rFonts w:hint="default" w:ascii="Times New Roman" w:hAnsi="Times New Roman" w:cs="Times New Roman"/>
                <w:kern w:val="0"/>
                <w:sz w:val="24"/>
                <w:szCs w:val="24"/>
                <w:highlight w:val="none"/>
              </w:rPr>
              <w:t>于2003年8月正式投入使用，设计污水处理量为8万t/d，污水处理工艺为</w:t>
            </w:r>
            <w:r>
              <w:rPr>
                <w:rFonts w:ascii="Times New Roman" w:hAnsi="Times New Roman"/>
                <w:sz w:val="24"/>
                <w:szCs w:val="22"/>
                <w:highlight w:val="none"/>
              </w:rPr>
              <w:t>采用A</w:t>
            </w:r>
            <w:r>
              <w:rPr>
                <w:rFonts w:ascii="Times New Roman" w:hAnsi="Times New Roman"/>
                <w:sz w:val="24"/>
                <w:szCs w:val="22"/>
                <w:highlight w:val="none"/>
                <w:vertAlign w:val="superscript"/>
              </w:rPr>
              <w:t>2</w:t>
            </w:r>
            <w:r>
              <w:rPr>
                <w:rFonts w:ascii="Times New Roman" w:hAnsi="Times New Roman"/>
                <w:sz w:val="24"/>
                <w:szCs w:val="22"/>
                <w:highlight w:val="none"/>
              </w:rPr>
              <w:t>/O工艺+</w:t>
            </w:r>
            <w:r>
              <w:rPr>
                <w:rFonts w:hint="eastAsia" w:ascii="Times New Roman" w:hAnsi="Times New Roman"/>
                <w:sz w:val="24"/>
                <w:szCs w:val="22"/>
                <w:highlight w:val="none"/>
                <w:lang w:val="en-GB" w:eastAsia="zh-CN"/>
              </w:rPr>
              <w:t>“</w:t>
            </w:r>
            <w:r>
              <w:rPr>
                <w:rFonts w:ascii="Times New Roman" w:hAnsi="Times New Roman"/>
                <w:sz w:val="24"/>
                <w:szCs w:val="22"/>
                <w:highlight w:val="none"/>
                <w:lang w:val="en-GB"/>
              </w:rPr>
              <w:t>微絮凝—过滤—消毒</w:t>
            </w:r>
            <w:r>
              <w:rPr>
                <w:rFonts w:hint="eastAsia" w:ascii="Times New Roman" w:hAnsi="Times New Roman"/>
                <w:sz w:val="24"/>
                <w:szCs w:val="22"/>
                <w:highlight w:val="none"/>
                <w:lang w:val="en-GB" w:eastAsia="zh-CN"/>
              </w:rPr>
              <w:t>”</w:t>
            </w:r>
            <w:r>
              <w:rPr>
                <w:rFonts w:ascii="Times New Roman" w:hAnsi="Times New Roman"/>
                <w:sz w:val="24"/>
                <w:szCs w:val="22"/>
                <w:highlight w:val="none"/>
              </w:rPr>
              <w:t>深度处理工艺</w:t>
            </w:r>
            <w:r>
              <w:rPr>
                <w:rFonts w:hint="eastAsia" w:ascii="Times New Roman" w:hAnsi="Times New Roman"/>
                <w:sz w:val="24"/>
                <w:szCs w:val="22"/>
                <w:highlight w:val="none"/>
                <w:lang w:eastAsia="zh-CN"/>
              </w:rPr>
              <w:t>。</w:t>
            </w:r>
            <w:r>
              <w:rPr>
                <w:rFonts w:hint="default" w:ascii="Times New Roman" w:hAnsi="Times New Roman" w:cs="Times New Roman"/>
                <w:kern w:val="0"/>
                <w:sz w:val="24"/>
                <w:szCs w:val="24"/>
                <w:highlight w:val="none"/>
              </w:rPr>
              <w:t>目前</w:t>
            </w:r>
            <w:r>
              <w:rPr>
                <w:rFonts w:hint="eastAsia" w:ascii="Times New Roman" w:hAnsi="Times New Roman" w:cs="Times New Roman"/>
                <w:kern w:val="0"/>
                <w:sz w:val="24"/>
                <w:szCs w:val="24"/>
                <w:highlight w:val="none"/>
                <w:lang w:eastAsia="zh-CN"/>
              </w:rPr>
              <w:t>，</w:t>
            </w:r>
            <w:r>
              <w:rPr>
                <w:rFonts w:hint="default" w:ascii="Times New Roman" w:hAnsi="Times New Roman" w:cs="Times New Roman"/>
                <w:kern w:val="0"/>
                <w:sz w:val="24"/>
                <w:szCs w:val="24"/>
                <w:highlight w:val="none"/>
              </w:rPr>
              <w:t>污水处理厂的进水量约60000t/d，项目总废水排放量为</w:t>
            </w:r>
            <w:r>
              <w:rPr>
                <w:rFonts w:hint="eastAsia" w:ascii="Times New Roman" w:hAnsi="Times New Roman" w:cs="Times New Roman"/>
                <w:kern w:val="0"/>
                <w:sz w:val="24"/>
                <w:szCs w:val="24"/>
                <w:highlight w:val="none"/>
                <w:lang w:val="en-US" w:eastAsia="zh-CN"/>
              </w:rPr>
              <w:t>14</w:t>
            </w:r>
            <w:r>
              <w:rPr>
                <w:rFonts w:hint="default" w:ascii="Times New Roman" w:hAnsi="Times New Roman" w:cs="Times New Roman"/>
                <w:kern w:val="0"/>
                <w:sz w:val="24"/>
                <w:szCs w:val="24"/>
                <w:highlight w:val="none"/>
              </w:rPr>
              <w:t>t/d，占污水处理厂剩余处理规模的0.</w:t>
            </w:r>
            <w:r>
              <w:rPr>
                <w:rFonts w:hint="eastAsia" w:ascii="Times New Roman" w:hAnsi="Times New Roman" w:cs="Times New Roman"/>
                <w:kern w:val="0"/>
                <w:sz w:val="24"/>
                <w:szCs w:val="24"/>
                <w:highlight w:val="none"/>
                <w:lang w:val="en-US" w:eastAsia="zh-CN"/>
              </w:rPr>
              <w:t>07</w:t>
            </w:r>
            <w:r>
              <w:rPr>
                <w:rFonts w:hint="default" w:ascii="Times New Roman" w:hAnsi="Times New Roman" w:cs="Times New Roman"/>
                <w:kern w:val="0"/>
                <w:sz w:val="24"/>
                <w:szCs w:val="24"/>
                <w:highlight w:val="none"/>
              </w:rPr>
              <w:t>%，尚有余量容纳本项目污水。污水经处理后可纳入污水管网。因此，从水量分析，项目废水的纳入不会对污水处理厂的</w:t>
            </w:r>
            <w:r>
              <w:rPr>
                <w:kern w:val="0"/>
                <w:sz w:val="24"/>
                <w:szCs w:val="24"/>
                <w:highlight w:val="none"/>
              </w:rPr>
              <w:t>正常运行造成冲击。</w:t>
            </w:r>
          </w:p>
          <w:p>
            <w:pPr>
              <w:keepNext w:val="0"/>
              <w:keepLines w:val="0"/>
              <w:pageBreakBefore w:val="0"/>
              <w:widowControl w:val="0"/>
              <w:kinsoku/>
              <w:wordWrap/>
              <w:overflowPunct/>
              <w:topLinePunct w:val="0"/>
              <w:autoSpaceDE w:val="0"/>
              <w:autoSpaceDN w:val="0"/>
              <w:bidi w:val="0"/>
              <w:adjustRightInd/>
              <w:spacing w:line="480" w:lineRule="exact"/>
              <w:ind w:firstLine="480" w:firstLineChars="200"/>
              <w:jc w:val="left"/>
              <w:textAlignment w:val="auto"/>
              <w:rPr>
                <w:rFonts w:ascii="宋体" w:hAnsi="宋体" w:cs="宋体"/>
                <w:color w:val="000000"/>
                <w:kern w:val="0"/>
                <w:sz w:val="24"/>
                <w:szCs w:val="24"/>
                <w:highlight w:val="none"/>
              </w:rPr>
            </w:pPr>
            <w:r>
              <w:rPr>
                <w:color w:val="000000"/>
                <w:kern w:val="0"/>
                <w:sz w:val="24"/>
                <w:szCs w:val="24"/>
                <w:highlight w:val="none"/>
              </w:rPr>
              <w:t>C</w:t>
            </w:r>
            <w:r>
              <w:rPr>
                <w:rFonts w:hint="eastAsia" w:ascii="宋体" w:hAnsi="宋体" w:cs="宋体"/>
                <w:color w:val="000000"/>
                <w:kern w:val="0"/>
                <w:sz w:val="24"/>
                <w:szCs w:val="24"/>
                <w:highlight w:val="none"/>
              </w:rPr>
              <w:t>．</w:t>
            </w:r>
            <w:r>
              <w:rPr>
                <w:rFonts w:ascii="宋体" w:hAnsi="宋体" w:cs="宋体"/>
                <w:color w:val="000000"/>
                <w:kern w:val="0"/>
                <w:sz w:val="24"/>
                <w:szCs w:val="24"/>
                <w:highlight w:val="none"/>
              </w:rPr>
              <w:t>对污水</w:t>
            </w:r>
            <w:r>
              <w:rPr>
                <w:rFonts w:hint="eastAsia" w:ascii="宋体" w:hAnsi="宋体" w:cs="宋体"/>
                <w:color w:val="000000"/>
                <w:kern w:val="0"/>
                <w:sz w:val="24"/>
                <w:szCs w:val="24"/>
                <w:highlight w:val="none"/>
                <w:lang w:eastAsia="zh-CN"/>
              </w:rPr>
              <w:t>处理</w:t>
            </w:r>
            <w:r>
              <w:rPr>
                <w:rFonts w:ascii="宋体" w:hAnsi="宋体" w:cs="宋体"/>
                <w:color w:val="000000"/>
                <w:kern w:val="0"/>
                <w:sz w:val="24"/>
                <w:szCs w:val="24"/>
                <w:highlight w:val="none"/>
              </w:rPr>
              <w:t>厂水质的影响</w:t>
            </w:r>
          </w:p>
          <w:p>
            <w:pPr>
              <w:keepNext w:val="0"/>
              <w:keepLines w:val="0"/>
              <w:pageBreakBefore w:val="0"/>
              <w:widowControl w:val="0"/>
              <w:kinsoku/>
              <w:wordWrap/>
              <w:overflowPunct/>
              <w:topLinePunct w:val="0"/>
              <w:bidi w:val="0"/>
              <w:adjustRightInd/>
              <w:snapToGrid w:val="0"/>
              <w:spacing w:line="480" w:lineRule="exact"/>
              <w:ind w:firstLine="480" w:firstLineChars="200"/>
              <w:textAlignment w:val="auto"/>
              <w:rPr>
                <w:rFonts w:hint="eastAsia"/>
                <w:sz w:val="24"/>
                <w:szCs w:val="24"/>
                <w:highlight w:val="none"/>
              </w:rPr>
            </w:pPr>
            <w:r>
              <w:rPr>
                <w:rFonts w:hint="eastAsia" w:ascii="宋体" w:hAnsi="宋体" w:cs="宋体"/>
                <w:color w:val="000000"/>
                <w:kern w:val="0"/>
                <w:sz w:val="24"/>
                <w:szCs w:val="24"/>
                <w:highlight w:val="none"/>
              </w:rPr>
              <w:t>迁安</w:t>
            </w:r>
            <w:r>
              <w:rPr>
                <w:rFonts w:hint="eastAsia" w:ascii="Times New Roman" w:hAnsi="Times New Roman" w:cs="Times New Roman"/>
                <w:kern w:val="0"/>
                <w:sz w:val="24"/>
                <w:szCs w:val="24"/>
                <w:highlight w:val="none"/>
                <w:lang w:eastAsia="zh-CN"/>
              </w:rPr>
              <w:t>市</w:t>
            </w:r>
            <w:r>
              <w:rPr>
                <w:rFonts w:ascii="宋体" w:hAnsi="宋体" w:cs="宋体"/>
                <w:color w:val="000000"/>
                <w:kern w:val="0"/>
                <w:sz w:val="24"/>
                <w:szCs w:val="24"/>
                <w:highlight w:val="none"/>
              </w:rPr>
              <w:t>污水处理厂的设计废水进水质</w:t>
            </w:r>
            <w:r>
              <w:rPr>
                <w:rFonts w:hint="eastAsia" w:ascii="宋体" w:hAnsi="宋体" w:cs="宋体"/>
                <w:color w:val="000000"/>
                <w:kern w:val="0"/>
                <w:sz w:val="24"/>
                <w:szCs w:val="24"/>
                <w:highlight w:val="none"/>
                <w:lang w:eastAsia="zh-CN"/>
              </w:rPr>
              <w:t>无</w:t>
            </w:r>
            <w:r>
              <w:rPr>
                <w:rFonts w:ascii="宋体" w:hAnsi="宋体" w:cs="宋体"/>
                <w:color w:val="000000"/>
                <w:kern w:val="0"/>
                <w:sz w:val="24"/>
                <w:szCs w:val="24"/>
                <w:highlight w:val="none"/>
              </w:rPr>
              <w:t>特殊规定，项目预处理后的废水</w:t>
            </w:r>
            <w:r>
              <w:rPr>
                <w:rFonts w:hint="eastAsia" w:ascii="宋体" w:hAnsi="宋体" w:cs="宋体"/>
                <w:color w:val="000000"/>
                <w:kern w:val="0"/>
                <w:sz w:val="24"/>
                <w:szCs w:val="24"/>
                <w:highlight w:val="none"/>
              </w:rPr>
              <w:t>能够达到迁安</w:t>
            </w:r>
            <w:r>
              <w:rPr>
                <w:rFonts w:hint="eastAsia" w:ascii="宋体" w:hAnsi="宋体" w:cs="宋体"/>
                <w:color w:val="000000"/>
                <w:kern w:val="0"/>
                <w:sz w:val="24"/>
                <w:szCs w:val="24"/>
                <w:highlight w:val="none"/>
                <w:lang w:eastAsia="zh-CN"/>
              </w:rPr>
              <w:t>市</w:t>
            </w:r>
            <w:r>
              <w:rPr>
                <w:rFonts w:hint="eastAsia" w:ascii="宋体" w:hAnsi="宋体" w:cs="宋体"/>
                <w:color w:val="000000"/>
                <w:kern w:val="0"/>
                <w:sz w:val="24"/>
                <w:szCs w:val="24"/>
                <w:highlight w:val="none"/>
              </w:rPr>
              <w:t>污水处理厂收水标准</w:t>
            </w:r>
            <w:r>
              <w:rPr>
                <w:rFonts w:ascii="宋体" w:hAnsi="宋体" w:cs="宋体"/>
                <w:color w:val="000000"/>
                <w:kern w:val="0"/>
                <w:sz w:val="24"/>
                <w:szCs w:val="24"/>
                <w:highlight w:val="none"/>
              </w:rPr>
              <w:t>，项目废水的纳入不会对污水处理厂的正常运行造成影响。</w:t>
            </w:r>
            <w:r>
              <w:rPr>
                <w:rFonts w:hint="eastAsia"/>
                <w:sz w:val="24"/>
                <w:szCs w:val="24"/>
                <w:highlight w:val="none"/>
              </w:rPr>
              <w:t>综上所述，项目对地表水</w:t>
            </w:r>
            <w:r>
              <w:rPr>
                <w:rFonts w:hint="eastAsia"/>
                <w:sz w:val="24"/>
                <w:szCs w:val="24"/>
                <w:highlight w:val="none"/>
                <w:lang w:eastAsia="zh-CN"/>
              </w:rPr>
              <w:t>环境无影响</w:t>
            </w:r>
            <w:r>
              <w:rPr>
                <w:rFonts w:hint="eastAsia"/>
                <w:sz w:val="24"/>
                <w:szCs w:val="24"/>
                <w:highlight w:val="none"/>
              </w:rPr>
              <w:t>。</w:t>
            </w:r>
          </w:p>
          <w:p>
            <w:pPr>
              <w:numPr>
                <w:ilvl w:val="0"/>
                <w:numId w:val="2"/>
              </w:numPr>
              <w:adjustRightInd w:val="0"/>
              <w:snapToGrid w:val="0"/>
              <w:spacing w:line="480" w:lineRule="exact"/>
              <w:rPr>
                <w:rFonts w:hint="eastAsia"/>
                <w:sz w:val="24"/>
                <w:highlight w:val="none"/>
              </w:rPr>
            </w:pPr>
            <w:r>
              <w:rPr>
                <w:rFonts w:hint="eastAsia"/>
                <w:sz w:val="24"/>
                <w:highlight w:val="none"/>
              </w:rPr>
              <w:t>废水对地表水的影响</w:t>
            </w:r>
          </w:p>
          <w:p>
            <w:pPr>
              <w:adjustRightInd w:val="0"/>
              <w:snapToGrid w:val="0"/>
              <w:spacing w:line="480" w:lineRule="exact"/>
              <w:ind w:firstLine="480" w:firstLineChars="200"/>
              <w:rPr>
                <w:rFonts w:hint="eastAsia"/>
                <w:sz w:val="24"/>
                <w:highlight w:val="none"/>
              </w:rPr>
            </w:pPr>
            <w:r>
              <w:rPr>
                <w:rFonts w:hint="eastAsia"/>
                <w:sz w:val="24"/>
                <w:highlight w:val="none"/>
              </w:rPr>
              <w:t>由上表可知，项目废水可以满足《医疗机构水污染物排放标准》（GB18466-2005）表2中的排放标准</w:t>
            </w:r>
            <w:r>
              <w:rPr>
                <w:sz w:val="24"/>
                <w:highlight w:val="none"/>
              </w:rPr>
              <w:t>以及迁安市污水处理厂收水标准</w:t>
            </w:r>
            <w:r>
              <w:rPr>
                <w:rFonts w:hint="eastAsia"/>
                <w:sz w:val="24"/>
                <w:highlight w:val="none"/>
              </w:rPr>
              <w:t>后排入市政污水管网，不与地表水发生直接联系，因此不会对地表水环境产生影响。</w:t>
            </w:r>
          </w:p>
          <w:p>
            <w:pPr>
              <w:adjustRightInd w:val="0"/>
              <w:snapToGrid w:val="0"/>
              <w:spacing w:line="480" w:lineRule="exact"/>
              <w:ind w:firstLine="480" w:firstLineChars="200"/>
              <w:rPr>
                <w:rFonts w:hint="eastAsia"/>
                <w:sz w:val="24"/>
                <w:highlight w:val="none"/>
              </w:rPr>
            </w:pPr>
            <w:r>
              <w:rPr>
                <w:rFonts w:hint="eastAsia"/>
                <w:sz w:val="24"/>
                <w:highlight w:val="none"/>
              </w:rPr>
              <w:t>(2)地下水环境影响分析</w:t>
            </w:r>
          </w:p>
          <w:p>
            <w:pPr>
              <w:adjustRightInd w:val="0"/>
              <w:snapToGrid w:val="0"/>
              <w:spacing w:line="480" w:lineRule="exact"/>
              <w:ind w:firstLine="480" w:firstLineChars="200"/>
              <w:rPr>
                <w:rFonts w:hint="eastAsia"/>
                <w:sz w:val="24"/>
                <w:highlight w:val="none"/>
              </w:rPr>
            </w:pPr>
            <w:r>
              <w:rPr>
                <w:rFonts w:hint="eastAsia"/>
                <w:sz w:val="24"/>
                <w:highlight w:val="none"/>
              </w:rPr>
              <w:t>根据《环境影响评价技术导则 地下水环境》（HJ610-2016）附录A，本项目</w:t>
            </w:r>
            <w:r>
              <w:rPr>
                <w:rFonts w:hint="eastAsia"/>
                <w:sz w:val="24"/>
                <w:highlight w:val="none"/>
                <w:lang w:eastAsia="zh-CN"/>
              </w:rPr>
              <w:t>为</w:t>
            </w:r>
            <w:r>
              <w:rPr>
                <w:rFonts w:hint="eastAsia"/>
                <w:sz w:val="24"/>
                <w:highlight w:val="none"/>
                <w:lang w:val="en-US" w:eastAsia="zh-CN"/>
              </w:rPr>
              <w:t>V社会事业与服务业 161、社区医疗、卫生院（所、站）、血站、急救中心等其他卫生机构，</w:t>
            </w:r>
            <w:r>
              <w:rPr>
                <w:rFonts w:hint="eastAsia"/>
                <w:sz w:val="24"/>
                <w:highlight w:val="none"/>
              </w:rPr>
              <w:t>属于地下水环境影响评价项目类别中的Ⅳ类项目，不开展地下水环境影响评价。</w:t>
            </w:r>
          </w:p>
          <w:p>
            <w:pPr>
              <w:adjustRightInd w:val="0"/>
              <w:snapToGrid w:val="0"/>
              <w:spacing w:line="480" w:lineRule="exact"/>
              <w:ind w:firstLine="480" w:firstLineChars="200"/>
              <w:rPr>
                <w:rFonts w:hint="eastAsia"/>
                <w:sz w:val="24"/>
                <w:highlight w:val="none"/>
              </w:rPr>
            </w:pPr>
            <w:r>
              <w:rPr>
                <w:rFonts w:hint="eastAsia"/>
                <w:sz w:val="24"/>
                <w:highlight w:val="none"/>
              </w:rPr>
              <w:t>项目为了防止污水处理站对地下水造成污染，需采取以下措施：</w:t>
            </w:r>
          </w:p>
          <w:p>
            <w:pPr>
              <w:spacing w:line="480" w:lineRule="exact"/>
              <w:ind w:firstLine="480" w:firstLineChars="200"/>
              <w:rPr>
                <w:sz w:val="24"/>
                <w:highlight w:val="none"/>
              </w:rPr>
            </w:pPr>
            <w:r>
              <w:rPr>
                <w:rFonts w:hint="eastAsia"/>
                <w:sz w:val="24"/>
                <w:highlight w:val="none"/>
              </w:rPr>
              <w:t>①项目污水处理依托迁安市人民医院污水处理站，</w:t>
            </w:r>
            <w:r>
              <w:rPr>
                <w:rFonts w:hint="eastAsia"/>
                <w:sz w:val="24"/>
                <w:highlight w:val="none"/>
                <w:lang w:eastAsia="zh-CN"/>
              </w:rPr>
              <w:t>室外污水</w:t>
            </w:r>
            <w:r>
              <w:rPr>
                <w:rFonts w:hint="eastAsia"/>
                <w:sz w:val="24"/>
                <w:highlight w:val="none"/>
              </w:rPr>
              <w:t>管道选用钢筋混凝土管，</w:t>
            </w:r>
            <w:r>
              <w:rPr>
                <w:rFonts w:hAnsi="宋体"/>
                <w:kern w:val="0"/>
                <w:sz w:val="24"/>
                <w:szCs w:val="24"/>
                <w:highlight w:val="none"/>
              </w:rPr>
              <w:t>达到渗透系数小于</w:t>
            </w:r>
            <w:r>
              <w:rPr>
                <w:kern w:val="0"/>
                <w:sz w:val="24"/>
                <w:szCs w:val="24"/>
                <w:highlight w:val="none"/>
              </w:rPr>
              <w:t>10</w:t>
            </w:r>
            <w:r>
              <w:rPr>
                <w:kern w:val="0"/>
                <w:sz w:val="24"/>
                <w:szCs w:val="24"/>
                <w:highlight w:val="none"/>
                <w:vertAlign w:val="superscript"/>
              </w:rPr>
              <w:t>-</w:t>
            </w:r>
            <w:r>
              <w:rPr>
                <w:rFonts w:hint="eastAsia"/>
                <w:kern w:val="0"/>
                <w:sz w:val="24"/>
                <w:szCs w:val="24"/>
                <w:highlight w:val="none"/>
                <w:vertAlign w:val="superscript"/>
                <w:lang w:val="en-US" w:eastAsia="zh-CN"/>
              </w:rPr>
              <w:t>10</w:t>
            </w:r>
            <w:r>
              <w:rPr>
                <w:kern w:val="0"/>
                <w:sz w:val="24"/>
                <w:szCs w:val="24"/>
                <w:highlight w:val="none"/>
              </w:rPr>
              <w:t>cm/s</w:t>
            </w:r>
            <w:r>
              <w:rPr>
                <w:rFonts w:hAnsi="宋体"/>
                <w:kern w:val="0"/>
                <w:sz w:val="24"/>
                <w:szCs w:val="24"/>
                <w:highlight w:val="none"/>
              </w:rPr>
              <w:t>的要求</w:t>
            </w:r>
            <w:r>
              <w:rPr>
                <w:rFonts w:hint="eastAsia"/>
                <w:sz w:val="24"/>
                <w:highlight w:val="none"/>
              </w:rPr>
              <w:t>，</w:t>
            </w:r>
            <w:r>
              <w:rPr>
                <w:sz w:val="24"/>
                <w:highlight w:val="none"/>
              </w:rPr>
              <w:t>可有效防治污水的下渗；</w:t>
            </w:r>
          </w:p>
          <w:p>
            <w:pPr>
              <w:spacing w:line="480" w:lineRule="exact"/>
              <w:ind w:firstLine="480" w:firstLineChars="200"/>
              <w:rPr>
                <w:rFonts w:hint="eastAsia" w:ascii="Times New Roman" w:hAnsi="Times New Roman" w:cs="Times New Roman"/>
                <w:b/>
                <w:color w:val="auto"/>
                <w:sz w:val="24"/>
                <w:szCs w:val="24"/>
                <w:highlight w:val="none"/>
                <w:lang w:eastAsia="zh-CN"/>
              </w:rPr>
            </w:pPr>
            <w:r>
              <w:rPr>
                <w:sz w:val="24"/>
                <w:szCs w:val="24"/>
                <w:highlight w:val="none"/>
              </w:rPr>
              <w:t>②医疗废物根据种类分开暂存不同的特定容器中，存放</w:t>
            </w:r>
            <w:r>
              <w:rPr>
                <w:rFonts w:hint="eastAsia"/>
                <w:sz w:val="24"/>
                <w:szCs w:val="24"/>
                <w:highlight w:val="none"/>
              </w:rPr>
              <w:t>一层西南侧</w:t>
            </w:r>
            <w:r>
              <w:rPr>
                <w:sz w:val="24"/>
                <w:szCs w:val="24"/>
                <w:highlight w:val="none"/>
              </w:rPr>
              <w:t>危废暂存间内，</w:t>
            </w:r>
            <w:r>
              <w:rPr>
                <w:rFonts w:hint="eastAsia"/>
                <w:sz w:val="24"/>
                <w:szCs w:val="24"/>
                <w:highlight w:val="none"/>
              </w:rPr>
              <w:t>面积约为10m</w:t>
            </w:r>
            <w:r>
              <w:rPr>
                <w:rFonts w:hint="eastAsia"/>
                <w:sz w:val="24"/>
                <w:szCs w:val="24"/>
                <w:highlight w:val="none"/>
                <w:vertAlign w:val="superscript"/>
              </w:rPr>
              <w:t>2</w:t>
            </w:r>
            <w:r>
              <w:rPr>
                <w:rFonts w:hint="eastAsia"/>
                <w:highlight w:val="none"/>
                <w:lang w:eastAsia="zh-CN"/>
              </w:rPr>
              <w:t>，</w:t>
            </w:r>
            <w:r>
              <w:rPr>
                <w:sz w:val="24"/>
                <w:szCs w:val="24"/>
                <w:highlight w:val="none"/>
              </w:rPr>
              <w:t>危废贮存间地面用钢筋混凝土构筑，地面与裙脚要用坚固、防渗的材料建造，</w:t>
            </w:r>
            <w:r>
              <w:rPr>
                <w:rFonts w:hAnsi="宋体"/>
                <w:kern w:val="0"/>
                <w:sz w:val="24"/>
                <w:szCs w:val="24"/>
                <w:highlight w:val="none"/>
              </w:rPr>
              <w:t>渗透系数小于</w:t>
            </w:r>
            <w:r>
              <w:rPr>
                <w:kern w:val="0"/>
                <w:sz w:val="24"/>
                <w:szCs w:val="24"/>
                <w:highlight w:val="none"/>
              </w:rPr>
              <w:t>10</w:t>
            </w:r>
            <w:r>
              <w:rPr>
                <w:kern w:val="0"/>
                <w:sz w:val="24"/>
                <w:szCs w:val="24"/>
                <w:highlight w:val="none"/>
                <w:vertAlign w:val="superscript"/>
              </w:rPr>
              <w:t>-</w:t>
            </w:r>
            <w:r>
              <w:rPr>
                <w:rFonts w:hint="eastAsia"/>
                <w:kern w:val="0"/>
                <w:sz w:val="24"/>
                <w:szCs w:val="24"/>
                <w:highlight w:val="none"/>
                <w:vertAlign w:val="superscript"/>
              </w:rPr>
              <w:t>10</w:t>
            </w:r>
            <w:r>
              <w:rPr>
                <w:kern w:val="0"/>
                <w:sz w:val="24"/>
                <w:szCs w:val="24"/>
                <w:highlight w:val="none"/>
              </w:rPr>
              <w:t>cm/s</w:t>
            </w:r>
            <w:r>
              <w:rPr>
                <w:rFonts w:hAnsi="宋体"/>
                <w:kern w:val="0"/>
                <w:sz w:val="24"/>
                <w:szCs w:val="24"/>
                <w:highlight w:val="none"/>
              </w:rPr>
              <w:t>的要求</w:t>
            </w:r>
            <w:r>
              <w:rPr>
                <w:sz w:val="24"/>
                <w:szCs w:val="24"/>
                <w:highlight w:val="none"/>
              </w:rPr>
              <w:t>建筑</w:t>
            </w:r>
            <w:r>
              <w:rPr>
                <w:rFonts w:hint="eastAsia"/>
                <w:sz w:val="24"/>
                <w:szCs w:val="24"/>
                <w:highlight w:val="none"/>
              </w:rPr>
              <w:t>，</w:t>
            </w:r>
            <w:r>
              <w:rPr>
                <w:sz w:val="24"/>
                <w:szCs w:val="24"/>
                <w:highlight w:val="none"/>
              </w:rPr>
              <w:t>危废暂存设施应封闭，并设置相关标识。</w:t>
            </w:r>
          </w:p>
          <w:p>
            <w:pPr>
              <w:ind w:firstLine="0" w:firstLineChars="0"/>
              <w:jc w:val="center"/>
              <w:rPr>
                <w:rFonts w:hint="default" w:ascii="Times New Roman" w:hAnsi="Times New Roman" w:cs="Times New Roman"/>
                <w:b/>
                <w:color w:val="auto"/>
                <w:sz w:val="24"/>
                <w:szCs w:val="24"/>
                <w:highlight w:val="none"/>
              </w:rPr>
            </w:pPr>
            <w:r>
              <w:rPr>
                <w:rFonts w:hint="eastAsia" w:ascii="Times New Roman" w:hAnsi="Times New Roman" w:cs="Times New Roman"/>
                <w:b/>
                <w:color w:val="auto"/>
                <w:sz w:val="24"/>
                <w:szCs w:val="24"/>
                <w:highlight w:val="none"/>
                <w:lang w:eastAsia="zh-CN"/>
              </w:rPr>
              <w:t>表</w:t>
            </w:r>
            <w:r>
              <w:rPr>
                <w:rFonts w:hint="eastAsia" w:ascii="Times New Roman" w:hAnsi="Times New Roman" w:cs="Times New Roman"/>
                <w:b/>
                <w:color w:val="auto"/>
                <w:sz w:val="24"/>
                <w:szCs w:val="24"/>
                <w:highlight w:val="none"/>
                <w:lang w:val="en-US" w:eastAsia="zh-CN"/>
              </w:rPr>
              <w:t>15</w:t>
            </w:r>
            <w:r>
              <w:rPr>
                <w:rFonts w:hint="default" w:ascii="Times New Roman" w:hAnsi="Times New Roman" w:cs="Times New Roman"/>
                <w:b/>
                <w:color w:val="auto"/>
                <w:sz w:val="24"/>
                <w:szCs w:val="24"/>
                <w:highlight w:val="none"/>
              </w:rPr>
              <w:t xml:space="preserve">    地下水污染防渗分区表</w:t>
            </w:r>
          </w:p>
          <w:tbl>
            <w:tblPr>
              <w:tblStyle w:val="36"/>
              <w:tblW w:w="88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8"/>
              <w:gridCol w:w="1284"/>
              <w:gridCol w:w="1092"/>
              <w:gridCol w:w="4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868" w:type="dxa"/>
                  <w:noWrap w:val="0"/>
                  <w:vAlign w:val="center"/>
                </w:tcPr>
                <w:p>
                  <w:pPr>
                    <w:pStyle w:val="92"/>
                    <w:spacing w:line="240" w:lineRule="auto"/>
                    <w:ind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防渗区</w:t>
                  </w:r>
                </w:p>
              </w:tc>
              <w:tc>
                <w:tcPr>
                  <w:tcW w:w="1284" w:type="dxa"/>
                  <w:noWrap w:val="0"/>
                  <w:vAlign w:val="center"/>
                </w:tcPr>
                <w:p>
                  <w:pPr>
                    <w:pStyle w:val="92"/>
                    <w:spacing w:line="240" w:lineRule="auto"/>
                    <w:ind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防渗分区</w:t>
                  </w:r>
                </w:p>
              </w:tc>
              <w:tc>
                <w:tcPr>
                  <w:tcW w:w="1092" w:type="dxa"/>
                  <w:noWrap w:val="0"/>
                  <w:vAlign w:val="center"/>
                </w:tcPr>
                <w:p>
                  <w:pPr>
                    <w:pStyle w:val="92"/>
                    <w:spacing w:line="240" w:lineRule="auto"/>
                    <w:ind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污染控制难易程度</w:t>
                  </w:r>
                </w:p>
              </w:tc>
              <w:tc>
                <w:tcPr>
                  <w:tcW w:w="4615" w:type="dxa"/>
                  <w:noWrap w:val="0"/>
                  <w:vAlign w:val="center"/>
                </w:tcPr>
                <w:p>
                  <w:pPr>
                    <w:pStyle w:val="92"/>
                    <w:spacing w:line="240" w:lineRule="auto"/>
                    <w:ind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防渗措施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1868" w:type="dxa"/>
                  <w:noWrap w:val="0"/>
                  <w:vAlign w:val="center"/>
                </w:tcPr>
                <w:p>
                  <w:pPr>
                    <w:pStyle w:val="92"/>
                    <w:widowControl w:val="0"/>
                    <w:tabs>
                      <w:tab w:val="center" w:pos="1142"/>
                      <w:tab w:val="right" w:pos="2165"/>
                    </w:tabs>
                    <w:spacing w:line="240" w:lineRule="auto"/>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医疗废物储存间、</w:t>
                  </w:r>
                </w:p>
                <w:p>
                  <w:pPr>
                    <w:pStyle w:val="92"/>
                    <w:widowControl w:val="0"/>
                    <w:tabs>
                      <w:tab w:val="center" w:pos="1142"/>
                      <w:tab w:val="right" w:pos="2165"/>
                    </w:tabs>
                    <w:spacing w:line="240" w:lineRule="auto"/>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污水管道</w:t>
                  </w:r>
                </w:p>
              </w:tc>
              <w:tc>
                <w:tcPr>
                  <w:tcW w:w="1284" w:type="dxa"/>
                  <w:noWrap w:val="0"/>
                  <w:vAlign w:val="center"/>
                </w:tcPr>
                <w:p>
                  <w:pPr>
                    <w:pStyle w:val="92"/>
                    <w:widowControl w:val="0"/>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重点防渗区</w:t>
                  </w:r>
                </w:p>
              </w:tc>
              <w:tc>
                <w:tcPr>
                  <w:tcW w:w="1092" w:type="dxa"/>
                  <w:noWrap w:val="0"/>
                  <w:vAlign w:val="center"/>
                </w:tcPr>
                <w:p>
                  <w:pPr>
                    <w:pStyle w:val="92"/>
                    <w:widowControl w:val="0"/>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w:t>
                  </w:r>
                </w:p>
              </w:tc>
              <w:tc>
                <w:tcPr>
                  <w:tcW w:w="4615" w:type="dxa"/>
                  <w:noWrap w:val="0"/>
                  <w:vAlign w:val="center"/>
                </w:tcPr>
                <w:p>
                  <w:pPr>
                    <w:pStyle w:val="92"/>
                    <w:widowControl w:val="0"/>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地面采取2mm厚高密度聚乙烯防渗，渗透系数≤1.0×10</w:t>
                  </w:r>
                  <w:r>
                    <w:rPr>
                      <w:rFonts w:hint="default" w:ascii="Times New Roman" w:hAnsi="Times New Roman" w:cs="Times New Roman"/>
                      <w:color w:val="auto"/>
                      <w:sz w:val="21"/>
                      <w:szCs w:val="21"/>
                      <w:highlight w:val="none"/>
                      <w:vertAlign w:val="superscript"/>
                    </w:rPr>
                    <w:t>-10</w:t>
                  </w:r>
                  <w:r>
                    <w:rPr>
                      <w:rFonts w:hint="default" w:ascii="Times New Roman" w:hAnsi="Times New Roman" w:cs="Times New Roman"/>
                      <w:color w:val="auto"/>
                      <w:sz w:val="21"/>
                      <w:szCs w:val="21"/>
                      <w:highlight w:val="none"/>
                    </w:rPr>
                    <w:t>cm/s（或采取其他具有同等防渗效力的防渗材料）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868" w:type="dxa"/>
                  <w:noWrap w:val="0"/>
                  <w:vAlign w:val="center"/>
                </w:tcPr>
                <w:p>
                  <w:pPr>
                    <w:pStyle w:val="92"/>
                    <w:spacing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eastAsia="zh-CN"/>
                    </w:rPr>
                    <w:t>化粪池</w:t>
                  </w:r>
                </w:p>
              </w:tc>
              <w:tc>
                <w:tcPr>
                  <w:tcW w:w="1284"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w:t>
                  </w:r>
                </w:p>
              </w:tc>
              <w:tc>
                <w:tcPr>
                  <w:tcW w:w="1092"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w:t>
                  </w:r>
                </w:p>
              </w:tc>
              <w:tc>
                <w:tcPr>
                  <w:tcW w:w="4615"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抗渗混凝土防渗，厚度≥15cm，渗</w:t>
                  </w:r>
                  <w:r>
                    <w:rPr>
                      <w:rFonts w:hint="eastAsia" w:cs="Times New Roman"/>
                      <w:color w:val="auto"/>
                      <w:sz w:val="21"/>
                      <w:szCs w:val="21"/>
                      <w:highlight w:val="none"/>
                      <w:lang w:eastAsia="zh-CN"/>
                    </w:rPr>
                    <w:t>透</w:t>
                  </w:r>
                  <w:r>
                    <w:rPr>
                      <w:rFonts w:hint="default" w:ascii="Times New Roman" w:hAnsi="Times New Roman" w:cs="Times New Roman"/>
                      <w:color w:val="auto"/>
                      <w:sz w:val="21"/>
                      <w:szCs w:val="21"/>
                      <w:highlight w:val="none"/>
                    </w:rPr>
                    <w:t>系数K≤1.0×10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1868" w:type="dxa"/>
                  <w:noWrap w:val="0"/>
                  <w:vAlign w:val="center"/>
                </w:tcPr>
                <w:p>
                  <w:pPr>
                    <w:pStyle w:val="92"/>
                    <w:spacing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eastAsia="zh-CN"/>
                    </w:rPr>
                    <w:t>其他地面</w:t>
                  </w:r>
                </w:p>
              </w:tc>
              <w:tc>
                <w:tcPr>
                  <w:tcW w:w="1284"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简单防渗区</w:t>
                  </w:r>
                </w:p>
              </w:tc>
              <w:tc>
                <w:tcPr>
                  <w:tcW w:w="1092"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易</w:t>
                  </w:r>
                </w:p>
              </w:tc>
              <w:tc>
                <w:tcPr>
                  <w:tcW w:w="4615" w:type="dxa"/>
                  <w:noWrap w:val="0"/>
                  <w:vAlign w:val="center"/>
                </w:tcPr>
                <w:p>
                  <w:pPr>
                    <w:pStyle w:val="92"/>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一般地面硬化</w:t>
                  </w:r>
                </w:p>
              </w:tc>
            </w:tr>
          </w:tbl>
          <w:p>
            <w:pPr>
              <w:spacing w:line="480" w:lineRule="exact"/>
              <w:ind w:firstLine="480" w:firstLineChars="200"/>
              <w:rPr>
                <w:rFonts w:hint="eastAsia"/>
                <w:sz w:val="24"/>
                <w:szCs w:val="24"/>
                <w:highlight w:val="none"/>
              </w:rPr>
            </w:pPr>
            <w:r>
              <w:rPr>
                <w:rFonts w:hint="eastAsia"/>
                <w:sz w:val="24"/>
                <w:szCs w:val="24"/>
                <w:highlight w:val="none"/>
              </w:rPr>
              <w:t>采取上述措施后，对地下水的环境影响很小。</w:t>
            </w:r>
          </w:p>
          <w:p>
            <w:pPr>
              <w:pStyle w:val="6"/>
              <w:spacing w:line="360" w:lineRule="auto"/>
              <w:jc w:val="center"/>
              <w:rPr>
                <w:rFonts w:hint="default"/>
                <w:sz w:val="24"/>
                <w:szCs w:val="24"/>
                <w:highlight w:val="none"/>
              </w:rPr>
            </w:pPr>
            <w:r>
              <w:rPr>
                <w:b/>
                <w:spacing w:val="-12"/>
                <w:sz w:val="24"/>
                <w:szCs w:val="24"/>
                <w:highlight w:val="none"/>
              </w:rPr>
              <w:t>表</w:t>
            </w:r>
            <w:r>
              <w:rPr>
                <w:rFonts w:hint="eastAsia"/>
                <w:b/>
                <w:spacing w:val="-12"/>
                <w:sz w:val="24"/>
                <w:szCs w:val="24"/>
                <w:highlight w:val="none"/>
                <w:lang w:val="en-US" w:eastAsia="zh-CN"/>
              </w:rPr>
              <w:t>16</w:t>
            </w:r>
            <w:r>
              <w:rPr>
                <w:b/>
                <w:spacing w:val="-12"/>
                <w:sz w:val="24"/>
                <w:szCs w:val="24"/>
                <w:highlight w:val="none"/>
              </w:rPr>
              <w:t xml:space="preserve">   </w:t>
            </w:r>
            <w:r>
              <w:rPr>
                <w:rFonts w:hint="eastAsia"/>
                <w:b/>
                <w:spacing w:val="-12"/>
                <w:sz w:val="24"/>
                <w:szCs w:val="24"/>
                <w:highlight w:val="none"/>
              </w:rPr>
              <w:t>地表水</w:t>
            </w:r>
            <w:r>
              <w:rPr>
                <w:b/>
                <w:spacing w:val="-12"/>
                <w:sz w:val="24"/>
                <w:szCs w:val="24"/>
                <w:highlight w:val="none"/>
              </w:rPr>
              <w:t>环境影响评价自查表</w:t>
            </w:r>
          </w:p>
          <w:tbl>
            <w:tblPr>
              <w:tblStyle w:val="36"/>
              <w:tblW w:w="89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6"/>
              <w:gridCol w:w="1243"/>
              <w:gridCol w:w="1855"/>
              <w:gridCol w:w="1912"/>
              <w:gridCol w:w="1553"/>
              <w:gridCol w:w="2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9"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工作内容</w:t>
                  </w:r>
                </w:p>
              </w:tc>
              <w:tc>
                <w:tcPr>
                  <w:tcW w:w="7320" w:type="dxa"/>
                  <w:gridSpan w:val="4"/>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影响识别</w:t>
                  </w:r>
                </w:p>
              </w:tc>
              <w:tc>
                <w:tcPr>
                  <w:tcW w:w="124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影响类型</w:t>
                  </w:r>
                </w:p>
              </w:tc>
              <w:tc>
                <w:tcPr>
                  <w:tcW w:w="7320" w:type="dxa"/>
                  <w:gridSpan w:val="4"/>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xml:space="preserve">水污染影响型 </w:t>
                  </w:r>
                  <w:r>
                    <w:rPr>
                      <w:sz w:val="21"/>
                      <w:szCs w:val="21"/>
                      <w:highlight w:val="none"/>
                    </w:rPr>
                    <w:sym w:font="Wingdings 2" w:char="0052"/>
                  </w:r>
                  <w:r>
                    <w:rPr>
                      <w:sz w:val="21"/>
                      <w:szCs w:val="21"/>
                      <w:highlight w:val="none"/>
                    </w:rPr>
                    <w:t>； 水文要素影响型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水环境保护目标</w:t>
                  </w:r>
                </w:p>
              </w:tc>
              <w:tc>
                <w:tcPr>
                  <w:tcW w:w="7320" w:type="dxa"/>
                  <w:gridSpan w:val="4"/>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xml:space="preserve">饮用水水源保护区 □；饮用水取水口 □；涉水的自然保护区 □；重要湿地 □；重点保护与珍稀水生生物的栖息地 □；重要水生生物的自然产卵场及索饵场、越冬场和洄游通道、天然渔场等渔业水体 □；涉水的风景名胜区 □；其他 </w:t>
                  </w:r>
                  <w:r>
                    <w:rPr>
                      <w:sz w:val="21"/>
                      <w:szCs w:val="21"/>
                      <w:highlight w:val="none"/>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影响途径</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水污染影响型</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continue"/>
                  <w:shd w:val="clear" w:color="auto" w:fill="auto"/>
                  <w:noWrap w:val="0"/>
                  <w:vAlign w:val="center"/>
                </w:tcPr>
                <w:p>
                  <w:pPr>
                    <w:spacing w:line="300" w:lineRule="exact"/>
                    <w:ind w:firstLine="0" w:firstLineChars="0"/>
                    <w:jc w:val="center"/>
                    <w:rPr>
                      <w:sz w:val="21"/>
                      <w:szCs w:val="21"/>
                      <w:highlight w:val="none"/>
                    </w:rPr>
                  </w:pP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xml:space="preserve">直接排放 □；间接排放  </w:t>
                  </w:r>
                  <w:r>
                    <w:rPr>
                      <w:sz w:val="21"/>
                      <w:szCs w:val="21"/>
                      <w:highlight w:val="none"/>
                    </w:rPr>
                    <w:sym w:font="Wingdings 2" w:char="0052"/>
                  </w:r>
                  <w:r>
                    <w:rPr>
                      <w:sz w:val="21"/>
                      <w:szCs w:val="21"/>
                      <w:highlight w:val="none"/>
                    </w:rPr>
                    <w:t>；其他</w:t>
                  </w:r>
                  <w:r>
                    <w:rPr>
                      <w:sz w:val="21"/>
                      <w:szCs w:val="21"/>
                      <w:highlight w:val="none"/>
                    </w:rPr>
                    <w:sym w:font="Wingdings 2" w:char="00A3"/>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水温 □；径流 □；水域面积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影响因子</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xml:space="preserve">持久性污染物 □；有毒有害污染物 □；非持久性污染物 </w:t>
                  </w:r>
                  <w:r>
                    <w:rPr>
                      <w:sz w:val="21"/>
                      <w:szCs w:val="21"/>
                      <w:highlight w:val="none"/>
                    </w:rPr>
                    <w:sym w:font="Wingdings 2" w:char="00A3"/>
                  </w:r>
                  <w:r>
                    <w:rPr>
                      <w:sz w:val="21"/>
                      <w:szCs w:val="21"/>
                      <w:highlight w:val="none"/>
                    </w:rPr>
                    <w:t xml:space="preserve">；pH值 □；热污染 □；富营养化 □；其他 </w:t>
                  </w:r>
                  <w:r>
                    <w:rPr>
                      <w:sz w:val="21"/>
                      <w:szCs w:val="21"/>
                      <w:highlight w:val="none"/>
                    </w:rPr>
                    <w:sym w:font="Wingdings 2" w:char="0052"/>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水温 □；水位（水深） □；流速 □；流量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9" w:type="dxa"/>
                  <w:gridSpan w:val="2"/>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评价等级</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水污染影响型</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9" w:type="dxa"/>
                  <w:gridSpan w:val="2"/>
                  <w:vMerge w:val="continue"/>
                  <w:shd w:val="clear" w:color="auto" w:fill="auto"/>
                  <w:noWrap w:val="0"/>
                  <w:vAlign w:val="center"/>
                </w:tcPr>
                <w:p>
                  <w:pPr>
                    <w:spacing w:line="300" w:lineRule="exact"/>
                    <w:ind w:firstLine="0" w:firstLineChars="0"/>
                    <w:jc w:val="center"/>
                    <w:rPr>
                      <w:sz w:val="21"/>
                      <w:szCs w:val="21"/>
                      <w:highlight w:val="none"/>
                    </w:rPr>
                  </w:pP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xml:space="preserve">一级 □；二级 □；三级A □；三级B </w:t>
                  </w:r>
                  <w:r>
                    <w:rPr>
                      <w:sz w:val="21"/>
                      <w:szCs w:val="21"/>
                      <w:highlight w:val="none"/>
                    </w:rPr>
                    <w:sym w:font="Wingdings 2" w:char="0052"/>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一级 □；二级 □；三级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现状调查</w:t>
                  </w:r>
                </w:p>
              </w:tc>
              <w:tc>
                <w:tcPr>
                  <w:tcW w:w="1243"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区域污染源</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调查项目</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855"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已建 □；在建 □；拟建 □；其他 □</w:t>
                  </w:r>
                </w:p>
              </w:tc>
              <w:tc>
                <w:tcPr>
                  <w:tcW w:w="1912"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拟替代的污染源 □</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排污许可证 □；环评 □；环保验收 □；既有实测 □；现场监测 □；入河排放口数据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受影响水体水环境质量</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调查时期</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continue"/>
                  <w:shd w:val="clear" w:color="auto" w:fill="auto"/>
                  <w:noWrap w:val="0"/>
                  <w:vAlign w:val="center"/>
                </w:tcPr>
                <w:p>
                  <w:pPr>
                    <w:spacing w:line="300" w:lineRule="exact"/>
                    <w:ind w:firstLine="0" w:firstLineChars="0"/>
                    <w:jc w:val="center"/>
                    <w:rPr>
                      <w:sz w:val="21"/>
                      <w:szCs w:val="21"/>
                      <w:highlight w:val="none"/>
                    </w:rPr>
                  </w:pP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丰水期 □；平水期 □；枯水期 □；冰封期 □</w:t>
                  </w:r>
                </w:p>
                <w:p>
                  <w:pPr>
                    <w:spacing w:line="300" w:lineRule="exact"/>
                    <w:ind w:firstLine="0" w:firstLineChars="0"/>
                    <w:jc w:val="center"/>
                    <w:rPr>
                      <w:sz w:val="21"/>
                      <w:szCs w:val="21"/>
                      <w:highlight w:val="none"/>
                    </w:rPr>
                  </w:pPr>
                  <w:r>
                    <w:rPr>
                      <w:sz w:val="21"/>
                      <w:szCs w:val="21"/>
                      <w:highlight w:val="none"/>
                    </w:rPr>
                    <w:t>春季 □；夏季 □；秋季 □；冬季 □</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生态环境保护主管部门 □；补充监测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区域水资源开发利用状况</w:t>
                  </w:r>
                </w:p>
              </w:tc>
              <w:tc>
                <w:tcPr>
                  <w:tcW w:w="7320" w:type="dxa"/>
                  <w:gridSpan w:val="4"/>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未开发 □；开发量40%以下 □；开发量40%以上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水文情势调查</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调查时期</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continue"/>
                  <w:shd w:val="clear" w:color="auto" w:fill="auto"/>
                  <w:noWrap w:val="0"/>
                  <w:vAlign w:val="center"/>
                </w:tcPr>
                <w:p>
                  <w:pPr>
                    <w:spacing w:line="300" w:lineRule="exact"/>
                    <w:ind w:firstLine="0" w:firstLineChars="0"/>
                    <w:jc w:val="center"/>
                    <w:rPr>
                      <w:sz w:val="21"/>
                      <w:szCs w:val="21"/>
                      <w:highlight w:val="none"/>
                    </w:rPr>
                  </w:pP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丰水期 □；平水期 □；枯水期 □；冰封期 □</w:t>
                  </w:r>
                </w:p>
                <w:p>
                  <w:pPr>
                    <w:spacing w:line="300" w:lineRule="exact"/>
                    <w:ind w:firstLine="0" w:firstLineChars="0"/>
                    <w:jc w:val="center"/>
                    <w:rPr>
                      <w:sz w:val="21"/>
                      <w:szCs w:val="21"/>
                      <w:highlight w:val="none"/>
                    </w:rPr>
                  </w:pPr>
                  <w:r>
                    <w:rPr>
                      <w:sz w:val="21"/>
                      <w:szCs w:val="21"/>
                      <w:highlight w:val="none"/>
                    </w:rPr>
                    <w:t>春季 □；夏季 □；秋季 □；冬季 □</w:t>
                  </w:r>
                </w:p>
              </w:tc>
              <w:tc>
                <w:tcPr>
                  <w:tcW w:w="3553"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水行政主管部门 □；补充监测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restart"/>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补充监测</w:t>
                  </w: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监测时期</w:t>
                  </w:r>
                </w:p>
              </w:tc>
              <w:tc>
                <w:tcPr>
                  <w:tcW w:w="155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监测因子</w:t>
                  </w:r>
                </w:p>
              </w:tc>
              <w:tc>
                <w:tcPr>
                  <w:tcW w:w="2000"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监测断面或点位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356" w:type="dxa"/>
                  <w:vMerge w:val="continue"/>
                  <w:shd w:val="clear" w:color="auto" w:fill="auto"/>
                  <w:noWrap w:val="0"/>
                  <w:vAlign w:val="center"/>
                </w:tcPr>
                <w:p>
                  <w:pPr>
                    <w:spacing w:line="300" w:lineRule="exact"/>
                    <w:ind w:firstLine="0" w:firstLineChars="0"/>
                    <w:jc w:val="center"/>
                    <w:rPr>
                      <w:sz w:val="21"/>
                      <w:szCs w:val="21"/>
                      <w:highlight w:val="none"/>
                    </w:rPr>
                  </w:pPr>
                </w:p>
              </w:tc>
              <w:tc>
                <w:tcPr>
                  <w:tcW w:w="1243" w:type="dxa"/>
                  <w:vMerge w:val="continue"/>
                  <w:shd w:val="clear" w:color="auto" w:fill="auto"/>
                  <w:noWrap w:val="0"/>
                  <w:vAlign w:val="center"/>
                </w:tcPr>
                <w:p>
                  <w:pPr>
                    <w:spacing w:line="300" w:lineRule="exact"/>
                    <w:ind w:firstLine="0" w:firstLineChars="0"/>
                    <w:jc w:val="center"/>
                    <w:rPr>
                      <w:sz w:val="21"/>
                      <w:szCs w:val="21"/>
                      <w:highlight w:val="none"/>
                    </w:rPr>
                  </w:pPr>
                </w:p>
              </w:tc>
              <w:tc>
                <w:tcPr>
                  <w:tcW w:w="3767" w:type="dxa"/>
                  <w:gridSpan w:val="2"/>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丰水期 □；平水期 □；枯水期 □；</w:t>
                  </w:r>
                </w:p>
                <w:p>
                  <w:pPr>
                    <w:spacing w:line="300" w:lineRule="exact"/>
                    <w:ind w:firstLine="0" w:firstLineChars="0"/>
                    <w:jc w:val="center"/>
                    <w:rPr>
                      <w:sz w:val="21"/>
                      <w:szCs w:val="21"/>
                      <w:highlight w:val="none"/>
                    </w:rPr>
                  </w:pPr>
                  <w:r>
                    <w:rPr>
                      <w:sz w:val="21"/>
                      <w:szCs w:val="21"/>
                      <w:highlight w:val="none"/>
                    </w:rPr>
                    <w:t>冰封期 □</w:t>
                  </w:r>
                </w:p>
                <w:p>
                  <w:pPr>
                    <w:spacing w:line="300" w:lineRule="exact"/>
                    <w:ind w:firstLine="0" w:firstLineChars="0"/>
                    <w:jc w:val="center"/>
                    <w:rPr>
                      <w:sz w:val="21"/>
                      <w:szCs w:val="21"/>
                      <w:highlight w:val="none"/>
                    </w:rPr>
                  </w:pPr>
                  <w:r>
                    <w:rPr>
                      <w:sz w:val="21"/>
                      <w:szCs w:val="21"/>
                      <w:highlight w:val="none"/>
                    </w:rPr>
                    <w:t>春季 □；夏季 □；秋季 □；冬季 □</w:t>
                  </w:r>
                </w:p>
              </w:tc>
              <w:tc>
                <w:tcPr>
                  <w:tcW w:w="1553"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   ）</w:t>
                  </w:r>
                </w:p>
              </w:tc>
              <w:tc>
                <w:tcPr>
                  <w:tcW w:w="2000" w:type="dxa"/>
                  <w:shd w:val="clear" w:color="auto" w:fill="auto"/>
                  <w:noWrap w:val="0"/>
                  <w:vAlign w:val="center"/>
                </w:tcPr>
                <w:p>
                  <w:pPr>
                    <w:spacing w:line="300" w:lineRule="exact"/>
                    <w:ind w:firstLine="0" w:firstLineChars="0"/>
                    <w:jc w:val="center"/>
                    <w:rPr>
                      <w:sz w:val="21"/>
                      <w:szCs w:val="21"/>
                      <w:highlight w:val="none"/>
                    </w:rPr>
                  </w:pPr>
                  <w:r>
                    <w:rPr>
                      <w:sz w:val="21"/>
                      <w:szCs w:val="21"/>
                      <w:highlight w:val="none"/>
                    </w:rPr>
                    <w:t>监测断面或点位个数（  ）个</w:t>
                  </w:r>
                </w:p>
              </w:tc>
            </w:tr>
          </w:tbl>
          <w:p>
            <w:pPr>
              <w:pStyle w:val="35"/>
              <w:spacing w:line="240" w:lineRule="auto"/>
              <w:jc w:val="center"/>
              <w:rPr>
                <w:rFonts w:hint="eastAsia"/>
                <w:b/>
                <w:spacing w:val="-12"/>
                <w:sz w:val="24"/>
                <w:szCs w:val="24"/>
                <w:highlight w:val="none"/>
                <w:lang w:eastAsia="zh-CN"/>
              </w:rPr>
            </w:pPr>
            <w:r>
              <w:rPr>
                <w:b/>
                <w:spacing w:val="-12"/>
                <w:sz w:val="24"/>
                <w:szCs w:val="24"/>
                <w:highlight w:val="none"/>
              </w:rPr>
              <w:t>表</w:t>
            </w:r>
            <w:r>
              <w:rPr>
                <w:rFonts w:hint="eastAsia"/>
                <w:b/>
                <w:spacing w:val="-12"/>
                <w:sz w:val="24"/>
                <w:szCs w:val="24"/>
                <w:highlight w:val="none"/>
                <w:lang w:val="en-US" w:eastAsia="zh-CN"/>
              </w:rPr>
              <w:t>17</w:t>
            </w:r>
            <w:r>
              <w:rPr>
                <w:b/>
                <w:spacing w:val="-12"/>
                <w:sz w:val="24"/>
                <w:szCs w:val="24"/>
                <w:highlight w:val="none"/>
              </w:rPr>
              <w:t xml:space="preserve">   </w:t>
            </w:r>
            <w:r>
              <w:rPr>
                <w:rFonts w:hint="eastAsia"/>
                <w:b/>
                <w:spacing w:val="-12"/>
                <w:sz w:val="24"/>
                <w:szCs w:val="24"/>
                <w:highlight w:val="none"/>
              </w:rPr>
              <w:t>地表水</w:t>
            </w:r>
            <w:r>
              <w:rPr>
                <w:b/>
                <w:spacing w:val="-12"/>
                <w:sz w:val="24"/>
                <w:szCs w:val="24"/>
                <w:highlight w:val="none"/>
              </w:rPr>
              <w:t>环境影响评价自查表</w:t>
            </w:r>
            <w:r>
              <w:rPr>
                <w:rFonts w:hint="eastAsia"/>
                <w:b/>
                <w:spacing w:val="-12"/>
                <w:sz w:val="24"/>
                <w:szCs w:val="24"/>
                <w:highlight w:val="none"/>
                <w:lang w:eastAsia="zh-CN"/>
              </w:rPr>
              <w:t>（续表）</w:t>
            </w:r>
          </w:p>
          <w:tbl>
            <w:tblPr>
              <w:tblStyle w:val="36"/>
              <w:tblW w:w="87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3"/>
              <w:gridCol w:w="1225"/>
              <w:gridCol w:w="7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1578" w:type="dxa"/>
                  <w:gridSpan w:val="2"/>
                  <w:shd w:val="clear" w:color="auto" w:fill="auto"/>
                  <w:noWrap w:val="0"/>
                  <w:vAlign w:val="center"/>
                </w:tcPr>
                <w:p>
                  <w:pPr>
                    <w:spacing w:line="240" w:lineRule="auto"/>
                    <w:ind w:firstLine="0" w:firstLineChars="0"/>
                    <w:jc w:val="center"/>
                    <w:rPr>
                      <w:sz w:val="21"/>
                      <w:szCs w:val="21"/>
                      <w:highlight w:val="none"/>
                    </w:rPr>
                  </w:pPr>
                  <w:r>
                    <w:rPr>
                      <w:sz w:val="21"/>
                      <w:szCs w:val="21"/>
                      <w:highlight w:val="none"/>
                    </w:rPr>
                    <w:t>工作内容</w:t>
                  </w:r>
                </w:p>
              </w:tc>
              <w:tc>
                <w:tcPr>
                  <w:tcW w:w="7201" w:type="dxa"/>
                  <w:shd w:val="clear" w:color="auto" w:fill="auto"/>
                  <w:noWrap w:val="0"/>
                  <w:vAlign w:val="center"/>
                </w:tcPr>
                <w:p>
                  <w:pPr>
                    <w:spacing w:line="240" w:lineRule="auto"/>
                    <w:ind w:firstLine="0" w:firstLineChars="0"/>
                    <w:jc w:val="center"/>
                    <w:rPr>
                      <w:sz w:val="21"/>
                      <w:szCs w:val="21"/>
                      <w:highlight w:val="none"/>
                    </w:rPr>
                  </w:pPr>
                  <w:r>
                    <w:rPr>
                      <w:sz w:val="21"/>
                      <w:szCs w:val="21"/>
                      <w:highlight w:val="none"/>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3" w:type="dxa"/>
                  <w:vMerge w:val="restart"/>
                  <w:shd w:val="clear" w:color="auto" w:fill="auto"/>
                  <w:noWrap w:val="0"/>
                  <w:vAlign w:val="center"/>
                </w:tcPr>
                <w:p>
                  <w:pPr>
                    <w:spacing w:line="240" w:lineRule="auto"/>
                    <w:ind w:firstLine="0" w:firstLineChars="0"/>
                    <w:jc w:val="center"/>
                    <w:rPr>
                      <w:sz w:val="21"/>
                      <w:szCs w:val="21"/>
                      <w:highlight w:val="none"/>
                    </w:rPr>
                  </w:pPr>
                  <w:r>
                    <w:rPr>
                      <w:sz w:val="21"/>
                      <w:szCs w:val="21"/>
                      <w:highlight w:val="none"/>
                    </w:rPr>
                    <w:t>现状评价</w:t>
                  </w:r>
                </w:p>
              </w:tc>
              <w:tc>
                <w:tcPr>
                  <w:tcW w:w="1225" w:type="dxa"/>
                  <w:shd w:val="clear" w:color="auto" w:fill="auto"/>
                  <w:noWrap w:val="0"/>
                  <w:vAlign w:val="center"/>
                </w:tcPr>
                <w:p>
                  <w:pPr>
                    <w:spacing w:line="240" w:lineRule="auto"/>
                    <w:ind w:firstLine="0" w:firstLineChars="0"/>
                    <w:jc w:val="center"/>
                    <w:rPr>
                      <w:sz w:val="21"/>
                      <w:szCs w:val="21"/>
                      <w:highlight w:val="none"/>
                    </w:rPr>
                  </w:pPr>
                  <w:r>
                    <w:rPr>
                      <w:sz w:val="21"/>
                      <w:szCs w:val="21"/>
                      <w:highlight w:val="none"/>
                    </w:rPr>
                    <w:t>评价范围</w:t>
                  </w:r>
                </w:p>
              </w:tc>
              <w:tc>
                <w:tcPr>
                  <w:tcW w:w="7201" w:type="dxa"/>
                  <w:shd w:val="clear" w:color="auto" w:fill="auto"/>
                  <w:noWrap w:val="0"/>
                  <w:vAlign w:val="center"/>
                </w:tcPr>
                <w:p>
                  <w:pPr>
                    <w:spacing w:line="240" w:lineRule="auto"/>
                    <w:ind w:firstLine="0" w:firstLineChars="0"/>
                    <w:jc w:val="center"/>
                    <w:rPr>
                      <w:sz w:val="21"/>
                      <w:szCs w:val="21"/>
                      <w:highlight w:val="none"/>
                    </w:rPr>
                  </w:pPr>
                  <w:r>
                    <w:rPr>
                      <w:sz w:val="21"/>
                      <w:szCs w:val="21"/>
                      <w:highlight w:val="none"/>
                    </w:rPr>
                    <w:t>河流：长度（   ）km； 湖库、河口及近岸海域：面积（    ）km</w:t>
                  </w:r>
                  <w:r>
                    <w:rPr>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评价因子</w:t>
                  </w:r>
                </w:p>
              </w:tc>
              <w:tc>
                <w:tcPr>
                  <w:tcW w:w="7201"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评价标准</w:t>
                  </w:r>
                </w:p>
              </w:tc>
              <w:tc>
                <w:tcPr>
                  <w:tcW w:w="7201" w:type="dxa"/>
                  <w:shd w:val="clear" w:color="auto" w:fill="auto"/>
                  <w:noWrap w:val="0"/>
                  <w:vAlign w:val="center"/>
                </w:tcPr>
                <w:p>
                  <w:pPr>
                    <w:spacing w:line="270" w:lineRule="exact"/>
                    <w:ind w:firstLine="0" w:firstLineChars="0"/>
                    <w:jc w:val="left"/>
                    <w:rPr>
                      <w:sz w:val="21"/>
                      <w:szCs w:val="21"/>
                      <w:highlight w:val="none"/>
                    </w:rPr>
                  </w:pPr>
                  <w:r>
                    <w:rPr>
                      <w:sz w:val="21"/>
                      <w:szCs w:val="21"/>
                      <w:highlight w:val="none"/>
                    </w:rPr>
                    <w:t>河流、湖库、河口：I类 □；II类 □；III类  □；IV类  □；V类  □</w:t>
                  </w:r>
                </w:p>
                <w:p>
                  <w:pPr>
                    <w:spacing w:line="270" w:lineRule="exact"/>
                    <w:ind w:firstLine="0" w:firstLineChars="0"/>
                    <w:jc w:val="left"/>
                    <w:rPr>
                      <w:sz w:val="21"/>
                      <w:szCs w:val="21"/>
                      <w:highlight w:val="none"/>
                    </w:rPr>
                  </w:pPr>
                  <w:r>
                    <w:rPr>
                      <w:sz w:val="21"/>
                      <w:szCs w:val="21"/>
                      <w:highlight w:val="none"/>
                    </w:rPr>
                    <w:t>近岸海域：第一类  □；第二类  □；第三类  □；第四类  □</w:t>
                  </w:r>
                </w:p>
                <w:p>
                  <w:pPr>
                    <w:spacing w:line="270" w:lineRule="exact"/>
                    <w:ind w:firstLine="0" w:firstLineChars="0"/>
                    <w:jc w:val="left"/>
                    <w:rPr>
                      <w:sz w:val="21"/>
                      <w:szCs w:val="21"/>
                      <w:highlight w:val="none"/>
                    </w:rPr>
                  </w:pPr>
                  <w:r>
                    <w:rPr>
                      <w:sz w:val="21"/>
                      <w:szCs w:val="21"/>
                      <w:highlight w:val="none"/>
                    </w:rPr>
                    <w:t>规划年评价标准（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评价时期</w:t>
                  </w:r>
                </w:p>
              </w:tc>
              <w:tc>
                <w:tcPr>
                  <w:tcW w:w="7201" w:type="dxa"/>
                  <w:shd w:val="clear" w:color="auto" w:fill="auto"/>
                  <w:noWrap w:val="0"/>
                  <w:vAlign w:val="center"/>
                </w:tcPr>
                <w:p>
                  <w:pPr>
                    <w:spacing w:line="270" w:lineRule="exact"/>
                    <w:ind w:firstLine="0" w:firstLineChars="0"/>
                    <w:rPr>
                      <w:sz w:val="21"/>
                      <w:szCs w:val="21"/>
                      <w:highlight w:val="none"/>
                    </w:rPr>
                  </w:pPr>
                  <w:r>
                    <w:rPr>
                      <w:sz w:val="21"/>
                      <w:szCs w:val="21"/>
                      <w:highlight w:val="none"/>
                    </w:rPr>
                    <w:t>丰水期 □；平水期 □；枯水期 □；冰封期 □</w:t>
                  </w:r>
                </w:p>
                <w:p>
                  <w:pPr>
                    <w:spacing w:line="270" w:lineRule="exact"/>
                    <w:ind w:firstLine="0" w:firstLineChars="0"/>
                    <w:jc w:val="left"/>
                    <w:rPr>
                      <w:sz w:val="21"/>
                      <w:szCs w:val="21"/>
                      <w:highlight w:val="none"/>
                    </w:rPr>
                  </w:pPr>
                  <w:r>
                    <w:rPr>
                      <w:sz w:val="21"/>
                      <w:szCs w:val="21"/>
                      <w:highlight w:val="none"/>
                    </w:rPr>
                    <w:t>春季 □；夏季 □；秋季 □；冬季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2"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评价结论</w:t>
                  </w:r>
                </w:p>
              </w:tc>
              <w:tc>
                <w:tcPr>
                  <w:tcW w:w="7201" w:type="dxa"/>
                  <w:shd w:val="clear" w:color="auto" w:fill="auto"/>
                  <w:noWrap w:val="0"/>
                  <w:vAlign w:val="center"/>
                </w:tcPr>
                <w:p>
                  <w:pPr>
                    <w:spacing w:line="270" w:lineRule="exact"/>
                    <w:ind w:firstLine="0" w:firstLineChars="0"/>
                    <w:jc w:val="left"/>
                    <w:rPr>
                      <w:sz w:val="21"/>
                      <w:szCs w:val="21"/>
                      <w:highlight w:val="none"/>
                    </w:rPr>
                  </w:pPr>
                  <w:r>
                    <w:rPr>
                      <w:sz w:val="21"/>
                      <w:szCs w:val="21"/>
                      <w:highlight w:val="none"/>
                    </w:rPr>
                    <w:t>水环境功能区或水功能区、近岸海域环境功能区水质达标状况 □： 达标 □； 不达标 □</w:t>
                  </w:r>
                </w:p>
                <w:p>
                  <w:pPr>
                    <w:spacing w:line="270" w:lineRule="exact"/>
                    <w:ind w:firstLine="0" w:firstLineChars="0"/>
                    <w:jc w:val="left"/>
                    <w:rPr>
                      <w:sz w:val="21"/>
                      <w:szCs w:val="21"/>
                      <w:highlight w:val="none"/>
                    </w:rPr>
                  </w:pPr>
                  <w:r>
                    <w:rPr>
                      <w:sz w:val="21"/>
                      <w:szCs w:val="21"/>
                      <w:highlight w:val="none"/>
                    </w:rPr>
                    <w:t>水环境控制单元或断面水质达标状况 □： 达标 □； 不达标 □</w:t>
                  </w:r>
                </w:p>
                <w:p>
                  <w:pPr>
                    <w:spacing w:line="270" w:lineRule="exact"/>
                    <w:ind w:firstLine="0" w:firstLineChars="0"/>
                    <w:jc w:val="left"/>
                    <w:rPr>
                      <w:sz w:val="21"/>
                      <w:szCs w:val="21"/>
                      <w:highlight w:val="none"/>
                    </w:rPr>
                  </w:pPr>
                  <w:r>
                    <w:rPr>
                      <w:sz w:val="21"/>
                      <w:szCs w:val="21"/>
                      <w:highlight w:val="none"/>
                    </w:rPr>
                    <w:t>水环境保护目标质量状况 □： 达标 □； 不达标 □</w:t>
                  </w:r>
                </w:p>
                <w:p>
                  <w:pPr>
                    <w:spacing w:line="270" w:lineRule="exact"/>
                    <w:ind w:firstLine="0" w:firstLineChars="0"/>
                    <w:jc w:val="left"/>
                    <w:rPr>
                      <w:sz w:val="21"/>
                      <w:szCs w:val="21"/>
                      <w:highlight w:val="none"/>
                    </w:rPr>
                  </w:pPr>
                  <w:r>
                    <w:rPr>
                      <w:sz w:val="21"/>
                      <w:szCs w:val="21"/>
                      <w:highlight w:val="none"/>
                    </w:rPr>
                    <w:t>对照断面、控制断面等代表性断面的水质状况 □：达标 □； 不达标 □</w:t>
                  </w:r>
                </w:p>
                <w:p>
                  <w:pPr>
                    <w:spacing w:line="270" w:lineRule="exact"/>
                    <w:ind w:firstLine="0" w:firstLineChars="0"/>
                    <w:jc w:val="left"/>
                    <w:rPr>
                      <w:sz w:val="21"/>
                      <w:szCs w:val="21"/>
                      <w:highlight w:val="none"/>
                    </w:rPr>
                  </w:pPr>
                  <w:r>
                    <w:rPr>
                      <w:sz w:val="21"/>
                      <w:szCs w:val="21"/>
                      <w:highlight w:val="none"/>
                    </w:rPr>
                    <w:t>底泥污染评价 □</w:t>
                  </w:r>
                </w:p>
                <w:p>
                  <w:pPr>
                    <w:spacing w:line="270" w:lineRule="exact"/>
                    <w:ind w:firstLine="0" w:firstLineChars="0"/>
                    <w:jc w:val="left"/>
                    <w:rPr>
                      <w:sz w:val="21"/>
                      <w:szCs w:val="21"/>
                      <w:highlight w:val="none"/>
                    </w:rPr>
                  </w:pPr>
                  <w:r>
                    <w:rPr>
                      <w:sz w:val="21"/>
                      <w:szCs w:val="21"/>
                      <w:highlight w:val="none"/>
                    </w:rPr>
                    <w:t>水资源与开发利用程度及其水文情势评价 □</w:t>
                  </w:r>
                </w:p>
                <w:p>
                  <w:pPr>
                    <w:spacing w:line="270" w:lineRule="exact"/>
                    <w:ind w:firstLine="0" w:firstLineChars="0"/>
                    <w:jc w:val="left"/>
                    <w:rPr>
                      <w:sz w:val="21"/>
                      <w:szCs w:val="21"/>
                      <w:highlight w:val="none"/>
                    </w:rPr>
                  </w:pPr>
                  <w:r>
                    <w:rPr>
                      <w:sz w:val="21"/>
                      <w:szCs w:val="21"/>
                      <w:highlight w:val="none"/>
                    </w:rPr>
                    <w:t>水环境质量回顾评价 □</w:t>
                  </w:r>
                </w:p>
                <w:p>
                  <w:pPr>
                    <w:spacing w:line="270" w:lineRule="exact"/>
                    <w:ind w:firstLine="0" w:firstLineChars="0"/>
                    <w:jc w:val="left"/>
                    <w:rPr>
                      <w:sz w:val="21"/>
                      <w:szCs w:val="21"/>
                      <w:highlight w:val="none"/>
                    </w:rPr>
                  </w:pPr>
                  <w:r>
                    <w:rPr>
                      <w:sz w:val="21"/>
                      <w:szCs w:val="21"/>
                      <w:highlight w:val="none"/>
                    </w:rPr>
                    <w:t>流域（区域）水资源（包括水能资源）与开发利用总体状况、生态流量管理要求与现状满足程度、建设项目占用水域空间的水流状况与河湖演变状况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3" w:type="dxa"/>
                  <w:vMerge w:val="restart"/>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影响预测</w:t>
                  </w: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预测范围</w:t>
                  </w:r>
                </w:p>
              </w:tc>
              <w:tc>
                <w:tcPr>
                  <w:tcW w:w="7201" w:type="dxa"/>
                  <w:shd w:val="clear" w:color="auto" w:fill="auto"/>
                  <w:noWrap w:val="0"/>
                  <w:vAlign w:val="center"/>
                </w:tcPr>
                <w:p>
                  <w:pPr>
                    <w:spacing w:line="270" w:lineRule="exact"/>
                    <w:ind w:firstLine="0" w:firstLineChars="0"/>
                    <w:jc w:val="left"/>
                    <w:rPr>
                      <w:sz w:val="21"/>
                      <w:szCs w:val="21"/>
                      <w:highlight w:val="none"/>
                      <w:vertAlign w:val="superscript"/>
                    </w:rPr>
                  </w:pPr>
                  <w:r>
                    <w:rPr>
                      <w:sz w:val="21"/>
                      <w:szCs w:val="21"/>
                      <w:highlight w:val="none"/>
                    </w:rPr>
                    <w:t>河流：长度（    ）km；湖库、河口及近岸海域：面积（   ）km</w:t>
                  </w:r>
                  <w:r>
                    <w:rPr>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预测因子</w:t>
                  </w:r>
                </w:p>
              </w:tc>
              <w:tc>
                <w:tcPr>
                  <w:tcW w:w="7201" w:type="dxa"/>
                  <w:shd w:val="clear" w:color="auto" w:fill="auto"/>
                  <w:noWrap w:val="0"/>
                  <w:vAlign w:val="center"/>
                </w:tcPr>
                <w:p>
                  <w:pPr>
                    <w:spacing w:line="270" w:lineRule="exact"/>
                    <w:ind w:firstLine="0" w:firstLineChars="0"/>
                    <w:jc w:val="left"/>
                    <w:rPr>
                      <w:sz w:val="21"/>
                      <w:szCs w:val="21"/>
                      <w:highlight w:val="none"/>
                    </w:rPr>
                  </w:pPr>
                  <w:r>
                    <w:rPr>
                      <w:sz w:val="21"/>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预测时期</w:t>
                  </w:r>
                </w:p>
              </w:tc>
              <w:tc>
                <w:tcPr>
                  <w:tcW w:w="7201" w:type="dxa"/>
                  <w:shd w:val="clear" w:color="auto" w:fill="auto"/>
                  <w:noWrap w:val="0"/>
                  <w:vAlign w:val="center"/>
                </w:tcPr>
                <w:p>
                  <w:pPr>
                    <w:spacing w:line="270" w:lineRule="exact"/>
                    <w:ind w:firstLine="0" w:firstLineChars="0"/>
                    <w:rPr>
                      <w:sz w:val="21"/>
                      <w:szCs w:val="21"/>
                      <w:highlight w:val="none"/>
                    </w:rPr>
                  </w:pPr>
                  <w:r>
                    <w:rPr>
                      <w:sz w:val="21"/>
                      <w:szCs w:val="21"/>
                      <w:highlight w:val="none"/>
                    </w:rPr>
                    <w:t>丰水期 □；平水期 □；枯水期 □；冰封期 □</w:t>
                  </w:r>
                </w:p>
                <w:p>
                  <w:pPr>
                    <w:spacing w:line="270" w:lineRule="exact"/>
                    <w:ind w:firstLine="0" w:firstLineChars="0"/>
                    <w:jc w:val="left"/>
                    <w:rPr>
                      <w:sz w:val="21"/>
                      <w:szCs w:val="21"/>
                      <w:highlight w:val="none"/>
                    </w:rPr>
                  </w:pPr>
                  <w:r>
                    <w:rPr>
                      <w:sz w:val="21"/>
                      <w:szCs w:val="21"/>
                      <w:highlight w:val="none"/>
                    </w:rPr>
                    <w:t>春季 □；夏季 □；秋季 □；冬季 □</w:t>
                  </w:r>
                </w:p>
                <w:p>
                  <w:pPr>
                    <w:spacing w:line="270" w:lineRule="exact"/>
                    <w:ind w:firstLine="0" w:firstLineChars="0"/>
                    <w:jc w:val="left"/>
                    <w:rPr>
                      <w:sz w:val="21"/>
                      <w:szCs w:val="21"/>
                      <w:highlight w:val="none"/>
                    </w:rPr>
                  </w:pPr>
                  <w:r>
                    <w:rPr>
                      <w:sz w:val="21"/>
                      <w:szCs w:val="21"/>
                      <w:highlight w:val="none"/>
                    </w:rPr>
                    <w:t>设计水文条件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5"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预测情景</w:t>
                  </w:r>
                </w:p>
              </w:tc>
              <w:tc>
                <w:tcPr>
                  <w:tcW w:w="7201" w:type="dxa"/>
                  <w:shd w:val="clear" w:color="auto" w:fill="auto"/>
                  <w:noWrap w:val="0"/>
                  <w:vAlign w:val="center"/>
                </w:tcPr>
                <w:p>
                  <w:pPr>
                    <w:spacing w:line="270" w:lineRule="exact"/>
                    <w:ind w:firstLine="0" w:firstLineChars="0"/>
                    <w:rPr>
                      <w:sz w:val="21"/>
                      <w:szCs w:val="21"/>
                      <w:highlight w:val="none"/>
                    </w:rPr>
                  </w:pPr>
                  <w:r>
                    <w:rPr>
                      <w:sz w:val="21"/>
                      <w:szCs w:val="21"/>
                      <w:highlight w:val="none"/>
                    </w:rPr>
                    <w:t>建设期 □；生产运行期 □；服务期满后 □</w:t>
                  </w:r>
                </w:p>
                <w:p>
                  <w:pPr>
                    <w:spacing w:line="270" w:lineRule="exact"/>
                    <w:ind w:firstLine="0" w:firstLineChars="0"/>
                    <w:rPr>
                      <w:sz w:val="21"/>
                      <w:szCs w:val="21"/>
                      <w:highlight w:val="none"/>
                    </w:rPr>
                  </w:pPr>
                  <w:r>
                    <w:rPr>
                      <w:sz w:val="21"/>
                      <w:szCs w:val="21"/>
                      <w:highlight w:val="none"/>
                    </w:rPr>
                    <w:t>正常工况 □；非正常工况 □</w:t>
                  </w:r>
                </w:p>
                <w:p>
                  <w:pPr>
                    <w:spacing w:line="270" w:lineRule="exact"/>
                    <w:ind w:firstLine="0" w:firstLineChars="0"/>
                    <w:rPr>
                      <w:sz w:val="21"/>
                      <w:szCs w:val="21"/>
                      <w:highlight w:val="none"/>
                    </w:rPr>
                  </w:pPr>
                  <w:r>
                    <w:rPr>
                      <w:sz w:val="21"/>
                      <w:szCs w:val="21"/>
                      <w:highlight w:val="none"/>
                    </w:rPr>
                    <w:t>污染控制和减缓措施方案 □</w:t>
                  </w:r>
                </w:p>
                <w:p>
                  <w:pPr>
                    <w:spacing w:line="270" w:lineRule="exact"/>
                    <w:ind w:firstLine="0" w:firstLineChars="0"/>
                    <w:rPr>
                      <w:sz w:val="21"/>
                      <w:szCs w:val="21"/>
                      <w:highlight w:val="none"/>
                    </w:rPr>
                  </w:pPr>
                  <w:r>
                    <w:rPr>
                      <w:sz w:val="21"/>
                      <w:szCs w:val="21"/>
                      <w:highlight w:val="none"/>
                    </w:rPr>
                    <w:t>区（流）域环境质量改善目标要求情景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jc w:val="center"/>
              </w:trPr>
              <w:tc>
                <w:tcPr>
                  <w:tcW w:w="353" w:type="dxa"/>
                  <w:vMerge w:val="continue"/>
                  <w:shd w:val="clear" w:color="auto" w:fill="auto"/>
                  <w:noWrap w:val="0"/>
                  <w:vAlign w:val="center"/>
                </w:tcPr>
                <w:p>
                  <w:pPr>
                    <w:spacing w:line="270" w:lineRule="exact"/>
                    <w:ind w:firstLine="0" w:firstLineChars="0"/>
                    <w:jc w:val="center"/>
                    <w:rPr>
                      <w:sz w:val="21"/>
                      <w:szCs w:val="21"/>
                      <w:highlight w:val="none"/>
                    </w:rPr>
                  </w:pPr>
                </w:p>
              </w:tc>
              <w:tc>
                <w:tcPr>
                  <w:tcW w:w="1225" w:type="dxa"/>
                  <w:shd w:val="clear" w:color="auto" w:fill="auto"/>
                  <w:noWrap w:val="0"/>
                  <w:vAlign w:val="center"/>
                </w:tcPr>
                <w:p>
                  <w:pPr>
                    <w:spacing w:line="270" w:lineRule="exact"/>
                    <w:ind w:firstLine="0" w:firstLineChars="0"/>
                    <w:jc w:val="center"/>
                    <w:rPr>
                      <w:sz w:val="21"/>
                      <w:szCs w:val="21"/>
                      <w:highlight w:val="none"/>
                    </w:rPr>
                  </w:pPr>
                  <w:r>
                    <w:rPr>
                      <w:sz w:val="21"/>
                      <w:szCs w:val="21"/>
                      <w:highlight w:val="none"/>
                    </w:rPr>
                    <w:t>预测方法</w:t>
                  </w:r>
                </w:p>
              </w:tc>
              <w:tc>
                <w:tcPr>
                  <w:tcW w:w="7201" w:type="dxa"/>
                  <w:shd w:val="clear" w:color="auto" w:fill="auto"/>
                  <w:noWrap w:val="0"/>
                  <w:vAlign w:val="center"/>
                </w:tcPr>
                <w:p>
                  <w:pPr>
                    <w:spacing w:line="270" w:lineRule="exact"/>
                    <w:ind w:firstLine="0" w:firstLineChars="0"/>
                    <w:rPr>
                      <w:sz w:val="21"/>
                      <w:szCs w:val="21"/>
                      <w:highlight w:val="none"/>
                    </w:rPr>
                  </w:pPr>
                  <w:r>
                    <w:rPr>
                      <w:sz w:val="21"/>
                      <w:szCs w:val="21"/>
                      <w:highlight w:val="none"/>
                    </w:rPr>
                    <w:t>数值解 □；解析解 □；其他 □</w:t>
                  </w:r>
                </w:p>
                <w:p>
                  <w:pPr>
                    <w:spacing w:line="270" w:lineRule="exact"/>
                    <w:ind w:firstLine="0" w:firstLineChars="0"/>
                    <w:rPr>
                      <w:sz w:val="21"/>
                      <w:szCs w:val="21"/>
                      <w:highlight w:val="none"/>
                    </w:rPr>
                  </w:pPr>
                  <w:r>
                    <w:rPr>
                      <w:sz w:val="21"/>
                      <w:szCs w:val="21"/>
                      <w:highlight w:val="none"/>
                    </w:rPr>
                    <w:t>导则推荐模式 □；其他 □</w:t>
                  </w:r>
                </w:p>
              </w:tc>
            </w:tr>
          </w:tbl>
          <w:p>
            <w:pPr>
              <w:pStyle w:val="35"/>
              <w:jc w:val="center"/>
              <w:rPr>
                <w:rFonts w:hint="eastAsia"/>
                <w:b/>
                <w:spacing w:val="-12"/>
                <w:sz w:val="24"/>
                <w:szCs w:val="24"/>
                <w:highlight w:val="none"/>
                <w:lang w:eastAsia="zh-CN"/>
              </w:rPr>
            </w:pPr>
          </w:p>
          <w:p>
            <w:pPr>
              <w:pStyle w:val="35"/>
              <w:spacing w:line="360" w:lineRule="auto"/>
              <w:jc w:val="center"/>
              <w:rPr>
                <w:rFonts w:hint="eastAsia" w:hAnsi="宋体" w:eastAsia="宋体"/>
                <w:kern w:val="24"/>
                <w:sz w:val="24"/>
                <w:highlight w:val="none"/>
                <w:lang w:eastAsia="zh-CN"/>
              </w:rPr>
            </w:pPr>
            <w:r>
              <w:rPr>
                <w:b/>
                <w:spacing w:val="-12"/>
                <w:sz w:val="24"/>
                <w:szCs w:val="24"/>
                <w:highlight w:val="none"/>
              </w:rPr>
              <w:t>表</w:t>
            </w:r>
            <w:r>
              <w:rPr>
                <w:rFonts w:hint="eastAsia"/>
                <w:b/>
                <w:spacing w:val="-12"/>
                <w:sz w:val="24"/>
                <w:szCs w:val="24"/>
                <w:highlight w:val="none"/>
                <w:lang w:val="en-US" w:eastAsia="zh-CN"/>
              </w:rPr>
              <w:t>18</w:t>
            </w:r>
            <w:r>
              <w:rPr>
                <w:b/>
                <w:spacing w:val="-12"/>
                <w:sz w:val="24"/>
                <w:szCs w:val="24"/>
                <w:highlight w:val="none"/>
              </w:rPr>
              <w:t xml:space="preserve">   </w:t>
            </w:r>
            <w:r>
              <w:rPr>
                <w:rFonts w:hint="eastAsia"/>
                <w:b/>
                <w:spacing w:val="-12"/>
                <w:sz w:val="24"/>
                <w:szCs w:val="24"/>
                <w:highlight w:val="none"/>
              </w:rPr>
              <w:t>地表水</w:t>
            </w:r>
            <w:r>
              <w:rPr>
                <w:b/>
                <w:spacing w:val="-12"/>
                <w:sz w:val="24"/>
                <w:szCs w:val="24"/>
                <w:highlight w:val="none"/>
              </w:rPr>
              <w:t>环境影响评价自查表</w:t>
            </w:r>
            <w:r>
              <w:rPr>
                <w:rFonts w:hint="eastAsia"/>
                <w:b/>
                <w:spacing w:val="-12"/>
                <w:sz w:val="24"/>
                <w:szCs w:val="24"/>
                <w:highlight w:val="none"/>
                <w:lang w:eastAsia="zh-CN"/>
              </w:rPr>
              <w:t>（续表）</w:t>
            </w:r>
          </w:p>
          <w:tbl>
            <w:tblPr>
              <w:tblStyle w:val="36"/>
              <w:tblW w:w="879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7"/>
              <w:gridCol w:w="1227"/>
              <w:gridCol w:w="1453"/>
              <w:gridCol w:w="960"/>
              <w:gridCol w:w="478"/>
              <w:gridCol w:w="1438"/>
              <w:gridCol w:w="482"/>
              <w:gridCol w:w="956"/>
              <w:gridCol w:w="1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1584" w:type="dxa"/>
                  <w:gridSpan w:val="2"/>
                  <w:noWrap w:val="0"/>
                  <w:vAlign w:val="center"/>
                </w:tcPr>
                <w:p>
                  <w:pPr>
                    <w:spacing w:line="280" w:lineRule="exact"/>
                    <w:ind w:firstLine="0" w:firstLineChars="0"/>
                    <w:jc w:val="center"/>
                    <w:rPr>
                      <w:sz w:val="21"/>
                      <w:szCs w:val="21"/>
                      <w:highlight w:val="none"/>
                    </w:rPr>
                  </w:pPr>
                  <w:r>
                    <w:rPr>
                      <w:sz w:val="21"/>
                      <w:szCs w:val="21"/>
                      <w:highlight w:val="none"/>
                    </w:rPr>
                    <w:t>工作内容</w:t>
                  </w:r>
                </w:p>
              </w:tc>
              <w:tc>
                <w:tcPr>
                  <w:tcW w:w="7215" w:type="dxa"/>
                  <w:gridSpan w:val="7"/>
                  <w:noWrap w:val="0"/>
                  <w:vAlign w:val="center"/>
                </w:tcPr>
                <w:p>
                  <w:pPr>
                    <w:spacing w:line="280" w:lineRule="exact"/>
                    <w:ind w:firstLine="0" w:firstLineChars="0"/>
                    <w:jc w:val="center"/>
                    <w:rPr>
                      <w:sz w:val="21"/>
                      <w:szCs w:val="21"/>
                      <w:highlight w:val="none"/>
                    </w:rPr>
                  </w:pPr>
                  <w:r>
                    <w:rPr>
                      <w:sz w:val="21"/>
                      <w:szCs w:val="21"/>
                      <w:highlight w:val="none"/>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357" w:type="dxa"/>
                  <w:vMerge w:val="restart"/>
                  <w:noWrap w:val="0"/>
                  <w:vAlign w:val="center"/>
                </w:tcPr>
                <w:p>
                  <w:pPr>
                    <w:spacing w:line="280" w:lineRule="exact"/>
                    <w:ind w:firstLine="0" w:firstLineChars="0"/>
                    <w:jc w:val="center"/>
                    <w:rPr>
                      <w:sz w:val="21"/>
                      <w:szCs w:val="21"/>
                      <w:highlight w:val="none"/>
                    </w:rPr>
                  </w:pPr>
                  <w:r>
                    <w:rPr>
                      <w:sz w:val="21"/>
                      <w:szCs w:val="21"/>
                      <w:highlight w:val="none"/>
                    </w:rPr>
                    <w:t>影响评价</w:t>
                  </w:r>
                </w:p>
              </w:tc>
              <w:tc>
                <w:tcPr>
                  <w:tcW w:w="1227" w:type="dxa"/>
                  <w:noWrap w:val="0"/>
                  <w:vAlign w:val="center"/>
                </w:tcPr>
                <w:p>
                  <w:pPr>
                    <w:spacing w:line="280" w:lineRule="exact"/>
                    <w:ind w:firstLine="0" w:firstLineChars="0"/>
                    <w:jc w:val="center"/>
                    <w:rPr>
                      <w:sz w:val="21"/>
                      <w:szCs w:val="21"/>
                      <w:highlight w:val="none"/>
                    </w:rPr>
                  </w:pPr>
                  <w:r>
                    <w:rPr>
                      <w:sz w:val="21"/>
                      <w:szCs w:val="21"/>
                      <w:highlight w:val="none"/>
                    </w:rPr>
                    <w:t>水污染控制和水环境影响减缓措施有效性评价</w:t>
                  </w:r>
                </w:p>
              </w:tc>
              <w:tc>
                <w:tcPr>
                  <w:tcW w:w="7215" w:type="dxa"/>
                  <w:gridSpan w:val="7"/>
                  <w:noWrap w:val="0"/>
                  <w:vAlign w:val="center"/>
                </w:tcPr>
                <w:p>
                  <w:pPr>
                    <w:spacing w:line="280" w:lineRule="exact"/>
                    <w:ind w:firstLine="0" w:firstLineChars="0"/>
                    <w:rPr>
                      <w:sz w:val="21"/>
                      <w:szCs w:val="21"/>
                      <w:highlight w:val="none"/>
                    </w:rPr>
                  </w:pPr>
                  <w:r>
                    <w:rPr>
                      <w:sz w:val="21"/>
                      <w:szCs w:val="21"/>
                      <w:highlight w:val="none"/>
                    </w:rPr>
                    <w:t>区（流）域水环境质量改善目标 □； 替代削减源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4"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noWrap w:val="0"/>
                  <w:vAlign w:val="center"/>
                </w:tcPr>
                <w:p>
                  <w:pPr>
                    <w:spacing w:line="280" w:lineRule="exact"/>
                    <w:ind w:firstLine="0" w:firstLineChars="0"/>
                    <w:jc w:val="center"/>
                    <w:rPr>
                      <w:sz w:val="21"/>
                      <w:szCs w:val="21"/>
                      <w:highlight w:val="none"/>
                    </w:rPr>
                  </w:pPr>
                  <w:r>
                    <w:rPr>
                      <w:sz w:val="21"/>
                      <w:szCs w:val="21"/>
                      <w:highlight w:val="none"/>
                    </w:rPr>
                    <w:t>水环境影响评价</w:t>
                  </w:r>
                </w:p>
              </w:tc>
              <w:tc>
                <w:tcPr>
                  <w:tcW w:w="7215" w:type="dxa"/>
                  <w:gridSpan w:val="7"/>
                  <w:noWrap w:val="0"/>
                  <w:vAlign w:val="center"/>
                </w:tcPr>
                <w:p>
                  <w:pPr>
                    <w:spacing w:line="280" w:lineRule="exact"/>
                    <w:ind w:firstLine="0" w:firstLineChars="0"/>
                    <w:rPr>
                      <w:sz w:val="21"/>
                      <w:szCs w:val="21"/>
                      <w:highlight w:val="none"/>
                    </w:rPr>
                  </w:pPr>
                  <w:r>
                    <w:rPr>
                      <w:sz w:val="21"/>
                      <w:szCs w:val="21"/>
                      <w:highlight w:val="none"/>
                    </w:rPr>
                    <w:t>排放口混合区外满足水环境管理要求 □</w:t>
                  </w:r>
                </w:p>
                <w:p>
                  <w:pPr>
                    <w:spacing w:line="280" w:lineRule="exact"/>
                    <w:ind w:firstLine="0" w:firstLineChars="0"/>
                    <w:rPr>
                      <w:sz w:val="21"/>
                      <w:szCs w:val="21"/>
                      <w:highlight w:val="none"/>
                    </w:rPr>
                  </w:pPr>
                  <w:r>
                    <w:rPr>
                      <w:sz w:val="21"/>
                      <w:szCs w:val="21"/>
                      <w:highlight w:val="none"/>
                    </w:rPr>
                    <w:t>水环境功能区或水功能区、近岸海域环境功能区水质达标 □</w:t>
                  </w:r>
                </w:p>
                <w:p>
                  <w:pPr>
                    <w:spacing w:line="280" w:lineRule="exact"/>
                    <w:ind w:firstLine="0" w:firstLineChars="0"/>
                    <w:rPr>
                      <w:sz w:val="21"/>
                      <w:szCs w:val="21"/>
                      <w:highlight w:val="none"/>
                    </w:rPr>
                  </w:pPr>
                  <w:r>
                    <w:rPr>
                      <w:sz w:val="21"/>
                      <w:szCs w:val="21"/>
                      <w:highlight w:val="none"/>
                    </w:rPr>
                    <w:t>满足水环境保护目标水域水环境质量要求 □</w:t>
                  </w:r>
                </w:p>
                <w:p>
                  <w:pPr>
                    <w:spacing w:line="280" w:lineRule="exact"/>
                    <w:ind w:firstLine="0" w:firstLineChars="0"/>
                    <w:rPr>
                      <w:sz w:val="21"/>
                      <w:szCs w:val="21"/>
                      <w:highlight w:val="none"/>
                    </w:rPr>
                  </w:pPr>
                  <w:r>
                    <w:rPr>
                      <w:sz w:val="21"/>
                      <w:szCs w:val="21"/>
                      <w:highlight w:val="none"/>
                    </w:rPr>
                    <w:t>水环境控制单元或断面水质达标 □</w:t>
                  </w:r>
                </w:p>
                <w:p>
                  <w:pPr>
                    <w:spacing w:line="280" w:lineRule="exact"/>
                    <w:ind w:firstLine="0" w:firstLineChars="0"/>
                    <w:rPr>
                      <w:sz w:val="21"/>
                      <w:szCs w:val="21"/>
                      <w:highlight w:val="none"/>
                    </w:rPr>
                  </w:pPr>
                  <w:r>
                    <w:rPr>
                      <w:sz w:val="21"/>
                      <w:szCs w:val="21"/>
                      <w:highlight w:val="none"/>
                    </w:rPr>
                    <w:t>满足重点水污染物排放总量控制指标要求，重点行业建设项目，主要污染物排放满足等量或减量替代要求 □</w:t>
                  </w:r>
                </w:p>
                <w:p>
                  <w:pPr>
                    <w:spacing w:line="280" w:lineRule="exact"/>
                    <w:ind w:firstLine="0" w:firstLineChars="0"/>
                    <w:rPr>
                      <w:sz w:val="21"/>
                      <w:szCs w:val="21"/>
                      <w:highlight w:val="none"/>
                    </w:rPr>
                  </w:pPr>
                  <w:r>
                    <w:rPr>
                      <w:sz w:val="21"/>
                      <w:szCs w:val="21"/>
                      <w:highlight w:val="none"/>
                    </w:rPr>
                    <w:t>满足区（流）域水环境质量改善目标要求 □</w:t>
                  </w:r>
                </w:p>
                <w:p>
                  <w:pPr>
                    <w:spacing w:line="280" w:lineRule="exact"/>
                    <w:ind w:firstLine="0" w:firstLineChars="0"/>
                    <w:rPr>
                      <w:sz w:val="21"/>
                      <w:szCs w:val="21"/>
                      <w:highlight w:val="none"/>
                    </w:rPr>
                  </w:pPr>
                  <w:r>
                    <w:rPr>
                      <w:sz w:val="21"/>
                      <w:szCs w:val="21"/>
                      <w:highlight w:val="none"/>
                    </w:rPr>
                    <w:t>水文要素影响型建设项目同时应包括水文情势变化评价、主要水文特征值影响评价、生态流量符合性评价 □</w:t>
                  </w:r>
                </w:p>
                <w:p>
                  <w:pPr>
                    <w:spacing w:line="280" w:lineRule="exact"/>
                    <w:ind w:firstLine="0" w:firstLineChars="0"/>
                    <w:rPr>
                      <w:sz w:val="21"/>
                      <w:szCs w:val="21"/>
                      <w:highlight w:val="none"/>
                    </w:rPr>
                  </w:pPr>
                  <w:r>
                    <w:rPr>
                      <w:sz w:val="21"/>
                      <w:szCs w:val="21"/>
                      <w:highlight w:val="none"/>
                    </w:rPr>
                    <w:t>对于新设或调整入河（湖库、近岸海域）排放口的建设项目，应包括排放口设置的环境合理性评价 □</w:t>
                  </w:r>
                </w:p>
                <w:p>
                  <w:pPr>
                    <w:spacing w:line="280" w:lineRule="exact"/>
                    <w:ind w:firstLine="0" w:firstLineChars="0"/>
                    <w:rPr>
                      <w:sz w:val="21"/>
                      <w:szCs w:val="21"/>
                      <w:highlight w:val="none"/>
                    </w:rPr>
                  </w:pPr>
                  <w:r>
                    <w:rPr>
                      <w:sz w:val="21"/>
                      <w:szCs w:val="21"/>
                      <w:highlight w:val="none"/>
                    </w:rPr>
                    <w:t>满足生态保护红线、水环境质量底线、资源利用上线和环境准入清单管理要求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restart"/>
                  <w:noWrap w:val="0"/>
                  <w:vAlign w:val="center"/>
                </w:tcPr>
                <w:p>
                  <w:pPr>
                    <w:spacing w:line="280" w:lineRule="exact"/>
                    <w:ind w:firstLine="0" w:firstLineChars="0"/>
                    <w:jc w:val="center"/>
                    <w:rPr>
                      <w:sz w:val="21"/>
                      <w:szCs w:val="21"/>
                      <w:highlight w:val="none"/>
                    </w:rPr>
                  </w:pPr>
                  <w:r>
                    <w:rPr>
                      <w:sz w:val="21"/>
                      <w:szCs w:val="21"/>
                      <w:highlight w:val="none"/>
                    </w:rPr>
                    <w:t>污染源排放量核算</w:t>
                  </w:r>
                </w:p>
              </w:tc>
              <w:tc>
                <w:tcPr>
                  <w:tcW w:w="2413" w:type="dxa"/>
                  <w:gridSpan w:val="2"/>
                  <w:noWrap w:val="0"/>
                  <w:vAlign w:val="center"/>
                </w:tcPr>
                <w:p>
                  <w:pPr>
                    <w:spacing w:line="280" w:lineRule="exact"/>
                    <w:ind w:firstLine="0" w:firstLineChars="0"/>
                    <w:jc w:val="center"/>
                    <w:rPr>
                      <w:sz w:val="21"/>
                      <w:szCs w:val="21"/>
                      <w:highlight w:val="none"/>
                    </w:rPr>
                  </w:pPr>
                  <w:r>
                    <w:rPr>
                      <w:sz w:val="21"/>
                      <w:szCs w:val="21"/>
                      <w:highlight w:val="none"/>
                    </w:rPr>
                    <w:t>污染物名称</w:t>
                  </w:r>
                </w:p>
              </w:tc>
              <w:tc>
                <w:tcPr>
                  <w:tcW w:w="2398" w:type="dxa"/>
                  <w:gridSpan w:val="3"/>
                  <w:noWrap w:val="0"/>
                  <w:vAlign w:val="center"/>
                </w:tcPr>
                <w:p>
                  <w:pPr>
                    <w:spacing w:line="280" w:lineRule="exact"/>
                    <w:ind w:firstLine="0" w:firstLineChars="0"/>
                    <w:jc w:val="center"/>
                    <w:rPr>
                      <w:sz w:val="21"/>
                      <w:szCs w:val="21"/>
                      <w:highlight w:val="none"/>
                    </w:rPr>
                  </w:pPr>
                  <w:r>
                    <w:rPr>
                      <w:sz w:val="21"/>
                      <w:szCs w:val="21"/>
                      <w:highlight w:val="none"/>
                    </w:rPr>
                    <w:t>排放量/（t/a）</w:t>
                  </w:r>
                </w:p>
              </w:tc>
              <w:tc>
                <w:tcPr>
                  <w:tcW w:w="2404" w:type="dxa"/>
                  <w:gridSpan w:val="2"/>
                  <w:noWrap w:val="0"/>
                  <w:vAlign w:val="center"/>
                </w:tcPr>
                <w:p>
                  <w:pPr>
                    <w:spacing w:line="280" w:lineRule="exact"/>
                    <w:ind w:firstLine="0" w:firstLineChars="0"/>
                    <w:jc w:val="center"/>
                    <w:rPr>
                      <w:sz w:val="21"/>
                      <w:szCs w:val="21"/>
                      <w:highlight w:val="none"/>
                    </w:rPr>
                  </w:pPr>
                  <w:r>
                    <w:rPr>
                      <w:sz w:val="21"/>
                      <w:szCs w:val="21"/>
                      <w:highlight w:val="none"/>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continue"/>
                  <w:noWrap w:val="0"/>
                  <w:vAlign w:val="center"/>
                </w:tcPr>
                <w:p>
                  <w:pPr>
                    <w:spacing w:line="280" w:lineRule="exact"/>
                    <w:ind w:firstLine="0" w:firstLineChars="0"/>
                    <w:jc w:val="center"/>
                    <w:rPr>
                      <w:sz w:val="21"/>
                      <w:szCs w:val="21"/>
                      <w:highlight w:val="none"/>
                    </w:rPr>
                  </w:pPr>
                </w:p>
              </w:tc>
              <w:tc>
                <w:tcPr>
                  <w:tcW w:w="2413" w:type="dxa"/>
                  <w:gridSpan w:val="2"/>
                  <w:noWrap w:val="0"/>
                  <w:vAlign w:val="center"/>
                </w:tcPr>
                <w:p>
                  <w:pPr>
                    <w:spacing w:line="280" w:lineRule="exact"/>
                    <w:ind w:firstLine="0" w:firstLineChars="0"/>
                    <w:jc w:val="center"/>
                    <w:rPr>
                      <w:sz w:val="21"/>
                      <w:szCs w:val="21"/>
                      <w:highlight w:val="none"/>
                    </w:rPr>
                  </w:pPr>
                  <w:r>
                    <w:rPr>
                      <w:rFonts w:hint="eastAsia"/>
                      <w:sz w:val="21"/>
                      <w:szCs w:val="21"/>
                      <w:highlight w:val="none"/>
                    </w:rPr>
                    <w:t>/</w:t>
                  </w:r>
                </w:p>
              </w:tc>
              <w:tc>
                <w:tcPr>
                  <w:tcW w:w="2398" w:type="dxa"/>
                  <w:gridSpan w:val="3"/>
                  <w:noWrap w:val="0"/>
                  <w:vAlign w:val="center"/>
                </w:tcPr>
                <w:p>
                  <w:pPr>
                    <w:spacing w:line="280" w:lineRule="exact"/>
                    <w:ind w:firstLine="0" w:firstLineChars="0"/>
                    <w:jc w:val="center"/>
                    <w:rPr>
                      <w:sz w:val="21"/>
                      <w:szCs w:val="21"/>
                      <w:highlight w:val="none"/>
                    </w:rPr>
                  </w:pPr>
                  <w:r>
                    <w:rPr>
                      <w:sz w:val="21"/>
                      <w:szCs w:val="21"/>
                      <w:highlight w:val="none"/>
                    </w:rPr>
                    <w:t>/</w:t>
                  </w:r>
                </w:p>
              </w:tc>
              <w:tc>
                <w:tcPr>
                  <w:tcW w:w="2404" w:type="dxa"/>
                  <w:gridSpan w:val="2"/>
                  <w:noWrap w:val="0"/>
                  <w:vAlign w:val="center"/>
                </w:tcPr>
                <w:p>
                  <w:pPr>
                    <w:spacing w:line="280" w:lineRule="exact"/>
                    <w:ind w:firstLine="0" w:firstLineChars="0"/>
                    <w:jc w:val="center"/>
                    <w:rPr>
                      <w:sz w:val="21"/>
                      <w:szCs w:val="21"/>
                      <w:highlight w:val="none"/>
                    </w:rPr>
                  </w:pPr>
                  <w:r>
                    <w:rPr>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restart"/>
                  <w:noWrap w:val="0"/>
                  <w:vAlign w:val="center"/>
                </w:tcPr>
                <w:p>
                  <w:pPr>
                    <w:spacing w:line="280" w:lineRule="exact"/>
                    <w:ind w:firstLine="0" w:firstLineChars="0"/>
                    <w:jc w:val="center"/>
                    <w:rPr>
                      <w:sz w:val="21"/>
                      <w:szCs w:val="21"/>
                      <w:highlight w:val="none"/>
                    </w:rPr>
                  </w:pPr>
                  <w:r>
                    <w:rPr>
                      <w:sz w:val="21"/>
                      <w:szCs w:val="21"/>
                      <w:highlight w:val="none"/>
                    </w:rPr>
                    <w:t>替代源排放情况</w:t>
                  </w:r>
                </w:p>
              </w:tc>
              <w:tc>
                <w:tcPr>
                  <w:tcW w:w="1453" w:type="dxa"/>
                  <w:noWrap w:val="0"/>
                  <w:vAlign w:val="center"/>
                </w:tcPr>
                <w:p>
                  <w:pPr>
                    <w:spacing w:line="280" w:lineRule="exact"/>
                    <w:ind w:firstLine="0" w:firstLineChars="0"/>
                    <w:jc w:val="center"/>
                    <w:rPr>
                      <w:sz w:val="21"/>
                      <w:szCs w:val="21"/>
                      <w:highlight w:val="none"/>
                    </w:rPr>
                  </w:pPr>
                  <w:r>
                    <w:rPr>
                      <w:sz w:val="21"/>
                      <w:szCs w:val="21"/>
                      <w:highlight w:val="none"/>
                    </w:rPr>
                    <w:t>污染源名称</w:t>
                  </w:r>
                </w:p>
              </w:tc>
              <w:tc>
                <w:tcPr>
                  <w:tcW w:w="1438" w:type="dxa"/>
                  <w:gridSpan w:val="2"/>
                  <w:noWrap w:val="0"/>
                  <w:vAlign w:val="center"/>
                </w:tcPr>
                <w:p>
                  <w:pPr>
                    <w:spacing w:line="280" w:lineRule="exact"/>
                    <w:ind w:firstLine="0" w:firstLineChars="0"/>
                    <w:jc w:val="center"/>
                    <w:rPr>
                      <w:sz w:val="21"/>
                      <w:szCs w:val="21"/>
                      <w:highlight w:val="none"/>
                    </w:rPr>
                  </w:pPr>
                  <w:r>
                    <w:rPr>
                      <w:sz w:val="21"/>
                      <w:szCs w:val="21"/>
                      <w:highlight w:val="none"/>
                    </w:rPr>
                    <w:t>排污许可证编号</w:t>
                  </w:r>
                </w:p>
              </w:tc>
              <w:tc>
                <w:tcPr>
                  <w:tcW w:w="1438" w:type="dxa"/>
                  <w:noWrap w:val="0"/>
                  <w:vAlign w:val="center"/>
                </w:tcPr>
                <w:p>
                  <w:pPr>
                    <w:spacing w:line="280" w:lineRule="exact"/>
                    <w:ind w:firstLine="0" w:firstLineChars="0"/>
                    <w:jc w:val="center"/>
                    <w:rPr>
                      <w:sz w:val="21"/>
                      <w:szCs w:val="21"/>
                      <w:highlight w:val="none"/>
                    </w:rPr>
                  </w:pPr>
                  <w:r>
                    <w:rPr>
                      <w:sz w:val="21"/>
                      <w:szCs w:val="21"/>
                      <w:highlight w:val="none"/>
                    </w:rPr>
                    <w:t>污染物名称</w:t>
                  </w:r>
                </w:p>
              </w:tc>
              <w:tc>
                <w:tcPr>
                  <w:tcW w:w="1438" w:type="dxa"/>
                  <w:gridSpan w:val="2"/>
                  <w:noWrap w:val="0"/>
                  <w:vAlign w:val="center"/>
                </w:tcPr>
                <w:p>
                  <w:pPr>
                    <w:spacing w:line="280" w:lineRule="exact"/>
                    <w:ind w:firstLine="0" w:firstLineChars="0"/>
                    <w:jc w:val="center"/>
                    <w:rPr>
                      <w:sz w:val="21"/>
                      <w:szCs w:val="21"/>
                      <w:highlight w:val="none"/>
                    </w:rPr>
                  </w:pPr>
                  <w:r>
                    <w:rPr>
                      <w:sz w:val="21"/>
                      <w:szCs w:val="21"/>
                      <w:highlight w:val="none"/>
                    </w:rPr>
                    <w:t>排放量/（t/a）</w:t>
                  </w:r>
                </w:p>
              </w:tc>
              <w:tc>
                <w:tcPr>
                  <w:tcW w:w="1448" w:type="dxa"/>
                  <w:noWrap w:val="0"/>
                  <w:vAlign w:val="center"/>
                </w:tcPr>
                <w:p>
                  <w:pPr>
                    <w:spacing w:line="280" w:lineRule="exact"/>
                    <w:ind w:firstLine="0" w:firstLineChars="0"/>
                    <w:jc w:val="center"/>
                    <w:rPr>
                      <w:sz w:val="21"/>
                      <w:szCs w:val="21"/>
                      <w:highlight w:val="none"/>
                    </w:rPr>
                  </w:pPr>
                  <w:r>
                    <w:rPr>
                      <w:sz w:val="21"/>
                      <w:szCs w:val="21"/>
                      <w:highlight w:val="none"/>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continue"/>
                  <w:noWrap w:val="0"/>
                  <w:vAlign w:val="center"/>
                </w:tcPr>
                <w:p>
                  <w:pPr>
                    <w:spacing w:line="280" w:lineRule="exact"/>
                    <w:ind w:firstLine="0" w:firstLineChars="0"/>
                    <w:jc w:val="center"/>
                    <w:rPr>
                      <w:sz w:val="21"/>
                      <w:szCs w:val="21"/>
                      <w:highlight w:val="none"/>
                    </w:rPr>
                  </w:pPr>
                </w:p>
              </w:tc>
              <w:tc>
                <w:tcPr>
                  <w:tcW w:w="1453" w:type="dxa"/>
                  <w:noWrap w:val="0"/>
                  <w:vAlign w:val="top"/>
                </w:tcPr>
                <w:p>
                  <w:pPr>
                    <w:spacing w:line="280" w:lineRule="exact"/>
                    <w:ind w:firstLine="0" w:firstLineChars="0"/>
                    <w:jc w:val="center"/>
                    <w:rPr>
                      <w:sz w:val="21"/>
                      <w:szCs w:val="21"/>
                      <w:highlight w:val="none"/>
                    </w:rPr>
                  </w:pPr>
                  <w:r>
                    <w:rPr>
                      <w:sz w:val="21"/>
                      <w:szCs w:val="21"/>
                      <w:highlight w:val="none"/>
                    </w:rPr>
                    <w:t>（       ）</w:t>
                  </w:r>
                </w:p>
              </w:tc>
              <w:tc>
                <w:tcPr>
                  <w:tcW w:w="1438" w:type="dxa"/>
                  <w:gridSpan w:val="2"/>
                  <w:noWrap w:val="0"/>
                  <w:vAlign w:val="top"/>
                </w:tcPr>
                <w:p>
                  <w:pPr>
                    <w:spacing w:line="280" w:lineRule="exact"/>
                    <w:ind w:firstLine="0" w:firstLineChars="0"/>
                    <w:jc w:val="center"/>
                    <w:rPr>
                      <w:sz w:val="21"/>
                      <w:szCs w:val="21"/>
                      <w:highlight w:val="none"/>
                    </w:rPr>
                  </w:pPr>
                  <w:r>
                    <w:rPr>
                      <w:sz w:val="21"/>
                      <w:szCs w:val="21"/>
                      <w:highlight w:val="none"/>
                    </w:rPr>
                    <w:t>（       ）</w:t>
                  </w:r>
                </w:p>
              </w:tc>
              <w:tc>
                <w:tcPr>
                  <w:tcW w:w="1438" w:type="dxa"/>
                  <w:noWrap w:val="0"/>
                  <w:vAlign w:val="top"/>
                </w:tcPr>
                <w:p>
                  <w:pPr>
                    <w:spacing w:line="280" w:lineRule="exact"/>
                    <w:ind w:firstLine="0" w:firstLineChars="0"/>
                    <w:jc w:val="center"/>
                    <w:rPr>
                      <w:sz w:val="21"/>
                      <w:szCs w:val="21"/>
                      <w:highlight w:val="none"/>
                    </w:rPr>
                  </w:pPr>
                  <w:r>
                    <w:rPr>
                      <w:sz w:val="21"/>
                      <w:szCs w:val="21"/>
                      <w:highlight w:val="none"/>
                    </w:rPr>
                    <w:t>（       ）</w:t>
                  </w:r>
                </w:p>
              </w:tc>
              <w:tc>
                <w:tcPr>
                  <w:tcW w:w="1438" w:type="dxa"/>
                  <w:gridSpan w:val="2"/>
                  <w:noWrap w:val="0"/>
                  <w:vAlign w:val="top"/>
                </w:tcPr>
                <w:p>
                  <w:pPr>
                    <w:spacing w:line="280" w:lineRule="exact"/>
                    <w:ind w:firstLine="0" w:firstLineChars="0"/>
                    <w:jc w:val="center"/>
                    <w:rPr>
                      <w:sz w:val="21"/>
                      <w:szCs w:val="21"/>
                      <w:highlight w:val="none"/>
                    </w:rPr>
                  </w:pPr>
                  <w:r>
                    <w:rPr>
                      <w:sz w:val="21"/>
                      <w:szCs w:val="21"/>
                      <w:highlight w:val="none"/>
                    </w:rPr>
                    <w:t>（       ）</w:t>
                  </w:r>
                </w:p>
              </w:tc>
              <w:tc>
                <w:tcPr>
                  <w:tcW w:w="1448" w:type="dxa"/>
                  <w:noWrap w:val="0"/>
                  <w:vAlign w:val="top"/>
                </w:tcPr>
                <w:p>
                  <w:pPr>
                    <w:spacing w:line="280" w:lineRule="exact"/>
                    <w:ind w:firstLine="0" w:firstLineChars="0"/>
                    <w:jc w:val="center"/>
                    <w:rPr>
                      <w:sz w:val="21"/>
                      <w:szCs w:val="21"/>
                      <w:highlight w:val="none"/>
                    </w:rPr>
                  </w:pPr>
                  <w:r>
                    <w:rPr>
                      <w:sz w:val="21"/>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noWrap w:val="0"/>
                  <w:vAlign w:val="center"/>
                </w:tcPr>
                <w:p>
                  <w:pPr>
                    <w:spacing w:line="280" w:lineRule="exact"/>
                    <w:ind w:firstLine="0" w:firstLineChars="0"/>
                    <w:jc w:val="center"/>
                    <w:rPr>
                      <w:sz w:val="21"/>
                      <w:szCs w:val="21"/>
                      <w:highlight w:val="none"/>
                    </w:rPr>
                  </w:pPr>
                  <w:r>
                    <w:rPr>
                      <w:sz w:val="21"/>
                      <w:szCs w:val="21"/>
                      <w:highlight w:val="none"/>
                    </w:rPr>
                    <w:t>生态流量确定</w:t>
                  </w:r>
                </w:p>
              </w:tc>
              <w:tc>
                <w:tcPr>
                  <w:tcW w:w="7215" w:type="dxa"/>
                  <w:gridSpan w:val="7"/>
                  <w:noWrap w:val="0"/>
                  <w:vAlign w:val="top"/>
                </w:tcPr>
                <w:p>
                  <w:pPr>
                    <w:spacing w:line="280" w:lineRule="exact"/>
                    <w:ind w:firstLine="0" w:firstLineChars="0"/>
                    <w:jc w:val="left"/>
                    <w:rPr>
                      <w:sz w:val="21"/>
                      <w:szCs w:val="21"/>
                      <w:highlight w:val="none"/>
                    </w:rPr>
                  </w:pPr>
                  <w:r>
                    <w:rPr>
                      <w:sz w:val="21"/>
                      <w:szCs w:val="21"/>
                      <w:highlight w:val="none"/>
                    </w:rPr>
                    <w:t>生态流量：一般水期（    ）m</w:t>
                  </w:r>
                  <w:r>
                    <w:rPr>
                      <w:sz w:val="21"/>
                      <w:szCs w:val="21"/>
                      <w:highlight w:val="none"/>
                      <w:vertAlign w:val="superscript"/>
                    </w:rPr>
                    <w:t>3</w:t>
                  </w:r>
                  <w:r>
                    <w:rPr>
                      <w:sz w:val="21"/>
                      <w:szCs w:val="21"/>
                      <w:highlight w:val="none"/>
                    </w:rPr>
                    <w:t>/s；鱼类繁殖期（    ）m</w:t>
                  </w:r>
                  <w:r>
                    <w:rPr>
                      <w:sz w:val="21"/>
                      <w:szCs w:val="21"/>
                      <w:highlight w:val="none"/>
                      <w:vertAlign w:val="superscript"/>
                    </w:rPr>
                    <w:t>3</w:t>
                  </w:r>
                  <w:r>
                    <w:rPr>
                      <w:sz w:val="21"/>
                      <w:szCs w:val="21"/>
                      <w:highlight w:val="none"/>
                    </w:rPr>
                    <w:t>/s；其他（    ）m</w:t>
                  </w:r>
                  <w:r>
                    <w:rPr>
                      <w:sz w:val="21"/>
                      <w:szCs w:val="21"/>
                      <w:highlight w:val="none"/>
                      <w:vertAlign w:val="superscript"/>
                    </w:rPr>
                    <w:t>3</w:t>
                  </w:r>
                  <w:r>
                    <w:rPr>
                      <w:sz w:val="21"/>
                      <w:szCs w:val="21"/>
                      <w:highlight w:val="none"/>
                    </w:rPr>
                    <w:t>/s</w:t>
                  </w:r>
                </w:p>
                <w:p>
                  <w:pPr>
                    <w:spacing w:line="280" w:lineRule="exact"/>
                    <w:ind w:firstLine="0" w:firstLineChars="0"/>
                    <w:jc w:val="left"/>
                    <w:rPr>
                      <w:sz w:val="21"/>
                      <w:szCs w:val="21"/>
                      <w:highlight w:val="none"/>
                      <w:vertAlign w:val="superscript"/>
                    </w:rPr>
                  </w:pPr>
                  <w:r>
                    <w:rPr>
                      <w:sz w:val="21"/>
                      <w:szCs w:val="21"/>
                      <w:highlight w:val="none"/>
                    </w:rPr>
                    <w:t>生态水位：一般水期（    ）m；鱼类繁殖期（    ）m；其他（    ）m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357" w:type="dxa"/>
                  <w:vMerge w:val="restart"/>
                  <w:noWrap w:val="0"/>
                  <w:vAlign w:val="center"/>
                </w:tcPr>
                <w:p>
                  <w:pPr>
                    <w:spacing w:line="280" w:lineRule="exact"/>
                    <w:ind w:firstLine="0" w:firstLineChars="0"/>
                    <w:jc w:val="center"/>
                    <w:rPr>
                      <w:sz w:val="21"/>
                      <w:szCs w:val="21"/>
                      <w:highlight w:val="none"/>
                    </w:rPr>
                  </w:pPr>
                  <w:r>
                    <w:rPr>
                      <w:sz w:val="21"/>
                      <w:szCs w:val="21"/>
                      <w:highlight w:val="none"/>
                    </w:rPr>
                    <w:t>防治措施</w:t>
                  </w:r>
                </w:p>
              </w:tc>
              <w:tc>
                <w:tcPr>
                  <w:tcW w:w="1227" w:type="dxa"/>
                  <w:noWrap w:val="0"/>
                  <w:vAlign w:val="center"/>
                </w:tcPr>
                <w:p>
                  <w:pPr>
                    <w:spacing w:line="280" w:lineRule="exact"/>
                    <w:ind w:firstLine="0" w:firstLineChars="0"/>
                    <w:jc w:val="center"/>
                    <w:rPr>
                      <w:sz w:val="21"/>
                      <w:szCs w:val="21"/>
                      <w:highlight w:val="none"/>
                    </w:rPr>
                  </w:pPr>
                  <w:r>
                    <w:rPr>
                      <w:sz w:val="21"/>
                      <w:szCs w:val="21"/>
                      <w:highlight w:val="none"/>
                    </w:rPr>
                    <w:t>环保措施</w:t>
                  </w:r>
                </w:p>
              </w:tc>
              <w:tc>
                <w:tcPr>
                  <w:tcW w:w="7215" w:type="dxa"/>
                  <w:gridSpan w:val="7"/>
                  <w:noWrap w:val="0"/>
                  <w:vAlign w:val="top"/>
                </w:tcPr>
                <w:p>
                  <w:pPr>
                    <w:spacing w:line="280" w:lineRule="exact"/>
                    <w:ind w:firstLine="0" w:firstLineChars="0"/>
                    <w:jc w:val="left"/>
                    <w:rPr>
                      <w:sz w:val="21"/>
                      <w:szCs w:val="21"/>
                      <w:highlight w:val="none"/>
                    </w:rPr>
                  </w:pPr>
                  <w:r>
                    <w:rPr>
                      <w:sz w:val="21"/>
                      <w:szCs w:val="21"/>
                      <w:highlight w:val="none"/>
                    </w:rPr>
                    <w:t>污水处理设施 □；水文减缓设施 □；生态流量保障设施 □；区域削减 □；依托其他工程措施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restart"/>
                  <w:noWrap w:val="0"/>
                  <w:vAlign w:val="center"/>
                </w:tcPr>
                <w:p>
                  <w:pPr>
                    <w:spacing w:line="280" w:lineRule="exact"/>
                    <w:ind w:firstLine="0" w:firstLineChars="0"/>
                    <w:jc w:val="center"/>
                    <w:rPr>
                      <w:sz w:val="21"/>
                      <w:szCs w:val="21"/>
                      <w:highlight w:val="none"/>
                    </w:rPr>
                  </w:pPr>
                  <w:r>
                    <w:rPr>
                      <w:sz w:val="21"/>
                      <w:szCs w:val="21"/>
                      <w:highlight w:val="none"/>
                    </w:rPr>
                    <w:t>监测计划</w:t>
                  </w:r>
                </w:p>
              </w:tc>
              <w:tc>
                <w:tcPr>
                  <w:tcW w:w="2413" w:type="dxa"/>
                  <w:gridSpan w:val="2"/>
                  <w:noWrap w:val="0"/>
                  <w:vAlign w:val="top"/>
                </w:tcPr>
                <w:p>
                  <w:pPr>
                    <w:spacing w:line="280" w:lineRule="exact"/>
                    <w:ind w:firstLine="0" w:firstLineChars="0"/>
                    <w:jc w:val="center"/>
                    <w:rPr>
                      <w:sz w:val="21"/>
                      <w:szCs w:val="21"/>
                      <w:highlight w:val="none"/>
                    </w:rPr>
                  </w:pPr>
                </w:p>
              </w:tc>
              <w:tc>
                <w:tcPr>
                  <w:tcW w:w="2398" w:type="dxa"/>
                  <w:gridSpan w:val="3"/>
                  <w:noWrap w:val="0"/>
                  <w:vAlign w:val="top"/>
                </w:tcPr>
                <w:p>
                  <w:pPr>
                    <w:spacing w:line="280" w:lineRule="exact"/>
                    <w:ind w:firstLine="0" w:firstLineChars="0"/>
                    <w:jc w:val="center"/>
                    <w:rPr>
                      <w:sz w:val="21"/>
                      <w:szCs w:val="21"/>
                      <w:highlight w:val="none"/>
                    </w:rPr>
                  </w:pPr>
                  <w:r>
                    <w:rPr>
                      <w:sz w:val="21"/>
                      <w:szCs w:val="21"/>
                      <w:highlight w:val="none"/>
                    </w:rPr>
                    <w:t>环境质量</w:t>
                  </w:r>
                </w:p>
              </w:tc>
              <w:tc>
                <w:tcPr>
                  <w:tcW w:w="2404" w:type="dxa"/>
                  <w:gridSpan w:val="2"/>
                  <w:noWrap w:val="0"/>
                  <w:vAlign w:val="top"/>
                </w:tcPr>
                <w:p>
                  <w:pPr>
                    <w:spacing w:line="280" w:lineRule="exact"/>
                    <w:ind w:firstLine="0" w:firstLineChars="0"/>
                    <w:jc w:val="center"/>
                    <w:rPr>
                      <w:sz w:val="21"/>
                      <w:szCs w:val="21"/>
                      <w:highlight w:val="none"/>
                    </w:rPr>
                  </w:pPr>
                  <w:r>
                    <w:rPr>
                      <w:sz w:val="21"/>
                      <w:szCs w:val="21"/>
                      <w:highlight w:val="none"/>
                    </w:rPr>
                    <w:t>污染源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continue"/>
                  <w:noWrap w:val="0"/>
                  <w:vAlign w:val="center"/>
                </w:tcPr>
                <w:p>
                  <w:pPr>
                    <w:spacing w:line="280" w:lineRule="exact"/>
                    <w:ind w:firstLine="0" w:firstLineChars="0"/>
                    <w:jc w:val="center"/>
                    <w:rPr>
                      <w:sz w:val="21"/>
                      <w:szCs w:val="21"/>
                      <w:highlight w:val="none"/>
                    </w:rPr>
                  </w:pPr>
                </w:p>
              </w:tc>
              <w:tc>
                <w:tcPr>
                  <w:tcW w:w="2413" w:type="dxa"/>
                  <w:gridSpan w:val="2"/>
                  <w:noWrap w:val="0"/>
                  <w:vAlign w:val="top"/>
                </w:tcPr>
                <w:p>
                  <w:pPr>
                    <w:spacing w:line="280" w:lineRule="exact"/>
                    <w:ind w:firstLine="0" w:firstLineChars="0"/>
                    <w:jc w:val="center"/>
                    <w:rPr>
                      <w:sz w:val="21"/>
                      <w:szCs w:val="21"/>
                      <w:highlight w:val="none"/>
                    </w:rPr>
                  </w:pPr>
                  <w:r>
                    <w:rPr>
                      <w:sz w:val="21"/>
                      <w:szCs w:val="21"/>
                      <w:highlight w:val="none"/>
                    </w:rPr>
                    <w:t>监测方式</w:t>
                  </w:r>
                </w:p>
              </w:tc>
              <w:tc>
                <w:tcPr>
                  <w:tcW w:w="2398" w:type="dxa"/>
                  <w:gridSpan w:val="3"/>
                  <w:noWrap w:val="0"/>
                  <w:vAlign w:val="top"/>
                </w:tcPr>
                <w:p>
                  <w:pPr>
                    <w:spacing w:line="280" w:lineRule="exact"/>
                    <w:ind w:firstLine="0" w:firstLineChars="0"/>
                    <w:jc w:val="center"/>
                    <w:rPr>
                      <w:sz w:val="21"/>
                      <w:szCs w:val="21"/>
                      <w:highlight w:val="none"/>
                    </w:rPr>
                  </w:pPr>
                  <w:r>
                    <w:rPr>
                      <w:sz w:val="21"/>
                      <w:szCs w:val="21"/>
                      <w:highlight w:val="none"/>
                    </w:rPr>
                    <w:t>手动 □；自动 □； 无监测 □</w:t>
                  </w:r>
                </w:p>
              </w:tc>
              <w:tc>
                <w:tcPr>
                  <w:tcW w:w="2404" w:type="dxa"/>
                  <w:gridSpan w:val="2"/>
                  <w:noWrap w:val="0"/>
                  <w:vAlign w:val="top"/>
                </w:tcPr>
                <w:p>
                  <w:pPr>
                    <w:spacing w:line="280" w:lineRule="exact"/>
                    <w:ind w:firstLine="0" w:firstLineChars="0"/>
                    <w:jc w:val="center"/>
                    <w:rPr>
                      <w:sz w:val="21"/>
                      <w:szCs w:val="21"/>
                      <w:highlight w:val="none"/>
                    </w:rPr>
                  </w:pPr>
                  <w:r>
                    <w:rPr>
                      <w:sz w:val="21"/>
                      <w:szCs w:val="21"/>
                      <w:highlight w:val="none"/>
                    </w:rPr>
                    <w:t>手动</w:t>
                  </w:r>
                  <w:r>
                    <w:rPr>
                      <w:sz w:val="21"/>
                      <w:szCs w:val="21"/>
                      <w:highlight w:val="none"/>
                    </w:rPr>
                    <w:sym w:font="Wingdings 2" w:char="0052"/>
                  </w:r>
                  <w:r>
                    <w:rPr>
                      <w:sz w:val="21"/>
                      <w:szCs w:val="21"/>
                      <w:highlight w:val="none"/>
                    </w:rPr>
                    <w:t xml:space="preserve">；自动 □； 无监测 </w:t>
                  </w:r>
                  <w:r>
                    <w:rPr>
                      <w:sz w:val="21"/>
                      <w:szCs w:val="21"/>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continue"/>
                  <w:noWrap w:val="0"/>
                  <w:vAlign w:val="center"/>
                </w:tcPr>
                <w:p>
                  <w:pPr>
                    <w:spacing w:line="280" w:lineRule="exact"/>
                    <w:ind w:firstLine="0" w:firstLineChars="0"/>
                    <w:jc w:val="center"/>
                    <w:rPr>
                      <w:sz w:val="21"/>
                      <w:szCs w:val="21"/>
                      <w:highlight w:val="none"/>
                    </w:rPr>
                  </w:pPr>
                </w:p>
              </w:tc>
              <w:tc>
                <w:tcPr>
                  <w:tcW w:w="2413" w:type="dxa"/>
                  <w:gridSpan w:val="2"/>
                  <w:noWrap w:val="0"/>
                  <w:vAlign w:val="top"/>
                </w:tcPr>
                <w:p>
                  <w:pPr>
                    <w:spacing w:line="280" w:lineRule="exact"/>
                    <w:ind w:firstLine="0" w:firstLineChars="0"/>
                    <w:jc w:val="center"/>
                    <w:rPr>
                      <w:sz w:val="21"/>
                      <w:szCs w:val="21"/>
                      <w:highlight w:val="none"/>
                    </w:rPr>
                  </w:pPr>
                  <w:r>
                    <w:rPr>
                      <w:sz w:val="21"/>
                      <w:szCs w:val="21"/>
                      <w:highlight w:val="none"/>
                    </w:rPr>
                    <w:t>监测点位</w:t>
                  </w:r>
                </w:p>
              </w:tc>
              <w:tc>
                <w:tcPr>
                  <w:tcW w:w="2398" w:type="dxa"/>
                  <w:gridSpan w:val="3"/>
                  <w:noWrap w:val="0"/>
                  <w:vAlign w:val="top"/>
                </w:tcPr>
                <w:p>
                  <w:pPr>
                    <w:spacing w:line="280" w:lineRule="exact"/>
                    <w:ind w:firstLine="0" w:firstLineChars="0"/>
                    <w:jc w:val="center"/>
                    <w:rPr>
                      <w:sz w:val="21"/>
                      <w:szCs w:val="21"/>
                      <w:highlight w:val="none"/>
                    </w:rPr>
                  </w:pPr>
                  <w:r>
                    <w:rPr>
                      <w:sz w:val="21"/>
                      <w:szCs w:val="21"/>
                      <w:highlight w:val="none"/>
                    </w:rPr>
                    <w:t>（     ）</w:t>
                  </w:r>
                </w:p>
              </w:tc>
              <w:tc>
                <w:tcPr>
                  <w:tcW w:w="2404" w:type="dxa"/>
                  <w:gridSpan w:val="2"/>
                  <w:noWrap w:val="0"/>
                  <w:vAlign w:val="top"/>
                </w:tcPr>
                <w:p>
                  <w:pPr>
                    <w:spacing w:line="280" w:lineRule="exact"/>
                    <w:ind w:firstLine="0" w:firstLineChars="0"/>
                    <w:jc w:val="center"/>
                    <w:rPr>
                      <w:sz w:val="21"/>
                      <w:szCs w:val="21"/>
                      <w:highlight w:val="none"/>
                    </w:rPr>
                  </w:pPr>
                  <w:r>
                    <w:rPr>
                      <w:sz w:val="21"/>
                      <w:szCs w:val="21"/>
                      <w:highlight w:val="none"/>
                    </w:rPr>
                    <w:t>（污水总排口）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vMerge w:val="continue"/>
                  <w:noWrap w:val="0"/>
                  <w:vAlign w:val="center"/>
                </w:tcPr>
                <w:p>
                  <w:pPr>
                    <w:spacing w:line="280" w:lineRule="exact"/>
                    <w:ind w:firstLine="0" w:firstLineChars="0"/>
                    <w:jc w:val="center"/>
                    <w:rPr>
                      <w:sz w:val="21"/>
                      <w:szCs w:val="21"/>
                      <w:highlight w:val="none"/>
                    </w:rPr>
                  </w:pPr>
                </w:p>
              </w:tc>
              <w:tc>
                <w:tcPr>
                  <w:tcW w:w="2413" w:type="dxa"/>
                  <w:gridSpan w:val="2"/>
                  <w:noWrap w:val="0"/>
                  <w:vAlign w:val="top"/>
                </w:tcPr>
                <w:p>
                  <w:pPr>
                    <w:spacing w:line="280" w:lineRule="exact"/>
                    <w:ind w:firstLine="0" w:firstLineChars="0"/>
                    <w:jc w:val="center"/>
                    <w:rPr>
                      <w:sz w:val="21"/>
                      <w:szCs w:val="21"/>
                      <w:highlight w:val="none"/>
                    </w:rPr>
                  </w:pPr>
                  <w:r>
                    <w:rPr>
                      <w:sz w:val="21"/>
                      <w:szCs w:val="21"/>
                      <w:highlight w:val="none"/>
                    </w:rPr>
                    <w:t>监测因子</w:t>
                  </w:r>
                </w:p>
              </w:tc>
              <w:tc>
                <w:tcPr>
                  <w:tcW w:w="2398" w:type="dxa"/>
                  <w:gridSpan w:val="3"/>
                  <w:noWrap w:val="0"/>
                  <w:vAlign w:val="top"/>
                </w:tcPr>
                <w:p>
                  <w:pPr>
                    <w:spacing w:line="280" w:lineRule="exact"/>
                    <w:ind w:firstLine="0" w:firstLineChars="0"/>
                    <w:jc w:val="center"/>
                    <w:rPr>
                      <w:sz w:val="21"/>
                      <w:szCs w:val="21"/>
                      <w:highlight w:val="none"/>
                    </w:rPr>
                  </w:pPr>
                  <w:r>
                    <w:rPr>
                      <w:sz w:val="21"/>
                      <w:szCs w:val="21"/>
                      <w:highlight w:val="none"/>
                    </w:rPr>
                    <w:t>（     ）</w:t>
                  </w:r>
                </w:p>
              </w:tc>
              <w:tc>
                <w:tcPr>
                  <w:tcW w:w="2404" w:type="dxa"/>
                  <w:gridSpan w:val="2"/>
                  <w:noWrap w:val="0"/>
                  <w:vAlign w:val="center"/>
                </w:tcPr>
                <w:p>
                  <w:pPr>
                    <w:bidi w:val="0"/>
                    <w:jc w:val="center"/>
                    <w:rPr>
                      <w:rFonts w:ascii="Times New Roman" w:hAnsi="Times New Roman" w:eastAsia="宋体" w:cs="Times New Roman"/>
                      <w:kern w:val="2"/>
                      <w:sz w:val="21"/>
                      <w:szCs w:val="21"/>
                      <w:highlight w:val="none"/>
                      <w:lang w:val="en-US" w:eastAsia="zh-CN" w:bidi="ar-SA"/>
                    </w:rPr>
                  </w:pPr>
                  <w:r>
                    <w:rPr>
                      <w:rFonts w:hint="eastAsia"/>
                      <w:sz w:val="21"/>
                      <w:szCs w:val="21"/>
                      <w:highlight w:val="none"/>
                      <w:lang w:eastAsia="zh-CN"/>
                    </w:rPr>
                    <w:t>（</w:t>
                  </w:r>
                  <w:r>
                    <w:rPr>
                      <w:sz w:val="21"/>
                      <w:szCs w:val="21"/>
                      <w:highlight w:val="none"/>
                    </w:rPr>
                    <w:t>COD、SS、氨氮、粪大肠菌群</w:t>
                  </w:r>
                  <w:r>
                    <w:rPr>
                      <w:rFonts w:hint="eastAsia"/>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357" w:type="dxa"/>
                  <w:vMerge w:val="continue"/>
                  <w:noWrap w:val="0"/>
                  <w:vAlign w:val="center"/>
                </w:tcPr>
                <w:p>
                  <w:pPr>
                    <w:spacing w:line="280" w:lineRule="exact"/>
                    <w:ind w:firstLine="0" w:firstLineChars="0"/>
                    <w:jc w:val="center"/>
                    <w:rPr>
                      <w:sz w:val="21"/>
                      <w:szCs w:val="21"/>
                      <w:highlight w:val="none"/>
                    </w:rPr>
                  </w:pPr>
                </w:p>
              </w:tc>
              <w:tc>
                <w:tcPr>
                  <w:tcW w:w="1227" w:type="dxa"/>
                  <w:noWrap w:val="0"/>
                  <w:vAlign w:val="center"/>
                </w:tcPr>
                <w:p>
                  <w:pPr>
                    <w:spacing w:line="280" w:lineRule="exact"/>
                    <w:ind w:firstLine="0" w:firstLineChars="0"/>
                    <w:jc w:val="center"/>
                    <w:rPr>
                      <w:sz w:val="21"/>
                      <w:szCs w:val="21"/>
                      <w:highlight w:val="none"/>
                    </w:rPr>
                  </w:pPr>
                  <w:r>
                    <w:rPr>
                      <w:sz w:val="21"/>
                      <w:szCs w:val="21"/>
                      <w:highlight w:val="none"/>
                    </w:rPr>
                    <w:t>污染物排放清单</w:t>
                  </w:r>
                </w:p>
              </w:tc>
              <w:tc>
                <w:tcPr>
                  <w:tcW w:w="7215" w:type="dxa"/>
                  <w:gridSpan w:val="7"/>
                  <w:noWrap w:val="0"/>
                  <w:vAlign w:val="center"/>
                </w:tcPr>
                <w:p>
                  <w:pPr>
                    <w:spacing w:line="280" w:lineRule="exact"/>
                    <w:ind w:firstLine="0" w:firstLineChars="0"/>
                    <w:jc w:val="center"/>
                    <w:rPr>
                      <w:rFonts w:hint="eastAsia" w:eastAsia="宋体"/>
                      <w:sz w:val="21"/>
                      <w:szCs w:val="21"/>
                      <w:highlight w:val="none"/>
                      <w:lang w:eastAsia="zh-CN"/>
                    </w:rPr>
                  </w:pPr>
                  <w:r>
                    <w:rPr>
                      <w:sz w:val="21"/>
                      <w:szCs w:val="21"/>
                      <w:highlight w:val="none"/>
                    </w:rPr>
                    <w:t>COD、BOD</w:t>
                  </w:r>
                  <w:r>
                    <w:rPr>
                      <w:sz w:val="21"/>
                      <w:szCs w:val="21"/>
                      <w:highlight w:val="none"/>
                      <w:vertAlign w:val="subscript"/>
                    </w:rPr>
                    <w:t>5</w:t>
                  </w:r>
                  <w:r>
                    <w:rPr>
                      <w:sz w:val="21"/>
                      <w:szCs w:val="21"/>
                      <w:highlight w:val="none"/>
                    </w:rPr>
                    <w:t>、SS、氨氮、</w:t>
                  </w:r>
                  <w:r>
                    <w:rPr>
                      <w:rFonts w:hint="eastAsia"/>
                      <w:sz w:val="21"/>
                      <w:szCs w:val="21"/>
                      <w:highlight w:val="none"/>
                      <w:lang w:eastAsia="zh-CN"/>
                    </w:rPr>
                    <w:t>总氮、</w:t>
                  </w:r>
                  <w:r>
                    <w:rPr>
                      <w:sz w:val="21"/>
                      <w:szCs w:val="21"/>
                      <w:highlight w:val="none"/>
                    </w:rPr>
                    <w:t>粪大肠菌群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1584" w:type="dxa"/>
                  <w:gridSpan w:val="2"/>
                  <w:noWrap w:val="0"/>
                  <w:vAlign w:val="center"/>
                </w:tcPr>
                <w:p>
                  <w:pPr>
                    <w:spacing w:line="280" w:lineRule="exact"/>
                    <w:ind w:firstLine="0" w:firstLineChars="0"/>
                    <w:jc w:val="center"/>
                    <w:rPr>
                      <w:sz w:val="21"/>
                      <w:szCs w:val="21"/>
                      <w:highlight w:val="none"/>
                    </w:rPr>
                  </w:pPr>
                  <w:r>
                    <w:rPr>
                      <w:sz w:val="21"/>
                      <w:szCs w:val="21"/>
                      <w:highlight w:val="none"/>
                    </w:rPr>
                    <w:t>评价结论</w:t>
                  </w:r>
                </w:p>
              </w:tc>
              <w:tc>
                <w:tcPr>
                  <w:tcW w:w="7215" w:type="dxa"/>
                  <w:gridSpan w:val="7"/>
                  <w:noWrap w:val="0"/>
                  <w:vAlign w:val="top"/>
                </w:tcPr>
                <w:p>
                  <w:pPr>
                    <w:spacing w:line="280" w:lineRule="exact"/>
                    <w:ind w:firstLine="0" w:firstLineChars="0"/>
                    <w:jc w:val="left"/>
                    <w:rPr>
                      <w:sz w:val="21"/>
                      <w:szCs w:val="21"/>
                      <w:highlight w:val="none"/>
                    </w:rPr>
                  </w:pPr>
                  <w:r>
                    <w:rPr>
                      <w:sz w:val="21"/>
                      <w:szCs w:val="21"/>
                      <w:highlight w:val="none"/>
                    </w:rPr>
                    <w:t xml:space="preserve">可以接受  </w:t>
                  </w:r>
                  <w:r>
                    <w:rPr>
                      <w:sz w:val="21"/>
                      <w:szCs w:val="21"/>
                      <w:highlight w:val="none"/>
                    </w:rPr>
                    <w:sym w:font="Wingdings 2" w:char="0052"/>
                  </w:r>
                  <w:r>
                    <w:rPr>
                      <w:sz w:val="21"/>
                      <w:szCs w:val="21"/>
                      <w:highlight w:val="none"/>
                    </w:rPr>
                    <w:t>；不可以接受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799" w:type="dxa"/>
                  <w:gridSpan w:val="9"/>
                  <w:noWrap w:val="0"/>
                  <w:vAlign w:val="center"/>
                </w:tcPr>
                <w:p>
                  <w:pPr>
                    <w:spacing w:line="280" w:lineRule="exact"/>
                    <w:ind w:firstLine="0" w:firstLineChars="0"/>
                    <w:jc w:val="left"/>
                    <w:rPr>
                      <w:sz w:val="21"/>
                      <w:szCs w:val="21"/>
                      <w:highlight w:val="none"/>
                    </w:rPr>
                  </w:pPr>
                  <w:r>
                    <w:rPr>
                      <w:sz w:val="21"/>
                      <w:szCs w:val="21"/>
                      <w:highlight w:val="none"/>
                    </w:rPr>
                    <w:t>注：“□”为勾选项，可√；“（   ）”为内容填写项；“备注”为其他补充内容。</w:t>
                  </w:r>
                </w:p>
              </w:tc>
            </w:tr>
          </w:tbl>
          <w:p>
            <w:pPr>
              <w:spacing w:line="360" w:lineRule="auto"/>
              <w:rPr>
                <w:rFonts w:hint="eastAsia"/>
                <w:b/>
                <w:sz w:val="24"/>
                <w:szCs w:val="24"/>
                <w:highlight w:val="none"/>
              </w:rPr>
            </w:pPr>
          </w:p>
          <w:p>
            <w:pPr>
              <w:pStyle w:val="6"/>
              <w:rPr>
                <w:rFonts w:hint="eastAsia"/>
                <w:highlight w:val="none"/>
              </w:rPr>
            </w:pPr>
          </w:p>
          <w:p>
            <w:pPr>
              <w:spacing w:line="360" w:lineRule="auto"/>
              <w:ind w:firstLine="482" w:firstLineChars="200"/>
              <w:rPr>
                <w:sz w:val="24"/>
                <w:szCs w:val="24"/>
                <w:highlight w:val="none"/>
              </w:rPr>
            </w:pPr>
            <w:r>
              <w:rPr>
                <w:rFonts w:hint="eastAsia"/>
                <w:b/>
                <w:sz w:val="24"/>
                <w:szCs w:val="24"/>
                <w:highlight w:val="none"/>
              </w:rPr>
              <w:t>3、</w:t>
            </w:r>
            <w:r>
              <w:rPr>
                <w:b/>
                <w:sz w:val="24"/>
                <w:szCs w:val="24"/>
                <w:highlight w:val="none"/>
              </w:rPr>
              <w:t>固</w:t>
            </w:r>
            <w:r>
              <w:rPr>
                <w:rFonts w:hint="eastAsia"/>
                <w:b/>
                <w:sz w:val="24"/>
                <w:szCs w:val="24"/>
                <w:highlight w:val="none"/>
              </w:rPr>
              <w:t>体</w:t>
            </w:r>
            <w:r>
              <w:rPr>
                <w:b/>
                <w:sz w:val="24"/>
                <w:szCs w:val="24"/>
                <w:highlight w:val="none"/>
              </w:rPr>
              <w:t>废</w:t>
            </w:r>
            <w:r>
              <w:rPr>
                <w:rFonts w:hint="eastAsia"/>
                <w:b/>
                <w:sz w:val="24"/>
                <w:szCs w:val="24"/>
                <w:highlight w:val="none"/>
              </w:rPr>
              <w:t>物</w:t>
            </w:r>
          </w:p>
          <w:p>
            <w:pPr>
              <w:spacing w:line="480" w:lineRule="exact"/>
              <w:ind w:firstLine="480" w:firstLineChars="200"/>
              <w:rPr>
                <w:sz w:val="24"/>
                <w:szCs w:val="24"/>
                <w:highlight w:val="none"/>
              </w:rPr>
            </w:pPr>
            <w:r>
              <w:rPr>
                <w:rFonts w:hint="eastAsia"/>
                <w:sz w:val="24"/>
                <w:szCs w:val="24"/>
                <w:highlight w:val="none"/>
              </w:rPr>
              <w:t>项目产生的固体废物主要为办公生活垃圾和医疗废物</w:t>
            </w:r>
            <w:r>
              <w:rPr>
                <w:rFonts w:hint="eastAsia"/>
                <w:sz w:val="24"/>
                <w:szCs w:val="24"/>
                <w:highlight w:val="none"/>
                <w:lang w:eastAsia="zh-CN"/>
              </w:rPr>
              <w:t>和化粪池污泥</w:t>
            </w:r>
            <w:r>
              <w:rPr>
                <w:rFonts w:hint="eastAsia"/>
                <w:sz w:val="24"/>
                <w:szCs w:val="24"/>
                <w:highlight w:val="none"/>
              </w:rPr>
              <w:t>等。</w:t>
            </w:r>
          </w:p>
          <w:p>
            <w:pPr>
              <w:spacing w:line="480" w:lineRule="exact"/>
              <w:ind w:firstLine="480" w:firstLineChars="200"/>
              <w:rPr>
                <w:sz w:val="24"/>
                <w:szCs w:val="24"/>
                <w:highlight w:val="none"/>
              </w:rPr>
            </w:pPr>
            <w:r>
              <w:rPr>
                <w:rFonts w:hint="eastAsia" w:ascii="宋体" w:hAnsi="宋体" w:cs="宋体"/>
                <w:sz w:val="24"/>
                <w:szCs w:val="24"/>
                <w:highlight w:val="none"/>
              </w:rPr>
              <w:t>①</w:t>
            </w:r>
            <w:r>
              <w:rPr>
                <w:rFonts w:hint="eastAsia"/>
                <w:sz w:val="24"/>
                <w:szCs w:val="24"/>
                <w:highlight w:val="none"/>
              </w:rPr>
              <w:t>办公生活垃圾</w:t>
            </w:r>
          </w:p>
          <w:p>
            <w:pPr>
              <w:spacing w:line="480" w:lineRule="exact"/>
              <w:ind w:firstLine="480" w:firstLineChars="200"/>
              <w:rPr>
                <w:sz w:val="24"/>
                <w:szCs w:val="24"/>
                <w:highlight w:val="none"/>
              </w:rPr>
            </w:pPr>
            <w:r>
              <w:rPr>
                <w:rFonts w:hint="eastAsia"/>
                <w:sz w:val="24"/>
                <w:szCs w:val="24"/>
                <w:highlight w:val="none"/>
              </w:rPr>
              <w:t>医护人员办公生活垃圾产生量按照</w:t>
            </w:r>
            <w:r>
              <w:rPr>
                <w:sz w:val="24"/>
                <w:szCs w:val="24"/>
                <w:highlight w:val="none"/>
              </w:rPr>
              <w:t>0.5kg/(</w:t>
            </w:r>
            <w:r>
              <w:rPr>
                <w:rFonts w:hint="eastAsia"/>
                <w:sz w:val="24"/>
                <w:szCs w:val="24"/>
                <w:highlight w:val="none"/>
              </w:rPr>
              <w:t>人</w:t>
            </w:r>
            <w:r>
              <w:rPr>
                <w:sz w:val="24"/>
                <w:szCs w:val="24"/>
                <w:highlight w:val="none"/>
              </w:rPr>
              <w:t>·d)</w:t>
            </w:r>
            <w:r>
              <w:rPr>
                <w:rFonts w:hint="eastAsia"/>
                <w:sz w:val="24"/>
                <w:szCs w:val="24"/>
                <w:highlight w:val="none"/>
              </w:rPr>
              <w:t>计算，医务人员60人，产生生活垃圾30kg/d；体检人员生活垃圾产生量按照</w:t>
            </w:r>
            <w:r>
              <w:rPr>
                <w:sz w:val="24"/>
                <w:szCs w:val="24"/>
                <w:highlight w:val="none"/>
              </w:rPr>
              <w:t>0.1kg/(</w:t>
            </w:r>
            <w:r>
              <w:rPr>
                <w:rFonts w:hint="eastAsia"/>
                <w:sz w:val="24"/>
                <w:szCs w:val="24"/>
                <w:highlight w:val="none"/>
              </w:rPr>
              <w:t>人</w:t>
            </w:r>
            <w:r>
              <w:rPr>
                <w:sz w:val="24"/>
                <w:szCs w:val="24"/>
                <w:highlight w:val="none"/>
              </w:rPr>
              <w:t>·</w:t>
            </w:r>
            <w:r>
              <w:rPr>
                <w:rFonts w:hint="eastAsia"/>
                <w:sz w:val="24"/>
                <w:szCs w:val="24"/>
                <w:highlight w:val="none"/>
              </w:rPr>
              <w:t>次</w:t>
            </w:r>
            <w:r>
              <w:rPr>
                <w:sz w:val="24"/>
                <w:szCs w:val="24"/>
                <w:highlight w:val="none"/>
              </w:rPr>
              <w:t>)</w:t>
            </w:r>
            <w:r>
              <w:rPr>
                <w:rFonts w:hint="eastAsia"/>
                <w:sz w:val="24"/>
                <w:szCs w:val="24"/>
                <w:highlight w:val="none"/>
              </w:rPr>
              <w:t>计算，每天体检人数按220人计，则产生生活垃圾22kg/d；</w:t>
            </w:r>
            <w:r>
              <w:rPr>
                <w:rFonts w:hint="eastAsia"/>
                <w:color w:val="000000"/>
                <w:sz w:val="24"/>
                <w:szCs w:val="24"/>
                <w:highlight w:val="none"/>
              </w:rPr>
              <w:t>健康养护人员产生生活垃圾按照0.2</w:t>
            </w:r>
            <w:r>
              <w:rPr>
                <w:sz w:val="24"/>
                <w:szCs w:val="24"/>
                <w:highlight w:val="none"/>
              </w:rPr>
              <w:t>kg/(</w:t>
            </w:r>
            <w:r>
              <w:rPr>
                <w:rFonts w:hint="eastAsia"/>
                <w:sz w:val="24"/>
                <w:szCs w:val="24"/>
                <w:highlight w:val="none"/>
              </w:rPr>
              <w:t>人</w:t>
            </w:r>
            <w:r>
              <w:rPr>
                <w:sz w:val="24"/>
                <w:szCs w:val="24"/>
                <w:highlight w:val="none"/>
              </w:rPr>
              <w:t>·d)</w:t>
            </w:r>
            <w:r>
              <w:rPr>
                <w:rFonts w:hint="eastAsia"/>
                <w:sz w:val="24"/>
                <w:szCs w:val="24"/>
                <w:highlight w:val="none"/>
              </w:rPr>
              <w:t>计算，人数按80人计，则产生生活垃圾16kg/d；则共产生生活垃圾68kg/d（22.44t/a）。收集后定期交由环卫部门处置。</w:t>
            </w:r>
          </w:p>
          <w:p>
            <w:pPr>
              <w:spacing w:line="480" w:lineRule="exact"/>
              <w:ind w:firstLine="480" w:firstLineChars="200"/>
              <w:rPr>
                <w:sz w:val="24"/>
                <w:szCs w:val="24"/>
                <w:highlight w:val="none"/>
              </w:rPr>
            </w:pPr>
            <w:r>
              <w:rPr>
                <w:rFonts w:hint="eastAsia" w:ascii="宋体" w:hAnsi="宋体" w:cs="宋体"/>
                <w:sz w:val="24"/>
                <w:szCs w:val="24"/>
                <w:highlight w:val="none"/>
              </w:rPr>
              <w:t>②</w:t>
            </w:r>
            <w:r>
              <w:rPr>
                <w:rFonts w:hint="eastAsia"/>
                <w:sz w:val="24"/>
                <w:szCs w:val="24"/>
                <w:highlight w:val="none"/>
              </w:rPr>
              <w:t>医疗废物</w:t>
            </w:r>
          </w:p>
          <w:p>
            <w:pPr>
              <w:spacing w:line="480" w:lineRule="exact"/>
              <w:ind w:firstLine="480" w:firstLineChars="200"/>
              <w:rPr>
                <w:rFonts w:hint="eastAsia"/>
                <w:sz w:val="21"/>
                <w:szCs w:val="21"/>
                <w:highlight w:val="none"/>
              </w:rPr>
            </w:pPr>
            <w:r>
              <w:rPr>
                <w:rFonts w:hint="eastAsia"/>
                <w:sz w:val="24"/>
                <w:szCs w:val="24"/>
                <w:highlight w:val="none"/>
              </w:rPr>
              <w:t>项目产生的医疗废物属于《国家危险废物名录》（</w:t>
            </w:r>
            <w:r>
              <w:rPr>
                <w:sz w:val="24"/>
                <w:szCs w:val="24"/>
                <w:highlight w:val="none"/>
              </w:rPr>
              <w:t>2016</w:t>
            </w:r>
            <w:r>
              <w:rPr>
                <w:rFonts w:hint="eastAsia"/>
                <w:sz w:val="24"/>
                <w:szCs w:val="24"/>
                <w:highlight w:val="none"/>
              </w:rPr>
              <w:t>年）中的</w:t>
            </w:r>
            <w:r>
              <w:rPr>
                <w:sz w:val="24"/>
                <w:szCs w:val="24"/>
                <w:highlight w:val="none"/>
              </w:rPr>
              <w:t xml:space="preserve">“HW01 </w:t>
            </w:r>
            <w:r>
              <w:rPr>
                <w:rFonts w:hint="eastAsia"/>
                <w:sz w:val="24"/>
                <w:szCs w:val="24"/>
                <w:highlight w:val="none"/>
              </w:rPr>
              <w:t>医疗废物</w:t>
            </w:r>
            <w:r>
              <w:rPr>
                <w:sz w:val="24"/>
                <w:szCs w:val="24"/>
                <w:highlight w:val="none"/>
              </w:rPr>
              <w:t>”</w:t>
            </w:r>
            <w:r>
              <w:rPr>
                <w:rFonts w:hint="eastAsia"/>
                <w:sz w:val="24"/>
                <w:szCs w:val="24"/>
                <w:highlight w:val="none"/>
              </w:rPr>
              <w:t>，包括①医疗固废：一次性用具等属于感染性废物（831-001-01）；②医药固废分析试剂、过期药品等属于药物性废物（831-005-01）。医疗废物暂存于医疗废物暂存间，交由</w:t>
            </w:r>
            <w:r>
              <w:rPr>
                <w:rFonts w:hint="eastAsia"/>
                <w:sz w:val="24"/>
                <w:szCs w:val="24"/>
                <w:highlight w:val="none"/>
                <w:lang w:eastAsia="zh-CN"/>
              </w:rPr>
              <w:t>有资质单位</w:t>
            </w:r>
            <w:r>
              <w:rPr>
                <w:rFonts w:hint="eastAsia"/>
                <w:sz w:val="24"/>
                <w:szCs w:val="24"/>
                <w:highlight w:val="none"/>
              </w:rPr>
              <w:t>处置。</w:t>
            </w:r>
          </w:p>
          <w:p>
            <w:pPr>
              <w:adjustRightInd w:val="0"/>
              <w:snapToGrid w:val="0"/>
              <w:spacing w:line="480" w:lineRule="exact"/>
              <w:ind w:firstLine="480" w:firstLineChars="200"/>
              <w:rPr>
                <w:rFonts w:hint="eastAsia"/>
                <w:sz w:val="24"/>
                <w:szCs w:val="24"/>
                <w:highlight w:val="none"/>
              </w:rPr>
            </w:pPr>
            <w:r>
              <w:rPr>
                <w:rFonts w:hint="eastAsia"/>
                <w:sz w:val="24"/>
                <w:szCs w:val="24"/>
                <w:highlight w:val="none"/>
              </w:rPr>
              <w:t>项目体检人员医疗废物按每日每人次0.2kg计，日受检人数220人计，产生医疗废物44</w:t>
            </w:r>
            <w:r>
              <w:rPr>
                <w:sz w:val="24"/>
                <w:szCs w:val="24"/>
                <w:highlight w:val="none"/>
              </w:rPr>
              <w:t>kg/d</w:t>
            </w:r>
            <w:r>
              <w:rPr>
                <w:rFonts w:hint="eastAsia"/>
                <w:sz w:val="24"/>
                <w:szCs w:val="24"/>
                <w:highlight w:val="none"/>
              </w:rPr>
              <w:t>（14.52</w:t>
            </w:r>
            <w:r>
              <w:rPr>
                <w:sz w:val="24"/>
                <w:szCs w:val="24"/>
                <w:highlight w:val="none"/>
              </w:rPr>
              <w:t>t/a</w:t>
            </w:r>
            <w:r>
              <w:rPr>
                <w:rFonts w:hint="eastAsia"/>
                <w:sz w:val="24"/>
                <w:szCs w:val="24"/>
                <w:highlight w:val="none"/>
              </w:rPr>
              <w:t>）；健康养护人员产生医疗废物按每日每人次0.4kg计，按每日80人计，则产生医疗废物32</w:t>
            </w:r>
            <w:r>
              <w:rPr>
                <w:sz w:val="24"/>
                <w:szCs w:val="24"/>
                <w:highlight w:val="none"/>
              </w:rPr>
              <w:t>kg/d</w:t>
            </w:r>
            <w:r>
              <w:rPr>
                <w:rFonts w:hint="eastAsia"/>
                <w:sz w:val="24"/>
                <w:szCs w:val="24"/>
                <w:highlight w:val="none"/>
              </w:rPr>
              <w:t>（10.56</w:t>
            </w:r>
            <w:r>
              <w:rPr>
                <w:sz w:val="24"/>
                <w:szCs w:val="24"/>
                <w:highlight w:val="none"/>
              </w:rPr>
              <w:t>t/a</w:t>
            </w:r>
            <w:r>
              <w:rPr>
                <w:rFonts w:hint="eastAsia"/>
                <w:sz w:val="24"/>
                <w:szCs w:val="24"/>
                <w:highlight w:val="none"/>
              </w:rPr>
              <w:t>）；因此共产生医疗废物76</w:t>
            </w:r>
            <w:r>
              <w:rPr>
                <w:sz w:val="24"/>
                <w:szCs w:val="24"/>
                <w:highlight w:val="none"/>
              </w:rPr>
              <w:t>kg/d</w:t>
            </w:r>
            <w:r>
              <w:rPr>
                <w:rFonts w:hint="eastAsia"/>
                <w:sz w:val="24"/>
                <w:szCs w:val="24"/>
                <w:highlight w:val="none"/>
              </w:rPr>
              <w:t>（25.08</w:t>
            </w:r>
            <w:r>
              <w:rPr>
                <w:sz w:val="24"/>
                <w:szCs w:val="24"/>
                <w:highlight w:val="none"/>
              </w:rPr>
              <w:t>t/a</w:t>
            </w:r>
            <w:r>
              <w:rPr>
                <w:rFonts w:hint="eastAsia"/>
                <w:sz w:val="24"/>
                <w:szCs w:val="24"/>
                <w:highlight w:val="none"/>
              </w:rPr>
              <w:t>）。</w:t>
            </w:r>
          </w:p>
          <w:p>
            <w:pPr>
              <w:adjustRightInd w:val="0"/>
              <w:snapToGrid w:val="0"/>
              <w:spacing w:line="480" w:lineRule="exact"/>
              <w:ind w:firstLine="480" w:firstLineChars="200"/>
              <w:rPr>
                <w:rFonts w:hint="eastAsia"/>
                <w:sz w:val="24"/>
                <w:highlight w:val="none"/>
                <w:lang w:eastAsia="zh-CN"/>
              </w:rPr>
            </w:pPr>
            <w:r>
              <w:rPr>
                <w:rFonts w:hint="default" w:ascii="Calibri" w:hAnsi="Calibri" w:cs="Calibri"/>
                <w:sz w:val="24"/>
                <w:highlight w:val="none"/>
              </w:rPr>
              <w:t>③</w:t>
            </w:r>
            <w:r>
              <w:rPr>
                <w:rFonts w:hint="eastAsia"/>
                <w:sz w:val="24"/>
                <w:highlight w:val="none"/>
                <w:lang w:eastAsia="zh-CN"/>
              </w:rPr>
              <w:t>化粪池污泥</w:t>
            </w:r>
          </w:p>
          <w:p>
            <w:pPr>
              <w:adjustRightInd w:val="0"/>
              <w:snapToGrid w:val="0"/>
              <w:spacing w:line="480" w:lineRule="exact"/>
              <w:ind w:firstLine="480" w:firstLineChars="200"/>
              <w:rPr>
                <w:sz w:val="24"/>
                <w:szCs w:val="24"/>
                <w:highlight w:val="none"/>
              </w:rPr>
            </w:pPr>
            <w:r>
              <w:rPr>
                <w:rFonts w:hint="eastAsia"/>
                <w:sz w:val="24"/>
                <w:szCs w:val="24"/>
                <w:highlight w:val="none"/>
              </w:rPr>
              <w:t>化粪池污泥来自医务人员</w:t>
            </w:r>
            <w:r>
              <w:rPr>
                <w:rFonts w:hint="eastAsia"/>
                <w:sz w:val="24"/>
                <w:szCs w:val="24"/>
                <w:highlight w:val="none"/>
                <w:lang w:eastAsia="zh-CN"/>
              </w:rPr>
              <w:t>和体检人员及健康养护人员</w:t>
            </w:r>
            <w:r>
              <w:rPr>
                <w:rFonts w:hint="eastAsia"/>
                <w:sz w:val="24"/>
                <w:szCs w:val="24"/>
                <w:highlight w:val="none"/>
              </w:rPr>
              <w:t>的粪便，污泥量取决于化粪池的清掏周期和每人每日的粪便量。每人每日的粪便量约为150g</w:t>
            </w:r>
            <w:r>
              <w:rPr>
                <w:rFonts w:hint="eastAsia"/>
                <w:sz w:val="24"/>
                <w:szCs w:val="24"/>
                <w:highlight w:val="none"/>
                <w:lang w:eastAsia="zh-CN"/>
              </w:rPr>
              <w:t>，项目按每天</w:t>
            </w:r>
            <w:r>
              <w:rPr>
                <w:rFonts w:hint="eastAsia"/>
                <w:sz w:val="24"/>
                <w:szCs w:val="24"/>
                <w:highlight w:val="none"/>
                <w:lang w:val="en-US" w:eastAsia="zh-CN"/>
              </w:rPr>
              <w:t>360人，则每天产生粪便量为39kg（12.87t/a）。</w:t>
            </w:r>
            <w:r>
              <w:rPr>
                <w:rFonts w:hint="eastAsia"/>
                <w:color w:val="000000"/>
                <w:sz w:val="24"/>
                <w:szCs w:val="24"/>
                <w:highlight w:val="none"/>
              </w:rPr>
              <w:t>根据</w:t>
            </w:r>
            <w:r>
              <w:rPr>
                <w:color w:val="000000"/>
                <w:sz w:val="24"/>
                <w:szCs w:val="24"/>
                <w:highlight w:val="none"/>
              </w:rPr>
              <w:t>《医疗机构水污染物排放标准》（GB18466-2005）</w:t>
            </w:r>
            <w:r>
              <w:rPr>
                <w:rFonts w:hint="eastAsia"/>
                <w:color w:val="000000"/>
                <w:sz w:val="24"/>
                <w:szCs w:val="24"/>
                <w:highlight w:val="none"/>
              </w:rPr>
              <w:t>“栅渣、化粪池污泥和污水处理站污泥属危险废物，按照危险废物进行处理处置”，栅渣和污水处理站污泥根据实际运行情况进行清理，化粪池污泥每</w:t>
            </w:r>
            <w:r>
              <w:rPr>
                <w:rFonts w:hint="eastAsia"/>
                <w:color w:val="000000"/>
                <w:sz w:val="24"/>
                <w:szCs w:val="24"/>
                <w:highlight w:val="none"/>
                <w:lang w:eastAsia="zh-CN"/>
              </w:rPr>
              <w:t>半</w:t>
            </w:r>
            <w:r>
              <w:rPr>
                <w:rFonts w:hint="eastAsia"/>
                <w:color w:val="000000"/>
                <w:sz w:val="24"/>
                <w:szCs w:val="24"/>
                <w:highlight w:val="none"/>
              </w:rPr>
              <w:t>年清掏一次，污泥</w:t>
            </w:r>
            <w:r>
              <w:rPr>
                <w:bCs/>
                <w:sz w:val="24"/>
                <w:szCs w:val="24"/>
                <w:highlight w:val="none"/>
              </w:rPr>
              <w:t>经过</w:t>
            </w:r>
            <w:r>
              <w:rPr>
                <w:rFonts w:hint="eastAsia"/>
                <w:bCs/>
                <w:sz w:val="24"/>
                <w:szCs w:val="24"/>
                <w:highlight w:val="none"/>
              </w:rPr>
              <w:t>消毒满足</w:t>
            </w:r>
            <w:r>
              <w:rPr>
                <w:color w:val="000000"/>
                <w:sz w:val="24"/>
                <w:szCs w:val="24"/>
                <w:highlight w:val="none"/>
              </w:rPr>
              <w:t>《医疗机构水污染物排放标准》（GB18466-2005）</w:t>
            </w:r>
            <w:r>
              <w:rPr>
                <w:rFonts w:hint="eastAsia"/>
                <w:color w:val="000000"/>
                <w:sz w:val="24"/>
                <w:szCs w:val="24"/>
                <w:highlight w:val="none"/>
              </w:rPr>
              <w:t>表4要求后，</w:t>
            </w:r>
            <w:r>
              <w:rPr>
                <w:bCs/>
                <w:sz w:val="24"/>
                <w:szCs w:val="24"/>
                <w:highlight w:val="none"/>
              </w:rPr>
              <w:t>交由</w:t>
            </w:r>
            <w:r>
              <w:rPr>
                <w:rFonts w:hint="eastAsia"/>
                <w:sz w:val="24"/>
                <w:szCs w:val="24"/>
                <w:highlight w:val="none"/>
              </w:rPr>
              <w:t>资质单位</w:t>
            </w:r>
            <w:r>
              <w:rPr>
                <w:sz w:val="24"/>
                <w:szCs w:val="24"/>
                <w:highlight w:val="none"/>
              </w:rPr>
              <w:t>处置。</w:t>
            </w:r>
          </w:p>
          <w:p>
            <w:pPr>
              <w:adjustRightInd w:val="0"/>
              <w:snapToGrid w:val="0"/>
              <w:spacing w:line="480" w:lineRule="exact"/>
              <w:ind w:firstLine="480" w:firstLineChars="200"/>
              <w:rPr>
                <w:rFonts w:hint="eastAsia"/>
                <w:sz w:val="24"/>
                <w:szCs w:val="24"/>
                <w:highlight w:val="none"/>
              </w:rPr>
            </w:pPr>
            <w:r>
              <w:rPr>
                <w:sz w:val="24"/>
                <w:highlight w:val="none"/>
              </w:rPr>
              <w:t>项目产生的固体废物</w:t>
            </w:r>
            <w:r>
              <w:rPr>
                <w:rFonts w:hint="eastAsia"/>
                <w:sz w:val="24"/>
                <w:szCs w:val="24"/>
                <w:highlight w:val="none"/>
              </w:rPr>
              <w:t>均得到了合理处置，不会对周围环境产生不良影响。</w:t>
            </w:r>
          </w:p>
          <w:p>
            <w:pPr>
              <w:spacing w:line="480" w:lineRule="exact"/>
              <w:jc w:val="center"/>
              <w:rPr>
                <w:b/>
                <w:bCs/>
                <w:sz w:val="24"/>
                <w:highlight w:val="none"/>
              </w:rPr>
            </w:pPr>
          </w:p>
          <w:p>
            <w:pPr>
              <w:spacing w:line="480" w:lineRule="exact"/>
              <w:jc w:val="center"/>
              <w:rPr>
                <w:b/>
                <w:bCs/>
                <w:sz w:val="24"/>
                <w:highlight w:val="none"/>
              </w:rPr>
            </w:pPr>
          </w:p>
          <w:p>
            <w:pPr>
              <w:spacing w:line="480" w:lineRule="exact"/>
              <w:jc w:val="center"/>
              <w:rPr>
                <w:b/>
                <w:bCs/>
                <w:sz w:val="24"/>
                <w:highlight w:val="none"/>
              </w:rPr>
            </w:pPr>
          </w:p>
          <w:p>
            <w:pPr>
              <w:spacing w:line="480" w:lineRule="exact"/>
              <w:jc w:val="center"/>
              <w:rPr>
                <w:b/>
                <w:bCs/>
                <w:sz w:val="24"/>
                <w:highlight w:val="none"/>
              </w:rPr>
            </w:pPr>
          </w:p>
          <w:p>
            <w:pPr>
              <w:spacing w:line="480" w:lineRule="exact"/>
              <w:jc w:val="center"/>
              <w:rPr>
                <w:b/>
                <w:bCs/>
                <w:sz w:val="24"/>
                <w:highlight w:val="none"/>
              </w:rPr>
            </w:pPr>
            <w:r>
              <w:rPr>
                <w:b/>
                <w:bCs/>
                <w:sz w:val="24"/>
                <w:highlight w:val="none"/>
              </w:rPr>
              <w:t>表</w:t>
            </w:r>
            <w:r>
              <w:rPr>
                <w:rFonts w:hint="eastAsia"/>
                <w:b/>
                <w:bCs/>
                <w:sz w:val="24"/>
                <w:highlight w:val="none"/>
                <w:lang w:val="en-US" w:eastAsia="zh-CN"/>
              </w:rPr>
              <w:t xml:space="preserve">19  </w:t>
            </w:r>
            <w:r>
              <w:rPr>
                <w:b/>
                <w:bCs/>
                <w:sz w:val="24"/>
                <w:highlight w:val="none"/>
              </w:rPr>
              <w:t xml:space="preserve">  危险废物产生、治理和排放情况表</w:t>
            </w:r>
          </w:p>
          <w:tbl>
            <w:tblPr>
              <w:tblStyle w:val="36"/>
              <w:tblpPr w:leftFromText="180" w:rightFromText="180" w:vertAnchor="text" w:tblpXSpec="center" w:tblpY="56"/>
              <w:tblOverlap w:val="never"/>
              <w:tblW w:w="89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7"/>
              <w:gridCol w:w="909"/>
              <w:gridCol w:w="1071"/>
              <w:gridCol w:w="784"/>
              <w:gridCol w:w="884"/>
              <w:gridCol w:w="659"/>
              <w:gridCol w:w="1021"/>
              <w:gridCol w:w="704"/>
              <w:gridCol w:w="640"/>
              <w:gridCol w:w="1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097"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危废名称</w:t>
                  </w:r>
                </w:p>
              </w:tc>
              <w:tc>
                <w:tcPr>
                  <w:tcW w:w="909"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危险废物类别</w:t>
                  </w:r>
                </w:p>
              </w:tc>
              <w:tc>
                <w:tcPr>
                  <w:tcW w:w="1071"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危险废物代码</w:t>
                  </w:r>
                </w:p>
              </w:tc>
              <w:tc>
                <w:tcPr>
                  <w:tcW w:w="784"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产生量（t/a）</w:t>
                  </w:r>
                </w:p>
              </w:tc>
              <w:tc>
                <w:tcPr>
                  <w:tcW w:w="884"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产生工序及装置</w:t>
                  </w:r>
                </w:p>
              </w:tc>
              <w:tc>
                <w:tcPr>
                  <w:tcW w:w="659"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形态</w:t>
                  </w:r>
                </w:p>
              </w:tc>
              <w:tc>
                <w:tcPr>
                  <w:tcW w:w="1021"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主要</w:t>
                  </w:r>
                </w:p>
                <w:p>
                  <w:pPr>
                    <w:adjustRightInd w:val="0"/>
                    <w:snapToGrid w:val="0"/>
                    <w:spacing w:line="240" w:lineRule="auto"/>
                    <w:jc w:val="center"/>
                    <w:rPr>
                      <w:b w:val="0"/>
                      <w:bCs w:val="0"/>
                      <w:szCs w:val="21"/>
                      <w:highlight w:val="none"/>
                    </w:rPr>
                  </w:pPr>
                  <w:r>
                    <w:rPr>
                      <w:b w:val="0"/>
                      <w:bCs w:val="0"/>
                      <w:szCs w:val="21"/>
                      <w:highlight w:val="none"/>
                    </w:rPr>
                    <w:t>成分</w:t>
                  </w:r>
                </w:p>
              </w:tc>
              <w:tc>
                <w:tcPr>
                  <w:tcW w:w="704"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产生周期</w:t>
                  </w:r>
                </w:p>
              </w:tc>
              <w:tc>
                <w:tcPr>
                  <w:tcW w:w="640"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危险特性</w:t>
                  </w:r>
                </w:p>
              </w:tc>
              <w:tc>
                <w:tcPr>
                  <w:tcW w:w="1205" w:type="dxa"/>
                  <w:noWrap w:val="0"/>
                  <w:vAlign w:val="center"/>
                </w:tcPr>
                <w:p>
                  <w:pPr>
                    <w:adjustRightInd w:val="0"/>
                    <w:snapToGrid w:val="0"/>
                    <w:spacing w:line="240" w:lineRule="auto"/>
                    <w:jc w:val="center"/>
                    <w:rPr>
                      <w:b w:val="0"/>
                      <w:bCs w:val="0"/>
                      <w:szCs w:val="21"/>
                      <w:highlight w:val="none"/>
                    </w:rPr>
                  </w:pPr>
                  <w:r>
                    <w:rPr>
                      <w:b w:val="0"/>
                      <w:bCs w:val="0"/>
                      <w:szCs w:val="21"/>
                      <w:highlight w:val="none"/>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1097" w:type="dxa"/>
                  <w:noWrap w:val="0"/>
                  <w:vAlign w:val="center"/>
                </w:tcPr>
                <w:p>
                  <w:pPr>
                    <w:adjustRightInd w:val="0"/>
                    <w:snapToGrid w:val="0"/>
                    <w:spacing w:line="240" w:lineRule="auto"/>
                    <w:jc w:val="center"/>
                    <w:rPr>
                      <w:rFonts w:hint="eastAsia" w:eastAsia="宋体"/>
                      <w:szCs w:val="21"/>
                      <w:highlight w:val="none"/>
                      <w:lang w:eastAsia="zh-CN"/>
                    </w:rPr>
                  </w:pPr>
                  <w:r>
                    <w:rPr>
                      <w:szCs w:val="21"/>
                      <w:highlight w:val="none"/>
                    </w:rPr>
                    <w:t>一次性</w:t>
                  </w:r>
                  <w:r>
                    <w:rPr>
                      <w:rFonts w:hint="eastAsia"/>
                      <w:szCs w:val="21"/>
                      <w:highlight w:val="none"/>
                      <w:lang w:eastAsia="zh-CN"/>
                    </w:rPr>
                    <w:t>用具</w:t>
                  </w:r>
                </w:p>
              </w:tc>
              <w:tc>
                <w:tcPr>
                  <w:tcW w:w="909" w:type="dxa"/>
                  <w:noWrap w:val="0"/>
                  <w:vAlign w:val="center"/>
                </w:tcPr>
                <w:p>
                  <w:pPr>
                    <w:adjustRightInd w:val="0"/>
                    <w:snapToGrid w:val="0"/>
                    <w:spacing w:line="240" w:lineRule="auto"/>
                    <w:jc w:val="center"/>
                    <w:rPr>
                      <w:szCs w:val="21"/>
                      <w:highlight w:val="none"/>
                    </w:rPr>
                  </w:pPr>
                  <w:r>
                    <w:rPr>
                      <w:color w:val="000000"/>
                      <w:szCs w:val="21"/>
                      <w:highlight w:val="none"/>
                    </w:rPr>
                    <w:t>HW01</w:t>
                  </w:r>
                </w:p>
              </w:tc>
              <w:tc>
                <w:tcPr>
                  <w:tcW w:w="1071" w:type="dxa"/>
                  <w:noWrap w:val="0"/>
                  <w:vAlign w:val="center"/>
                </w:tcPr>
                <w:p>
                  <w:pPr>
                    <w:adjustRightInd w:val="0"/>
                    <w:snapToGrid w:val="0"/>
                    <w:spacing w:line="240" w:lineRule="auto"/>
                    <w:jc w:val="center"/>
                    <w:rPr>
                      <w:szCs w:val="21"/>
                      <w:highlight w:val="none"/>
                    </w:rPr>
                  </w:pPr>
                  <w:r>
                    <w:rPr>
                      <w:szCs w:val="21"/>
                      <w:highlight w:val="none"/>
                    </w:rPr>
                    <w:t>83100201</w:t>
                  </w:r>
                </w:p>
              </w:tc>
              <w:tc>
                <w:tcPr>
                  <w:tcW w:w="784" w:type="dxa"/>
                  <w:vMerge w:val="restart"/>
                  <w:noWrap w:val="0"/>
                  <w:vAlign w:val="center"/>
                </w:tcPr>
                <w:p>
                  <w:pPr>
                    <w:adjustRightInd w:val="0"/>
                    <w:snapToGrid w:val="0"/>
                    <w:spacing w:line="240" w:lineRule="auto"/>
                    <w:jc w:val="center"/>
                    <w:rPr>
                      <w:rFonts w:hint="default" w:eastAsia="宋体"/>
                      <w:szCs w:val="21"/>
                      <w:highlight w:val="none"/>
                      <w:lang w:val="en-US" w:eastAsia="zh-CN"/>
                    </w:rPr>
                  </w:pPr>
                  <w:r>
                    <w:rPr>
                      <w:rFonts w:hint="eastAsia"/>
                      <w:szCs w:val="21"/>
                      <w:highlight w:val="none"/>
                      <w:lang w:val="en-US" w:eastAsia="zh-CN"/>
                    </w:rPr>
                    <w:t>25.08</w:t>
                  </w:r>
                </w:p>
              </w:tc>
              <w:tc>
                <w:tcPr>
                  <w:tcW w:w="884" w:type="dxa"/>
                  <w:noWrap w:val="0"/>
                  <w:vAlign w:val="center"/>
                </w:tcPr>
                <w:p>
                  <w:pPr>
                    <w:adjustRightInd w:val="0"/>
                    <w:snapToGrid w:val="0"/>
                    <w:spacing w:line="240" w:lineRule="auto"/>
                    <w:jc w:val="center"/>
                    <w:rPr>
                      <w:rFonts w:hint="eastAsia" w:eastAsia="宋体"/>
                      <w:szCs w:val="21"/>
                      <w:highlight w:val="none"/>
                      <w:lang w:eastAsia="zh-CN"/>
                    </w:rPr>
                  </w:pPr>
                  <w:r>
                    <w:rPr>
                      <w:rFonts w:hint="eastAsia"/>
                      <w:szCs w:val="21"/>
                      <w:highlight w:val="none"/>
                      <w:lang w:eastAsia="zh-CN"/>
                    </w:rPr>
                    <w:t>体检</w:t>
                  </w:r>
                </w:p>
              </w:tc>
              <w:tc>
                <w:tcPr>
                  <w:tcW w:w="659" w:type="dxa"/>
                  <w:noWrap w:val="0"/>
                  <w:vAlign w:val="center"/>
                </w:tcPr>
                <w:p>
                  <w:pPr>
                    <w:adjustRightInd w:val="0"/>
                    <w:snapToGrid w:val="0"/>
                    <w:spacing w:line="240" w:lineRule="auto"/>
                    <w:jc w:val="center"/>
                    <w:rPr>
                      <w:szCs w:val="21"/>
                      <w:highlight w:val="none"/>
                    </w:rPr>
                  </w:pPr>
                  <w:r>
                    <w:rPr>
                      <w:szCs w:val="21"/>
                      <w:highlight w:val="none"/>
                    </w:rPr>
                    <w:t>固态</w:t>
                  </w:r>
                </w:p>
              </w:tc>
              <w:tc>
                <w:tcPr>
                  <w:tcW w:w="1021" w:type="dxa"/>
                  <w:noWrap w:val="0"/>
                  <w:vAlign w:val="center"/>
                </w:tcPr>
                <w:p>
                  <w:pPr>
                    <w:adjustRightInd w:val="0"/>
                    <w:snapToGrid w:val="0"/>
                    <w:spacing w:line="240" w:lineRule="auto"/>
                    <w:jc w:val="center"/>
                    <w:rPr>
                      <w:rFonts w:hint="eastAsia" w:eastAsia="宋体"/>
                      <w:szCs w:val="21"/>
                      <w:highlight w:val="none"/>
                      <w:lang w:eastAsia="zh-CN"/>
                    </w:rPr>
                  </w:pPr>
                  <w:r>
                    <w:rPr>
                      <w:szCs w:val="21"/>
                      <w:highlight w:val="none"/>
                    </w:rPr>
                    <w:t>一次性</w:t>
                  </w:r>
                  <w:r>
                    <w:rPr>
                      <w:rFonts w:hint="eastAsia"/>
                      <w:szCs w:val="21"/>
                      <w:highlight w:val="none"/>
                      <w:lang w:eastAsia="zh-CN"/>
                    </w:rPr>
                    <w:t>用具</w:t>
                  </w:r>
                </w:p>
              </w:tc>
              <w:tc>
                <w:tcPr>
                  <w:tcW w:w="704" w:type="dxa"/>
                  <w:vMerge w:val="restart"/>
                  <w:noWrap w:val="0"/>
                  <w:vAlign w:val="center"/>
                </w:tcPr>
                <w:p>
                  <w:pPr>
                    <w:adjustRightInd w:val="0"/>
                    <w:snapToGrid w:val="0"/>
                    <w:spacing w:line="240" w:lineRule="auto"/>
                    <w:jc w:val="center"/>
                    <w:rPr>
                      <w:rFonts w:hint="eastAsia" w:eastAsia="宋体"/>
                      <w:szCs w:val="21"/>
                      <w:highlight w:val="none"/>
                      <w:lang w:eastAsia="zh-CN"/>
                    </w:rPr>
                  </w:pPr>
                  <w:r>
                    <w:rPr>
                      <w:rFonts w:hint="eastAsia"/>
                      <w:szCs w:val="21"/>
                      <w:highlight w:val="none"/>
                      <w:lang w:eastAsia="zh-CN"/>
                    </w:rPr>
                    <w:t>视情况而定</w:t>
                  </w:r>
                </w:p>
              </w:tc>
              <w:tc>
                <w:tcPr>
                  <w:tcW w:w="640" w:type="dxa"/>
                  <w:noWrap w:val="0"/>
                  <w:vAlign w:val="center"/>
                </w:tcPr>
                <w:p>
                  <w:pPr>
                    <w:adjustRightInd w:val="0"/>
                    <w:snapToGrid w:val="0"/>
                    <w:spacing w:line="240" w:lineRule="auto"/>
                    <w:jc w:val="center"/>
                    <w:rPr>
                      <w:szCs w:val="21"/>
                      <w:highlight w:val="none"/>
                    </w:rPr>
                  </w:pPr>
                  <w:r>
                    <w:rPr>
                      <w:szCs w:val="21"/>
                      <w:highlight w:val="none"/>
                    </w:rPr>
                    <w:t>In</w:t>
                  </w:r>
                </w:p>
              </w:tc>
              <w:tc>
                <w:tcPr>
                  <w:tcW w:w="1205" w:type="dxa"/>
                  <w:vMerge w:val="restart"/>
                  <w:noWrap w:val="0"/>
                  <w:vAlign w:val="center"/>
                </w:tcPr>
                <w:p>
                  <w:pPr>
                    <w:adjustRightInd w:val="0"/>
                    <w:snapToGrid w:val="0"/>
                    <w:spacing w:line="240" w:lineRule="auto"/>
                    <w:jc w:val="center"/>
                    <w:rPr>
                      <w:szCs w:val="21"/>
                      <w:highlight w:val="none"/>
                    </w:rPr>
                  </w:pPr>
                  <w:r>
                    <w:rPr>
                      <w:szCs w:val="21"/>
                      <w:highlight w:val="none"/>
                    </w:rPr>
                    <w:t>在医疗废物暂存间暂存，按GB15562.2的规定设置警示标志，定期交由</w:t>
                  </w:r>
                  <w:r>
                    <w:rPr>
                      <w:rFonts w:hint="eastAsia"/>
                      <w:szCs w:val="21"/>
                      <w:highlight w:val="none"/>
                    </w:rPr>
                    <w:t>资质单位</w:t>
                  </w:r>
                  <w:r>
                    <w:rPr>
                      <w:szCs w:val="21"/>
                      <w:highlight w:val="none"/>
                    </w:rPr>
                    <w:t>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097" w:type="dxa"/>
                  <w:noWrap w:val="0"/>
                  <w:vAlign w:val="center"/>
                </w:tcPr>
                <w:p>
                  <w:pPr>
                    <w:adjustRightInd w:val="0"/>
                    <w:snapToGrid w:val="0"/>
                    <w:spacing w:line="240" w:lineRule="auto"/>
                    <w:jc w:val="center"/>
                    <w:rPr>
                      <w:szCs w:val="21"/>
                      <w:highlight w:val="none"/>
                    </w:rPr>
                  </w:pPr>
                  <w:r>
                    <w:rPr>
                      <w:szCs w:val="21"/>
                      <w:highlight w:val="none"/>
                    </w:rPr>
                    <w:t>废弃的一般性药品</w:t>
                  </w:r>
                </w:p>
              </w:tc>
              <w:tc>
                <w:tcPr>
                  <w:tcW w:w="909" w:type="dxa"/>
                  <w:noWrap w:val="0"/>
                  <w:vAlign w:val="center"/>
                </w:tcPr>
                <w:p>
                  <w:pPr>
                    <w:adjustRightInd w:val="0"/>
                    <w:snapToGrid w:val="0"/>
                    <w:spacing w:line="240" w:lineRule="auto"/>
                    <w:jc w:val="center"/>
                    <w:rPr>
                      <w:color w:val="000000"/>
                      <w:szCs w:val="21"/>
                      <w:highlight w:val="none"/>
                    </w:rPr>
                  </w:pPr>
                  <w:r>
                    <w:rPr>
                      <w:color w:val="000000"/>
                      <w:szCs w:val="21"/>
                      <w:highlight w:val="none"/>
                    </w:rPr>
                    <w:t>HW01</w:t>
                  </w:r>
                </w:p>
              </w:tc>
              <w:tc>
                <w:tcPr>
                  <w:tcW w:w="1071" w:type="dxa"/>
                  <w:noWrap w:val="0"/>
                  <w:vAlign w:val="center"/>
                </w:tcPr>
                <w:p>
                  <w:pPr>
                    <w:adjustRightInd w:val="0"/>
                    <w:snapToGrid w:val="0"/>
                    <w:spacing w:line="240" w:lineRule="auto"/>
                    <w:jc w:val="center"/>
                    <w:rPr>
                      <w:szCs w:val="21"/>
                      <w:highlight w:val="none"/>
                    </w:rPr>
                  </w:pPr>
                  <w:r>
                    <w:rPr>
                      <w:szCs w:val="21"/>
                      <w:highlight w:val="none"/>
                    </w:rPr>
                    <w:t>83100501</w:t>
                  </w:r>
                </w:p>
              </w:tc>
              <w:tc>
                <w:tcPr>
                  <w:tcW w:w="784" w:type="dxa"/>
                  <w:vMerge w:val="continue"/>
                  <w:noWrap w:val="0"/>
                  <w:vAlign w:val="center"/>
                </w:tcPr>
                <w:p>
                  <w:pPr>
                    <w:adjustRightInd w:val="0"/>
                    <w:snapToGrid w:val="0"/>
                    <w:spacing w:line="240" w:lineRule="auto"/>
                    <w:jc w:val="center"/>
                    <w:rPr>
                      <w:szCs w:val="21"/>
                      <w:highlight w:val="none"/>
                    </w:rPr>
                  </w:pPr>
                </w:p>
              </w:tc>
              <w:tc>
                <w:tcPr>
                  <w:tcW w:w="884" w:type="dxa"/>
                  <w:noWrap w:val="0"/>
                  <w:vAlign w:val="center"/>
                </w:tcPr>
                <w:p>
                  <w:pPr>
                    <w:adjustRightInd w:val="0"/>
                    <w:snapToGrid w:val="0"/>
                    <w:spacing w:line="240" w:lineRule="auto"/>
                    <w:jc w:val="center"/>
                    <w:rPr>
                      <w:szCs w:val="21"/>
                      <w:highlight w:val="none"/>
                    </w:rPr>
                  </w:pPr>
                  <w:r>
                    <w:rPr>
                      <w:szCs w:val="21"/>
                      <w:highlight w:val="none"/>
                    </w:rPr>
                    <w:t>治疗</w:t>
                  </w:r>
                </w:p>
              </w:tc>
              <w:tc>
                <w:tcPr>
                  <w:tcW w:w="659" w:type="dxa"/>
                  <w:noWrap w:val="0"/>
                  <w:vAlign w:val="center"/>
                </w:tcPr>
                <w:p>
                  <w:pPr>
                    <w:adjustRightInd w:val="0"/>
                    <w:snapToGrid w:val="0"/>
                    <w:spacing w:line="240" w:lineRule="auto"/>
                    <w:jc w:val="center"/>
                    <w:rPr>
                      <w:szCs w:val="21"/>
                      <w:highlight w:val="none"/>
                    </w:rPr>
                  </w:pPr>
                  <w:r>
                    <w:rPr>
                      <w:szCs w:val="21"/>
                      <w:highlight w:val="none"/>
                    </w:rPr>
                    <w:t>固-液态</w:t>
                  </w:r>
                </w:p>
              </w:tc>
              <w:tc>
                <w:tcPr>
                  <w:tcW w:w="1021" w:type="dxa"/>
                  <w:noWrap w:val="0"/>
                  <w:vAlign w:val="center"/>
                </w:tcPr>
                <w:p>
                  <w:pPr>
                    <w:adjustRightInd w:val="0"/>
                    <w:snapToGrid w:val="0"/>
                    <w:spacing w:line="240" w:lineRule="auto"/>
                    <w:jc w:val="center"/>
                    <w:rPr>
                      <w:rFonts w:hint="default" w:eastAsia="宋体"/>
                      <w:szCs w:val="21"/>
                      <w:highlight w:val="none"/>
                      <w:lang w:val="en-US" w:eastAsia="zh-CN"/>
                    </w:rPr>
                  </w:pPr>
                  <w:r>
                    <w:rPr>
                      <w:rFonts w:hint="eastAsia"/>
                      <w:szCs w:val="21"/>
                      <w:highlight w:val="none"/>
                      <w:lang w:val="en-US" w:eastAsia="zh-CN"/>
                    </w:rPr>
                    <w:t>--</w:t>
                  </w:r>
                </w:p>
              </w:tc>
              <w:tc>
                <w:tcPr>
                  <w:tcW w:w="704" w:type="dxa"/>
                  <w:vMerge w:val="continue"/>
                  <w:noWrap w:val="0"/>
                  <w:vAlign w:val="center"/>
                </w:tcPr>
                <w:p>
                  <w:pPr>
                    <w:adjustRightInd w:val="0"/>
                    <w:snapToGrid w:val="0"/>
                    <w:spacing w:line="240" w:lineRule="auto"/>
                    <w:jc w:val="center"/>
                    <w:rPr>
                      <w:szCs w:val="21"/>
                      <w:highlight w:val="none"/>
                    </w:rPr>
                  </w:pPr>
                </w:p>
              </w:tc>
              <w:tc>
                <w:tcPr>
                  <w:tcW w:w="640" w:type="dxa"/>
                  <w:noWrap w:val="0"/>
                  <w:vAlign w:val="center"/>
                </w:tcPr>
                <w:p>
                  <w:pPr>
                    <w:adjustRightInd w:val="0"/>
                    <w:snapToGrid w:val="0"/>
                    <w:spacing w:line="240" w:lineRule="auto"/>
                    <w:jc w:val="center"/>
                    <w:rPr>
                      <w:szCs w:val="21"/>
                      <w:highlight w:val="none"/>
                    </w:rPr>
                  </w:pPr>
                  <w:r>
                    <w:rPr>
                      <w:szCs w:val="21"/>
                      <w:highlight w:val="none"/>
                    </w:rPr>
                    <w:t>T</w:t>
                  </w:r>
                </w:p>
              </w:tc>
              <w:tc>
                <w:tcPr>
                  <w:tcW w:w="1205" w:type="dxa"/>
                  <w:vMerge w:val="continue"/>
                  <w:noWrap w:val="0"/>
                  <w:vAlign w:val="center"/>
                </w:tcPr>
                <w:p>
                  <w:pPr>
                    <w:adjustRightInd w:val="0"/>
                    <w:snapToGrid w:val="0"/>
                    <w:spacing w:line="240" w:lineRule="auto"/>
                    <w:jc w:val="center"/>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097" w:type="dxa"/>
                  <w:noWrap w:val="0"/>
                  <w:vAlign w:val="center"/>
                </w:tcPr>
                <w:p>
                  <w:pPr>
                    <w:adjustRightInd w:val="0"/>
                    <w:snapToGrid w:val="0"/>
                    <w:spacing w:line="240" w:lineRule="auto"/>
                    <w:jc w:val="center"/>
                    <w:rPr>
                      <w:rFonts w:hint="eastAsia"/>
                      <w:szCs w:val="21"/>
                      <w:highlight w:val="none"/>
                    </w:rPr>
                  </w:pPr>
                  <w:r>
                    <w:rPr>
                      <w:rFonts w:hint="eastAsia"/>
                      <w:szCs w:val="21"/>
                      <w:highlight w:val="none"/>
                      <w:lang w:eastAsia="zh-CN"/>
                    </w:rPr>
                    <w:t>化粪池</w:t>
                  </w:r>
                  <w:r>
                    <w:rPr>
                      <w:rFonts w:hint="eastAsia"/>
                      <w:szCs w:val="21"/>
                      <w:highlight w:val="none"/>
                    </w:rPr>
                    <w:t>污泥</w:t>
                  </w:r>
                </w:p>
              </w:tc>
              <w:tc>
                <w:tcPr>
                  <w:tcW w:w="909" w:type="dxa"/>
                  <w:noWrap w:val="0"/>
                  <w:vAlign w:val="center"/>
                </w:tcPr>
                <w:p>
                  <w:pPr>
                    <w:adjustRightInd w:val="0"/>
                    <w:snapToGrid w:val="0"/>
                    <w:spacing w:line="240" w:lineRule="auto"/>
                    <w:jc w:val="center"/>
                    <w:rPr>
                      <w:color w:val="000000"/>
                      <w:szCs w:val="21"/>
                      <w:highlight w:val="none"/>
                    </w:rPr>
                  </w:pPr>
                  <w:r>
                    <w:rPr>
                      <w:color w:val="000000"/>
                      <w:szCs w:val="21"/>
                      <w:highlight w:val="none"/>
                    </w:rPr>
                    <w:t>HW01</w:t>
                  </w:r>
                </w:p>
              </w:tc>
              <w:tc>
                <w:tcPr>
                  <w:tcW w:w="1071" w:type="dxa"/>
                  <w:noWrap w:val="0"/>
                  <w:vAlign w:val="center"/>
                </w:tcPr>
                <w:p>
                  <w:pPr>
                    <w:adjustRightInd w:val="0"/>
                    <w:snapToGrid w:val="0"/>
                    <w:spacing w:line="240" w:lineRule="auto"/>
                    <w:jc w:val="center"/>
                    <w:rPr>
                      <w:szCs w:val="21"/>
                      <w:highlight w:val="none"/>
                    </w:rPr>
                  </w:pPr>
                  <w:r>
                    <w:rPr>
                      <w:szCs w:val="21"/>
                      <w:highlight w:val="none"/>
                    </w:rPr>
                    <w:t>83100101</w:t>
                  </w:r>
                </w:p>
              </w:tc>
              <w:tc>
                <w:tcPr>
                  <w:tcW w:w="784" w:type="dxa"/>
                  <w:noWrap w:val="0"/>
                  <w:vAlign w:val="center"/>
                </w:tcPr>
                <w:p>
                  <w:pPr>
                    <w:adjustRightInd w:val="0"/>
                    <w:snapToGrid w:val="0"/>
                    <w:spacing w:line="240" w:lineRule="auto"/>
                    <w:jc w:val="center"/>
                    <w:rPr>
                      <w:rFonts w:hint="default" w:eastAsia="宋体"/>
                      <w:szCs w:val="21"/>
                      <w:highlight w:val="none"/>
                      <w:lang w:val="en-US" w:eastAsia="zh-CN"/>
                    </w:rPr>
                  </w:pPr>
                  <w:r>
                    <w:rPr>
                      <w:rFonts w:hint="eastAsia"/>
                      <w:szCs w:val="21"/>
                      <w:highlight w:val="none"/>
                      <w:lang w:val="en-US" w:eastAsia="zh-CN"/>
                    </w:rPr>
                    <w:t>12.87</w:t>
                  </w:r>
                </w:p>
              </w:tc>
              <w:tc>
                <w:tcPr>
                  <w:tcW w:w="884" w:type="dxa"/>
                  <w:noWrap w:val="0"/>
                  <w:vAlign w:val="center"/>
                </w:tcPr>
                <w:p>
                  <w:pPr>
                    <w:adjustRightInd w:val="0"/>
                    <w:snapToGrid w:val="0"/>
                    <w:spacing w:line="240" w:lineRule="auto"/>
                    <w:jc w:val="center"/>
                    <w:rPr>
                      <w:rFonts w:hint="eastAsia"/>
                      <w:szCs w:val="21"/>
                      <w:highlight w:val="none"/>
                    </w:rPr>
                  </w:pPr>
                  <w:r>
                    <w:rPr>
                      <w:rFonts w:hint="eastAsia"/>
                      <w:szCs w:val="21"/>
                      <w:highlight w:val="none"/>
                    </w:rPr>
                    <w:t>化粪池</w:t>
                  </w:r>
                </w:p>
              </w:tc>
              <w:tc>
                <w:tcPr>
                  <w:tcW w:w="659" w:type="dxa"/>
                  <w:noWrap w:val="0"/>
                  <w:vAlign w:val="center"/>
                </w:tcPr>
                <w:p>
                  <w:pPr>
                    <w:adjustRightInd w:val="0"/>
                    <w:snapToGrid w:val="0"/>
                    <w:spacing w:line="240" w:lineRule="auto"/>
                    <w:rPr>
                      <w:rFonts w:hint="eastAsia"/>
                      <w:szCs w:val="21"/>
                      <w:highlight w:val="none"/>
                    </w:rPr>
                  </w:pPr>
                  <w:r>
                    <w:rPr>
                      <w:rFonts w:hint="eastAsia"/>
                      <w:szCs w:val="21"/>
                      <w:highlight w:val="none"/>
                    </w:rPr>
                    <w:t>固态</w:t>
                  </w:r>
                </w:p>
              </w:tc>
              <w:tc>
                <w:tcPr>
                  <w:tcW w:w="1021" w:type="dxa"/>
                  <w:noWrap w:val="0"/>
                  <w:vAlign w:val="center"/>
                </w:tcPr>
                <w:p>
                  <w:pPr>
                    <w:adjustRightInd w:val="0"/>
                    <w:snapToGrid w:val="0"/>
                    <w:spacing w:line="240" w:lineRule="auto"/>
                    <w:jc w:val="center"/>
                    <w:rPr>
                      <w:rFonts w:hint="eastAsia"/>
                      <w:szCs w:val="21"/>
                      <w:highlight w:val="none"/>
                    </w:rPr>
                  </w:pPr>
                  <w:r>
                    <w:rPr>
                      <w:rFonts w:hint="eastAsia"/>
                      <w:szCs w:val="21"/>
                      <w:highlight w:val="none"/>
                    </w:rPr>
                    <w:t>化粪池污泥</w:t>
                  </w:r>
                </w:p>
              </w:tc>
              <w:tc>
                <w:tcPr>
                  <w:tcW w:w="704" w:type="dxa"/>
                  <w:noWrap w:val="0"/>
                  <w:vAlign w:val="center"/>
                </w:tcPr>
                <w:p>
                  <w:pPr>
                    <w:adjustRightInd w:val="0"/>
                    <w:snapToGrid w:val="0"/>
                    <w:spacing w:line="240" w:lineRule="auto"/>
                    <w:jc w:val="center"/>
                    <w:rPr>
                      <w:rFonts w:hint="eastAsia"/>
                      <w:szCs w:val="21"/>
                      <w:highlight w:val="none"/>
                    </w:rPr>
                  </w:pPr>
                  <w:r>
                    <w:rPr>
                      <w:rFonts w:hint="eastAsia"/>
                      <w:szCs w:val="21"/>
                      <w:highlight w:val="none"/>
                      <w:lang w:eastAsia="zh-CN"/>
                    </w:rPr>
                    <w:t>半</w:t>
                  </w:r>
                  <w:r>
                    <w:rPr>
                      <w:rFonts w:hint="eastAsia"/>
                      <w:szCs w:val="21"/>
                      <w:highlight w:val="none"/>
                    </w:rPr>
                    <w:t>年</w:t>
                  </w:r>
                </w:p>
              </w:tc>
              <w:tc>
                <w:tcPr>
                  <w:tcW w:w="640" w:type="dxa"/>
                  <w:noWrap w:val="0"/>
                  <w:vAlign w:val="center"/>
                </w:tcPr>
                <w:p>
                  <w:pPr>
                    <w:adjustRightInd w:val="0"/>
                    <w:snapToGrid w:val="0"/>
                    <w:spacing w:line="240" w:lineRule="auto"/>
                    <w:jc w:val="center"/>
                    <w:rPr>
                      <w:szCs w:val="21"/>
                      <w:highlight w:val="none"/>
                    </w:rPr>
                  </w:pPr>
                  <w:r>
                    <w:rPr>
                      <w:szCs w:val="21"/>
                      <w:highlight w:val="none"/>
                    </w:rPr>
                    <w:t>In</w:t>
                  </w:r>
                </w:p>
              </w:tc>
              <w:tc>
                <w:tcPr>
                  <w:tcW w:w="1205" w:type="dxa"/>
                  <w:noWrap w:val="0"/>
                  <w:vAlign w:val="center"/>
                </w:tcPr>
                <w:p>
                  <w:pPr>
                    <w:adjustRightInd w:val="0"/>
                    <w:snapToGrid w:val="0"/>
                    <w:spacing w:line="240" w:lineRule="auto"/>
                    <w:jc w:val="center"/>
                    <w:rPr>
                      <w:szCs w:val="21"/>
                      <w:highlight w:val="none"/>
                    </w:rPr>
                  </w:pPr>
                  <w:r>
                    <w:rPr>
                      <w:rFonts w:hint="eastAsia"/>
                      <w:bCs/>
                      <w:color w:val="000000"/>
                      <w:szCs w:val="21"/>
                      <w:highlight w:val="none"/>
                    </w:rPr>
                    <w:t>经消毒处理后，</w:t>
                  </w:r>
                  <w:r>
                    <w:rPr>
                      <w:bCs/>
                      <w:color w:val="000000"/>
                      <w:szCs w:val="21"/>
                      <w:highlight w:val="none"/>
                    </w:rPr>
                    <w:t>交由</w:t>
                  </w:r>
                  <w:r>
                    <w:rPr>
                      <w:rFonts w:hint="eastAsia"/>
                      <w:bCs/>
                      <w:color w:val="000000"/>
                      <w:szCs w:val="21"/>
                      <w:highlight w:val="none"/>
                    </w:rPr>
                    <w:t>资质单位</w:t>
                  </w:r>
                  <w:r>
                    <w:rPr>
                      <w:bCs/>
                      <w:color w:val="000000"/>
                      <w:szCs w:val="21"/>
                      <w:highlight w:val="none"/>
                    </w:rPr>
                    <w:t>处理。</w:t>
                  </w:r>
                </w:p>
              </w:tc>
            </w:tr>
          </w:tbl>
          <w:p>
            <w:pPr>
              <w:adjustRightInd w:val="0"/>
              <w:snapToGrid w:val="0"/>
              <w:spacing w:line="480" w:lineRule="exact"/>
              <w:ind w:firstLine="482" w:firstLineChars="200"/>
              <w:jc w:val="center"/>
              <w:rPr>
                <w:rFonts w:hint="default"/>
                <w:b/>
                <w:bCs/>
                <w:sz w:val="24"/>
                <w:szCs w:val="24"/>
                <w:highlight w:val="none"/>
              </w:rPr>
            </w:pPr>
            <w:r>
              <w:rPr>
                <w:rFonts w:hint="default"/>
                <w:b/>
                <w:bCs/>
                <w:sz w:val="24"/>
                <w:szCs w:val="24"/>
                <w:highlight w:val="none"/>
              </w:rPr>
              <w:t>表</w:t>
            </w:r>
            <w:r>
              <w:rPr>
                <w:rFonts w:hint="eastAsia"/>
                <w:b/>
                <w:bCs/>
                <w:sz w:val="24"/>
                <w:szCs w:val="24"/>
                <w:highlight w:val="none"/>
                <w:lang w:val="en-US" w:eastAsia="zh-CN"/>
              </w:rPr>
              <w:t xml:space="preserve">20  </w:t>
            </w:r>
            <w:r>
              <w:rPr>
                <w:rFonts w:hint="default"/>
                <w:b/>
                <w:bCs/>
                <w:sz w:val="24"/>
                <w:szCs w:val="24"/>
                <w:highlight w:val="none"/>
              </w:rPr>
              <w:t xml:space="preserve">  项目危险废物贮存场所基本情况表</w:t>
            </w:r>
          </w:p>
          <w:tbl>
            <w:tblPr>
              <w:tblStyle w:val="36"/>
              <w:tblW w:w="89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
              <w:gridCol w:w="1019"/>
              <w:gridCol w:w="706"/>
              <w:gridCol w:w="829"/>
              <w:gridCol w:w="1022"/>
              <w:gridCol w:w="609"/>
              <w:gridCol w:w="699"/>
              <w:gridCol w:w="666"/>
              <w:gridCol w:w="643"/>
              <w:gridCol w:w="699"/>
              <w:gridCol w:w="15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491"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序号</w:t>
                  </w:r>
                </w:p>
              </w:tc>
              <w:tc>
                <w:tcPr>
                  <w:tcW w:w="1019" w:type="dxa"/>
                  <w:noWrap w:val="0"/>
                  <w:vAlign w:val="top"/>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贮存场所（设施）名称</w:t>
                  </w:r>
                </w:p>
              </w:tc>
              <w:tc>
                <w:tcPr>
                  <w:tcW w:w="706"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危险废物名称</w:t>
                  </w:r>
                </w:p>
              </w:tc>
              <w:tc>
                <w:tcPr>
                  <w:tcW w:w="829"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危险废物类别</w:t>
                  </w:r>
                </w:p>
              </w:tc>
              <w:tc>
                <w:tcPr>
                  <w:tcW w:w="1022"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危险废物代码</w:t>
                  </w:r>
                </w:p>
              </w:tc>
              <w:tc>
                <w:tcPr>
                  <w:tcW w:w="609"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位置</w:t>
                  </w:r>
                </w:p>
              </w:tc>
              <w:tc>
                <w:tcPr>
                  <w:tcW w:w="699"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占地面积</w:t>
                  </w:r>
                  <w:r>
                    <w:rPr>
                      <w:rFonts w:hint="default" w:ascii="Times New Roman" w:hAnsi="Times New Roman" w:cs="Times New Roman"/>
                      <w:snapToGrid w:val="0"/>
                      <w:color w:val="auto"/>
                      <w:spacing w:val="10"/>
                      <w:kern w:val="28"/>
                      <w:sz w:val="21"/>
                      <w:szCs w:val="21"/>
                      <w:highlight w:val="none"/>
                    </w:rPr>
                    <w:t>m</w:t>
                  </w:r>
                  <w:r>
                    <w:rPr>
                      <w:rFonts w:hint="default" w:ascii="Times New Roman" w:hAnsi="Times New Roman" w:cs="Times New Roman"/>
                      <w:snapToGrid w:val="0"/>
                      <w:color w:val="auto"/>
                      <w:spacing w:val="10"/>
                      <w:kern w:val="28"/>
                      <w:sz w:val="21"/>
                      <w:szCs w:val="21"/>
                      <w:highlight w:val="none"/>
                      <w:vertAlign w:val="superscript"/>
                    </w:rPr>
                    <w:t>2</w:t>
                  </w:r>
                </w:p>
              </w:tc>
              <w:tc>
                <w:tcPr>
                  <w:tcW w:w="666"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贮存方式</w:t>
                  </w:r>
                </w:p>
              </w:tc>
              <w:tc>
                <w:tcPr>
                  <w:tcW w:w="643"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贮存</w:t>
                  </w:r>
                </w:p>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能力</w:t>
                  </w:r>
                </w:p>
              </w:tc>
              <w:tc>
                <w:tcPr>
                  <w:tcW w:w="699"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贮存</w:t>
                  </w:r>
                </w:p>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周期</w:t>
                  </w:r>
                </w:p>
              </w:tc>
              <w:tc>
                <w:tcPr>
                  <w:tcW w:w="1532"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防渗要求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trPr>
              <w:tc>
                <w:tcPr>
                  <w:tcW w:w="491" w:type="dxa"/>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1</w:t>
                  </w:r>
                </w:p>
              </w:tc>
              <w:tc>
                <w:tcPr>
                  <w:tcW w:w="1019" w:type="dxa"/>
                  <w:vMerge w:val="restart"/>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bCs/>
                      <w:color w:val="auto"/>
                      <w:sz w:val="21"/>
                      <w:szCs w:val="21"/>
                      <w:highlight w:val="none"/>
                    </w:rPr>
                  </w:pPr>
                  <w:r>
                    <w:rPr>
                      <w:rFonts w:hint="eastAsia" w:ascii="Times New Roman" w:hAnsi="Times New Roman" w:cs="Times New Roman"/>
                      <w:bCs/>
                      <w:color w:val="auto"/>
                      <w:sz w:val="21"/>
                      <w:szCs w:val="21"/>
                      <w:highlight w:val="none"/>
                      <w:lang w:eastAsia="zh-CN"/>
                    </w:rPr>
                    <w:t>医疗废物储存</w:t>
                  </w:r>
                  <w:r>
                    <w:rPr>
                      <w:rFonts w:hint="default" w:ascii="Times New Roman" w:hAnsi="Times New Roman" w:cs="Times New Roman"/>
                      <w:bCs/>
                      <w:color w:val="auto"/>
                      <w:sz w:val="21"/>
                      <w:szCs w:val="21"/>
                      <w:highlight w:val="none"/>
                    </w:rPr>
                    <w:t>间</w:t>
                  </w:r>
                </w:p>
              </w:tc>
              <w:tc>
                <w:tcPr>
                  <w:tcW w:w="706" w:type="dxa"/>
                  <w:noWrap w:val="0"/>
                  <w:vAlign w:val="center"/>
                </w:tcPr>
                <w:p>
                  <w:pPr>
                    <w:tabs>
                      <w:tab w:val="left" w:pos="1725"/>
                    </w:tabs>
                    <w:spacing w:line="240" w:lineRule="auto"/>
                    <w:ind w:firstLine="0" w:firstLineChars="0"/>
                    <w:jc w:val="center"/>
                    <w:rPr>
                      <w:rFonts w:hint="eastAsia" w:ascii="Times New Roman" w:hAnsi="Times New Roman" w:eastAsia="宋体" w:cs="Times New Roman"/>
                      <w:bCs/>
                      <w:color w:val="auto"/>
                      <w:sz w:val="21"/>
                      <w:szCs w:val="21"/>
                      <w:highlight w:val="none"/>
                      <w:lang w:eastAsia="zh-CN"/>
                    </w:rPr>
                  </w:pPr>
                  <w:r>
                    <w:rPr>
                      <w:rFonts w:hint="eastAsia" w:ascii="Times New Roman" w:hAnsi="Times New Roman" w:cs="Times New Roman"/>
                      <w:color w:val="auto"/>
                      <w:sz w:val="21"/>
                      <w:szCs w:val="21"/>
                      <w:highlight w:val="none"/>
                      <w:lang w:eastAsia="zh-CN"/>
                    </w:rPr>
                    <w:t>医疗固废</w:t>
                  </w:r>
                </w:p>
              </w:tc>
              <w:tc>
                <w:tcPr>
                  <w:tcW w:w="829" w:type="dxa"/>
                  <w:noWrap w:val="0"/>
                  <w:vAlign w:val="center"/>
                </w:tcPr>
                <w:p>
                  <w:pPr>
                    <w:tabs>
                      <w:tab w:val="left" w:pos="1725"/>
                    </w:tabs>
                    <w:spacing w:line="240" w:lineRule="auto"/>
                    <w:ind w:firstLine="0" w:firstLineChars="0"/>
                    <w:jc w:val="center"/>
                    <w:rPr>
                      <w:rFonts w:hint="eastAsia"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HW0</w:t>
                  </w:r>
                  <w:r>
                    <w:rPr>
                      <w:rFonts w:hint="eastAsia" w:ascii="Times New Roman" w:hAnsi="Times New Roman" w:cs="Times New Roman"/>
                      <w:color w:val="auto"/>
                      <w:sz w:val="21"/>
                      <w:szCs w:val="21"/>
                      <w:highlight w:val="none"/>
                      <w:lang w:val="en-US" w:eastAsia="zh-CN"/>
                    </w:rPr>
                    <w:t>1</w:t>
                  </w:r>
                </w:p>
              </w:tc>
              <w:tc>
                <w:tcPr>
                  <w:tcW w:w="1022" w:type="dxa"/>
                  <w:noWrap w:val="0"/>
                  <w:vAlign w:val="center"/>
                </w:tcPr>
                <w:p>
                  <w:pPr>
                    <w:tabs>
                      <w:tab w:val="left" w:pos="1725"/>
                    </w:tabs>
                    <w:spacing w:line="240" w:lineRule="auto"/>
                    <w:ind w:firstLine="0" w:firstLineChars="0"/>
                    <w:jc w:val="center"/>
                    <w:rPr>
                      <w:rFonts w:hint="default" w:ascii="Times New Roman" w:hAnsi="Times New Roman" w:cs="Times New Roman"/>
                      <w:bCs/>
                      <w:color w:val="auto"/>
                      <w:sz w:val="21"/>
                      <w:szCs w:val="21"/>
                      <w:highlight w:val="none"/>
                    </w:rPr>
                  </w:pPr>
                  <w:r>
                    <w:rPr>
                      <w:rFonts w:hint="eastAsia" w:ascii="Times New Roman" w:hAnsi="Times New Roman" w:cs="Times New Roman"/>
                      <w:color w:val="auto"/>
                      <w:sz w:val="21"/>
                      <w:szCs w:val="21"/>
                      <w:highlight w:val="none"/>
                      <w:lang w:val="en-US" w:eastAsia="zh-CN"/>
                    </w:rPr>
                    <w:t>831-001-01</w:t>
                  </w:r>
                </w:p>
              </w:tc>
              <w:tc>
                <w:tcPr>
                  <w:tcW w:w="609" w:type="dxa"/>
                  <w:vMerge w:val="restart"/>
                  <w:noWrap w:val="0"/>
                  <w:vAlign w:val="center"/>
                </w:tcPr>
                <w:p>
                  <w:pPr>
                    <w:spacing w:line="240" w:lineRule="auto"/>
                    <w:ind w:firstLine="0" w:firstLineChars="0"/>
                    <w:jc w:val="center"/>
                    <w:rPr>
                      <w:rFonts w:hint="eastAsia" w:ascii="Times New Roman" w:hAnsi="Times New Roman" w:eastAsia="宋体" w:cs="Times New Roman"/>
                      <w:bCs/>
                      <w:color w:val="auto"/>
                      <w:sz w:val="21"/>
                      <w:szCs w:val="21"/>
                      <w:highlight w:val="none"/>
                      <w:lang w:eastAsia="zh-CN"/>
                    </w:rPr>
                  </w:pPr>
                  <w:r>
                    <w:rPr>
                      <w:rFonts w:hint="eastAsia" w:ascii="Times New Roman" w:hAnsi="Times New Roman" w:cs="Times New Roman"/>
                      <w:bCs/>
                      <w:color w:val="auto"/>
                      <w:sz w:val="21"/>
                      <w:szCs w:val="21"/>
                      <w:highlight w:val="none"/>
                      <w:lang w:eastAsia="zh-CN"/>
                    </w:rPr>
                    <w:t>一层西侧</w:t>
                  </w:r>
                </w:p>
              </w:tc>
              <w:tc>
                <w:tcPr>
                  <w:tcW w:w="699" w:type="dxa"/>
                  <w:vMerge w:val="restart"/>
                  <w:noWrap w:val="0"/>
                  <w:vAlign w:val="center"/>
                </w:tcPr>
                <w:p>
                  <w:pPr>
                    <w:spacing w:line="240" w:lineRule="auto"/>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cs="Times New Roman"/>
                      <w:snapToGrid w:val="0"/>
                      <w:color w:val="auto"/>
                      <w:spacing w:val="10"/>
                      <w:kern w:val="28"/>
                      <w:sz w:val="21"/>
                      <w:szCs w:val="21"/>
                      <w:highlight w:val="none"/>
                      <w:lang w:val="en-US" w:eastAsia="zh-CN"/>
                    </w:rPr>
                    <w:t>10</w:t>
                  </w:r>
                </w:p>
              </w:tc>
              <w:tc>
                <w:tcPr>
                  <w:tcW w:w="666" w:type="dxa"/>
                  <w:vMerge w:val="restart"/>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kern w:val="24"/>
                      <w:sz w:val="21"/>
                      <w:szCs w:val="21"/>
                      <w:highlight w:val="none"/>
                    </w:rPr>
                    <w:t>耐磨蚀容器收集</w:t>
                  </w:r>
                </w:p>
              </w:tc>
              <w:tc>
                <w:tcPr>
                  <w:tcW w:w="643" w:type="dxa"/>
                  <w:vMerge w:val="restart"/>
                  <w:noWrap w:val="0"/>
                  <w:vAlign w:val="center"/>
                </w:tcPr>
                <w:p>
                  <w:pPr>
                    <w:tabs>
                      <w:tab w:val="left" w:pos="1725"/>
                    </w:tabs>
                    <w:spacing w:line="240" w:lineRule="auto"/>
                    <w:ind w:firstLine="0" w:firstLineChars="0"/>
                    <w:jc w:val="center"/>
                    <w:rPr>
                      <w:rFonts w:hint="default" w:ascii="Times New Roman" w:hAnsi="Times New Roman" w:cs="Times New Roman"/>
                      <w:bCs/>
                      <w:color w:val="auto"/>
                      <w:sz w:val="21"/>
                      <w:szCs w:val="21"/>
                      <w:highlight w:val="none"/>
                    </w:rPr>
                  </w:pPr>
                  <w:r>
                    <w:rPr>
                      <w:rFonts w:hint="eastAsia" w:ascii="Times New Roman" w:hAnsi="Times New Roman" w:cs="Times New Roman"/>
                      <w:bCs/>
                      <w:color w:val="auto"/>
                      <w:sz w:val="21"/>
                      <w:szCs w:val="21"/>
                      <w:highlight w:val="none"/>
                      <w:lang w:val="en-US" w:eastAsia="zh-CN"/>
                    </w:rPr>
                    <w:t>2</w:t>
                  </w:r>
                  <w:r>
                    <w:rPr>
                      <w:rFonts w:hint="default" w:ascii="Times New Roman" w:hAnsi="Times New Roman" w:cs="Times New Roman"/>
                      <w:bCs/>
                      <w:color w:val="auto"/>
                      <w:sz w:val="21"/>
                      <w:szCs w:val="21"/>
                      <w:highlight w:val="none"/>
                    </w:rPr>
                    <w:t>t</w:t>
                  </w:r>
                </w:p>
              </w:tc>
              <w:tc>
                <w:tcPr>
                  <w:tcW w:w="699" w:type="dxa"/>
                  <w:noWrap w:val="0"/>
                  <w:vAlign w:val="center"/>
                </w:tcPr>
                <w:p>
                  <w:pPr>
                    <w:snapToGrid w:val="0"/>
                    <w:spacing w:line="240" w:lineRule="auto"/>
                    <w:ind w:left="-105" w:leftChars="-50" w:right="-105" w:rightChars="-50" w:firstLine="0" w:firstLineChars="0"/>
                    <w:jc w:val="center"/>
                    <w:rPr>
                      <w:rFonts w:hint="eastAsia" w:ascii="Times New Roman" w:hAnsi="Times New Roman" w:eastAsia="宋体" w:cs="Times New Roman"/>
                      <w:bCs/>
                      <w:color w:val="auto"/>
                      <w:sz w:val="21"/>
                      <w:szCs w:val="21"/>
                      <w:highlight w:val="none"/>
                      <w:lang w:eastAsia="zh-CN"/>
                    </w:rPr>
                  </w:pPr>
                  <w:r>
                    <w:rPr>
                      <w:rFonts w:hint="eastAsia" w:ascii="Times New Roman" w:hAnsi="Times New Roman" w:cs="Times New Roman"/>
                      <w:bCs/>
                      <w:snapToGrid w:val="0"/>
                      <w:color w:val="auto"/>
                      <w:spacing w:val="10"/>
                      <w:kern w:val="28"/>
                      <w:sz w:val="21"/>
                      <w:szCs w:val="21"/>
                      <w:highlight w:val="none"/>
                      <w:lang w:val="en-US" w:eastAsia="zh-CN"/>
                    </w:rPr>
                    <w:t>2天</w:t>
                  </w:r>
                </w:p>
              </w:tc>
              <w:tc>
                <w:tcPr>
                  <w:tcW w:w="1532" w:type="dxa"/>
                  <w:vMerge w:val="restart"/>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bCs/>
                      <w:snapToGrid w:val="0"/>
                      <w:color w:val="auto"/>
                      <w:spacing w:val="10"/>
                      <w:kern w:val="28"/>
                      <w:sz w:val="21"/>
                      <w:szCs w:val="21"/>
                      <w:highlight w:val="none"/>
                    </w:rPr>
                  </w:pPr>
                  <w:r>
                    <w:rPr>
                      <w:rFonts w:hint="default" w:ascii="Times New Roman" w:hAnsi="Times New Roman" w:cs="Times New Roman"/>
                      <w:color w:val="auto"/>
                      <w:sz w:val="21"/>
                      <w:szCs w:val="21"/>
                      <w:highlight w:val="none"/>
                    </w:rPr>
                    <w:t>地面采取2mm厚高密度聚乙烯防渗，渗透系数≤1.0×10</w:t>
                  </w:r>
                  <w:r>
                    <w:rPr>
                      <w:rFonts w:hint="default" w:ascii="Times New Roman" w:hAnsi="Times New Roman" w:cs="Times New Roman"/>
                      <w:color w:val="auto"/>
                      <w:sz w:val="21"/>
                      <w:szCs w:val="21"/>
                      <w:highlight w:val="none"/>
                      <w:vertAlign w:val="superscript"/>
                    </w:rPr>
                    <w:t>-10</w:t>
                  </w:r>
                  <w:r>
                    <w:rPr>
                      <w:rFonts w:hint="default" w:ascii="Times New Roman" w:hAnsi="Times New Roman" w:cs="Times New Roman"/>
                      <w:color w:val="auto"/>
                      <w:sz w:val="21"/>
                      <w:szCs w:val="21"/>
                      <w:highlight w:val="none"/>
                    </w:rPr>
                    <w:t>cm/s（或采取其他具有同等防渗效力的防渗材料）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491" w:type="dxa"/>
                  <w:noWrap w:val="0"/>
                  <w:vAlign w:val="center"/>
                </w:tcPr>
                <w:p>
                  <w:pPr>
                    <w:spacing w:line="240" w:lineRule="auto"/>
                    <w:ind w:firstLine="0" w:firstLine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2</w:t>
                  </w:r>
                </w:p>
              </w:tc>
              <w:tc>
                <w:tcPr>
                  <w:tcW w:w="1019" w:type="dxa"/>
                  <w:vMerge w:val="continue"/>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bCs/>
                      <w:color w:val="auto"/>
                      <w:sz w:val="21"/>
                      <w:szCs w:val="21"/>
                      <w:highlight w:val="none"/>
                    </w:rPr>
                  </w:pPr>
                </w:p>
              </w:tc>
              <w:tc>
                <w:tcPr>
                  <w:tcW w:w="706" w:type="dxa"/>
                  <w:noWrap w:val="0"/>
                  <w:vAlign w:val="center"/>
                </w:tcPr>
                <w:p>
                  <w:pPr>
                    <w:tabs>
                      <w:tab w:val="left" w:pos="1725"/>
                    </w:tabs>
                    <w:spacing w:line="240" w:lineRule="auto"/>
                    <w:ind w:firstLine="0" w:firstLineChars="0"/>
                    <w:jc w:val="center"/>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医药固废</w:t>
                  </w:r>
                </w:p>
              </w:tc>
              <w:tc>
                <w:tcPr>
                  <w:tcW w:w="829" w:type="dxa"/>
                  <w:noWrap w:val="0"/>
                  <w:vAlign w:val="center"/>
                </w:tcPr>
                <w:p>
                  <w:pPr>
                    <w:tabs>
                      <w:tab w:val="left" w:pos="1725"/>
                    </w:tabs>
                    <w:spacing w:line="240" w:lineRule="auto"/>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HW0</w:t>
                  </w:r>
                  <w:r>
                    <w:rPr>
                      <w:rFonts w:hint="eastAsia" w:ascii="Times New Roman" w:hAnsi="Times New Roman" w:cs="Times New Roman"/>
                      <w:color w:val="auto"/>
                      <w:sz w:val="21"/>
                      <w:szCs w:val="21"/>
                      <w:highlight w:val="none"/>
                      <w:lang w:val="en-US" w:eastAsia="zh-CN"/>
                    </w:rPr>
                    <w:t>1</w:t>
                  </w:r>
                </w:p>
              </w:tc>
              <w:tc>
                <w:tcPr>
                  <w:tcW w:w="1022" w:type="dxa"/>
                  <w:noWrap w:val="0"/>
                  <w:vAlign w:val="center"/>
                </w:tcPr>
                <w:p>
                  <w:pPr>
                    <w:tabs>
                      <w:tab w:val="left" w:pos="1725"/>
                    </w:tabs>
                    <w:spacing w:line="240" w:lineRule="auto"/>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831</w:t>
                  </w:r>
                  <w:r>
                    <w:rPr>
                      <w:rFonts w:hint="default" w:ascii="Times New Roman" w:hAnsi="Times New Roman" w:cs="Times New Roman"/>
                      <w:color w:val="auto"/>
                      <w:sz w:val="21"/>
                      <w:szCs w:val="21"/>
                      <w:highlight w:val="none"/>
                    </w:rPr>
                    <w:t>-</w:t>
                  </w:r>
                  <w:r>
                    <w:rPr>
                      <w:rFonts w:hint="eastAsia" w:ascii="Times New Roman" w:hAnsi="Times New Roman" w:cs="Times New Roman"/>
                      <w:color w:val="auto"/>
                      <w:sz w:val="21"/>
                      <w:szCs w:val="21"/>
                      <w:highlight w:val="none"/>
                      <w:lang w:val="en-US" w:eastAsia="zh-CN"/>
                    </w:rPr>
                    <w:t>005</w:t>
                  </w:r>
                  <w:r>
                    <w:rPr>
                      <w:rFonts w:hint="default" w:ascii="Times New Roman" w:hAnsi="Times New Roman" w:cs="Times New Roman"/>
                      <w:color w:val="auto"/>
                      <w:sz w:val="21"/>
                      <w:szCs w:val="21"/>
                      <w:highlight w:val="none"/>
                    </w:rPr>
                    <w:t>-</w:t>
                  </w:r>
                  <w:r>
                    <w:rPr>
                      <w:rFonts w:hint="eastAsia" w:ascii="Times New Roman" w:hAnsi="Times New Roman" w:cs="Times New Roman"/>
                      <w:color w:val="auto"/>
                      <w:sz w:val="21"/>
                      <w:szCs w:val="21"/>
                      <w:highlight w:val="none"/>
                      <w:lang w:val="en-US" w:eastAsia="zh-CN"/>
                    </w:rPr>
                    <w:t>01</w:t>
                  </w:r>
                </w:p>
              </w:tc>
              <w:tc>
                <w:tcPr>
                  <w:tcW w:w="609" w:type="dxa"/>
                  <w:vMerge w:val="continue"/>
                  <w:noWrap w:val="0"/>
                  <w:vAlign w:val="center"/>
                </w:tcPr>
                <w:p>
                  <w:pPr>
                    <w:spacing w:line="240" w:lineRule="auto"/>
                    <w:ind w:firstLine="0" w:firstLineChars="0"/>
                    <w:jc w:val="center"/>
                    <w:rPr>
                      <w:rFonts w:hint="default" w:ascii="Times New Roman" w:hAnsi="Times New Roman" w:cs="Times New Roman"/>
                      <w:bCs/>
                      <w:color w:val="auto"/>
                      <w:sz w:val="21"/>
                      <w:szCs w:val="21"/>
                      <w:highlight w:val="none"/>
                    </w:rPr>
                  </w:pPr>
                </w:p>
              </w:tc>
              <w:tc>
                <w:tcPr>
                  <w:tcW w:w="699" w:type="dxa"/>
                  <w:vMerge w:val="continue"/>
                  <w:noWrap w:val="0"/>
                  <w:vAlign w:val="center"/>
                </w:tcPr>
                <w:p>
                  <w:pPr>
                    <w:spacing w:line="240" w:lineRule="auto"/>
                    <w:ind w:firstLine="0" w:firstLineChars="0"/>
                    <w:jc w:val="center"/>
                    <w:rPr>
                      <w:rFonts w:hint="default" w:ascii="Times New Roman" w:hAnsi="Times New Roman" w:cs="Times New Roman"/>
                      <w:snapToGrid w:val="0"/>
                      <w:color w:val="auto"/>
                      <w:spacing w:val="10"/>
                      <w:kern w:val="28"/>
                      <w:sz w:val="21"/>
                      <w:szCs w:val="21"/>
                      <w:highlight w:val="none"/>
                    </w:rPr>
                  </w:pPr>
                </w:p>
              </w:tc>
              <w:tc>
                <w:tcPr>
                  <w:tcW w:w="666" w:type="dxa"/>
                  <w:vMerge w:val="continue"/>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snapToGrid w:val="0"/>
                      <w:color w:val="auto"/>
                      <w:spacing w:val="10"/>
                      <w:kern w:val="28"/>
                      <w:sz w:val="21"/>
                      <w:szCs w:val="21"/>
                      <w:highlight w:val="none"/>
                    </w:rPr>
                  </w:pPr>
                </w:p>
              </w:tc>
              <w:tc>
                <w:tcPr>
                  <w:tcW w:w="643" w:type="dxa"/>
                  <w:vMerge w:val="continue"/>
                  <w:noWrap w:val="0"/>
                  <w:vAlign w:val="center"/>
                </w:tcPr>
                <w:p>
                  <w:pPr>
                    <w:tabs>
                      <w:tab w:val="left" w:pos="1725"/>
                    </w:tabs>
                    <w:spacing w:line="240" w:lineRule="auto"/>
                    <w:ind w:firstLine="0" w:firstLineChars="0"/>
                    <w:jc w:val="center"/>
                    <w:rPr>
                      <w:rFonts w:hint="default" w:ascii="Times New Roman" w:hAnsi="Times New Roman" w:cs="Times New Roman"/>
                      <w:snapToGrid w:val="0"/>
                      <w:color w:val="auto"/>
                      <w:spacing w:val="10"/>
                      <w:kern w:val="28"/>
                      <w:sz w:val="21"/>
                      <w:szCs w:val="21"/>
                      <w:highlight w:val="none"/>
                    </w:rPr>
                  </w:pPr>
                </w:p>
              </w:tc>
              <w:tc>
                <w:tcPr>
                  <w:tcW w:w="699" w:type="dxa"/>
                  <w:noWrap w:val="0"/>
                  <w:vAlign w:val="center"/>
                </w:tcPr>
                <w:p>
                  <w:pPr>
                    <w:snapToGrid w:val="0"/>
                    <w:spacing w:line="240" w:lineRule="auto"/>
                    <w:ind w:left="-105" w:leftChars="-50" w:right="-105" w:rightChars="-50" w:firstLine="0" w:firstLineChars="0"/>
                    <w:jc w:val="center"/>
                    <w:rPr>
                      <w:rFonts w:hint="eastAsia" w:ascii="Times New Roman" w:hAnsi="Times New Roman" w:eastAsia="宋体" w:cs="Times New Roman"/>
                      <w:bCs/>
                      <w:snapToGrid w:val="0"/>
                      <w:color w:val="auto"/>
                      <w:spacing w:val="10"/>
                      <w:kern w:val="28"/>
                      <w:sz w:val="21"/>
                      <w:szCs w:val="21"/>
                      <w:highlight w:val="none"/>
                      <w:lang w:val="en-US" w:eastAsia="zh-CN"/>
                    </w:rPr>
                  </w:pPr>
                  <w:r>
                    <w:rPr>
                      <w:rFonts w:hint="eastAsia" w:ascii="Times New Roman" w:hAnsi="Times New Roman" w:cs="Times New Roman"/>
                      <w:bCs/>
                      <w:snapToGrid w:val="0"/>
                      <w:color w:val="auto"/>
                      <w:spacing w:val="10"/>
                      <w:kern w:val="28"/>
                      <w:sz w:val="21"/>
                      <w:szCs w:val="21"/>
                      <w:highlight w:val="none"/>
                      <w:lang w:val="en-US" w:eastAsia="zh-CN"/>
                    </w:rPr>
                    <w:t>2天</w:t>
                  </w:r>
                </w:p>
              </w:tc>
              <w:tc>
                <w:tcPr>
                  <w:tcW w:w="1532" w:type="dxa"/>
                  <w:vMerge w:val="continue"/>
                  <w:noWrap w:val="0"/>
                  <w:vAlign w:val="center"/>
                </w:tcPr>
                <w:p>
                  <w:pPr>
                    <w:snapToGrid w:val="0"/>
                    <w:spacing w:line="240" w:lineRule="auto"/>
                    <w:ind w:left="-105" w:leftChars="-50" w:right="-105" w:rightChars="-50" w:firstLine="0" w:firstLineChars="0"/>
                    <w:jc w:val="center"/>
                    <w:rPr>
                      <w:rFonts w:hint="default" w:ascii="Times New Roman" w:hAnsi="Times New Roman" w:cs="Times New Roman"/>
                      <w:color w:val="auto"/>
                      <w:sz w:val="21"/>
                      <w:szCs w:val="21"/>
                      <w:highlight w:val="none"/>
                    </w:rPr>
                  </w:pPr>
                </w:p>
              </w:tc>
            </w:tr>
          </w:tbl>
          <w:p>
            <w:pPr>
              <w:pStyle w:val="6"/>
              <w:adjustRightInd w:val="0"/>
              <w:snapToGrid w:val="0"/>
              <w:spacing w:line="500" w:lineRule="exact"/>
              <w:ind w:firstLine="419" w:firstLineChars="174"/>
              <w:rPr>
                <w:b/>
                <w:sz w:val="24"/>
                <w:szCs w:val="24"/>
                <w:highlight w:val="none"/>
              </w:rPr>
            </w:pPr>
            <w:r>
              <w:rPr>
                <w:rFonts w:hint="eastAsia"/>
                <w:b/>
                <w:sz w:val="24"/>
                <w:szCs w:val="24"/>
                <w:highlight w:val="none"/>
              </w:rPr>
              <w:t>4</w:t>
            </w:r>
            <w:r>
              <w:rPr>
                <w:b/>
                <w:sz w:val="24"/>
                <w:szCs w:val="24"/>
                <w:highlight w:val="none"/>
              </w:rPr>
              <w:t>、噪声</w:t>
            </w:r>
          </w:p>
          <w:p>
            <w:pPr>
              <w:adjustRightInd w:val="0"/>
              <w:snapToGrid w:val="0"/>
              <w:spacing w:line="480" w:lineRule="exact"/>
              <w:ind w:firstLine="480" w:firstLineChars="200"/>
              <w:rPr>
                <w:sz w:val="24"/>
                <w:highlight w:val="none"/>
              </w:rPr>
            </w:pPr>
            <w:r>
              <w:rPr>
                <w:sz w:val="24"/>
                <w:highlight w:val="none"/>
              </w:rPr>
              <w:t>(1)源强分析</w:t>
            </w:r>
          </w:p>
          <w:p>
            <w:pPr>
              <w:pStyle w:val="6"/>
              <w:adjustRightInd w:val="0"/>
              <w:snapToGrid w:val="0"/>
              <w:spacing w:line="480" w:lineRule="exact"/>
              <w:ind w:firstLine="480" w:firstLineChars="200"/>
              <w:rPr>
                <w:sz w:val="24"/>
                <w:szCs w:val="24"/>
                <w:highlight w:val="none"/>
              </w:rPr>
            </w:pPr>
            <w:r>
              <w:rPr>
                <w:sz w:val="24"/>
                <w:szCs w:val="24"/>
                <w:highlight w:val="none"/>
              </w:rPr>
              <w:t>项目主要噪声为</w:t>
            </w:r>
            <w:r>
              <w:rPr>
                <w:rFonts w:hint="eastAsia"/>
                <w:sz w:val="24"/>
                <w:szCs w:val="24"/>
                <w:highlight w:val="none"/>
              </w:rPr>
              <w:t>空调</w:t>
            </w:r>
            <w:r>
              <w:rPr>
                <w:sz w:val="24"/>
                <w:szCs w:val="24"/>
                <w:highlight w:val="none"/>
              </w:rPr>
              <w:t>风机产生的机械噪声。项目采用低噪声及振动小的设备，并采取基础减振措施，隔声</w:t>
            </w:r>
            <w:r>
              <w:rPr>
                <w:rFonts w:hint="eastAsia"/>
                <w:sz w:val="24"/>
                <w:szCs w:val="24"/>
                <w:highlight w:val="none"/>
              </w:rPr>
              <w:t>罩</w:t>
            </w:r>
            <w:r>
              <w:rPr>
                <w:sz w:val="24"/>
                <w:szCs w:val="24"/>
                <w:highlight w:val="none"/>
              </w:rPr>
              <w:t>后对外界声环境影响较小。项目噪声排放情况见表</w:t>
            </w:r>
            <w:r>
              <w:rPr>
                <w:rFonts w:hint="eastAsia"/>
                <w:sz w:val="24"/>
                <w:szCs w:val="24"/>
                <w:highlight w:val="none"/>
                <w:lang w:val="en-US" w:eastAsia="zh-CN"/>
              </w:rPr>
              <w:t>21</w:t>
            </w:r>
            <w:r>
              <w:rPr>
                <w:sz w:val="24"/>
                <w:szCs w:val="24"/>
                <w:highlight w:val="none"/>
              </w:rPr>
              <w:t>。</w:t>
            </w:r>
          </w:p>
          <w:p>
            <w:pPr>
              <w:pStyle w:val="6"/>
              <w:adjustRightInd w:val="0"/>
              <w:snapToGrid w:val="0"/>
              <w:spacing w:line="480" w:lineRule="exact"/>
              <w:ind w:firstLine="482" w:firstLineChars="200"/>
              <w:jc w:val="center"/>
              <w:rPr>
                <w:b/>
                <w:sz w:val="24"/>
                <w:highlight w:val="none"/>
              </w:rPr>
            </w:pPr>
            <w:r>
              <w:rPr>
                <w:b/>
                <w:sz w:val="24"/>
                <w:highlight w:val="none"/>
              </w:rPr>
              <w:t>表</w:t>
            </w:r>
            <w:r>
              <w:rPr>
                <w:rFonts w:hint="eastAsia"/>
                <w:b/>
                <w:sz w:val="24"/>
                <w:highlight w:val="none"/>
                <w:lang w:val="en-US" w:eastAsia="zh-CN"/>
              </w:rPr>
              <w:t>21</w:t>
            </w:r>
            <w:r>
              <w:rPr>
                <w:rFonts w:hint="eastAsia"/>
                <w:b/>
                <w:sz w:val="24"/>
                <w:highlight w:val="none"/>
              </w:rPr>
              <w:t xml:space="preserve">   </w:t>
            </w:r>
            <w:r>
              <w:rPr>
                <w:b/>
                <w:sz w:val="24"/>
                <w:highlight w:val="none"/>
              </w:rPr>
              <w:t xml:space="preserve"> 项目噪声排放情况一览表</w:t>
            </w:r>
          </w:p>
          <w:tbl>
            <w:tblPr>
              <w:tblStyle w:val="36"/>
              <w:tblW w:w="8897"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159"/>
              <w:gridCol w:w="1434"/>
              <w:gridCol w:w="1243"/>
              <w:gridCol w:w="2916"/>
              <w:gridCol w:w="214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4" w:hRule="atLeast"/>
              </w:trPr>
              <w:tc>
                <w:tcPr>
                  <w:tcW w:w="1159" w:type="dxa"/>
                  <w:noWrap w:val="0"/>
                  <w:vAlign w:val="center"/>
                </w:tcPr>
                <w:p>
                  <w:pPr>
                    <w:pStyle w:val="6"/>
                    <w:adjustRightInd w:val="0"/>
                    <w:snapToGrid w:val="0"/>
                    <w:spacing w:line="360" w:lineRule="exact"/>
                    <w:ind w:firstLine="0"/>
                    <w:jc w:val="center"/>
                    <w:rPr>
                      <w:szCs w:val="21"/>
                      <w:highlight w:val="none"/>
                    </w:rPr>
                  </w:pPr>
                  <w:r>
                    <w:rPr>
                      <w:szCs w:val="21"/>
                      <w:highlight w:val="none"/>
                    </w:rPr>
                    <w:t>噪声源</w:t>
                  </w:r>
                </w:p>
              </w:tc>
              <w:tc>
                <w:tcPr>
                  <w:tcW w:w="1434" w:type="dxa"/>
                  <w:noWrap w:val="0"/>
                  <w:vAlign w:val="center"/>
                </w:tcPr>
                <w:p>
                  <w:pPr>
                    <w:pStyle w:val="6"/>
                    <w:adjustRightInd w:val="0"/>
                    <w:snapToGrid w:val="0"/>
                    <w:spacing w:line="360" w:lineRule="exact"/>
                    <w:ind w:firstLine="0"/>
                    <w:jc w:val="center"/>
                    <w:rPr>
                      <w:szCs w:val="21"/>
                      <w:highlight w:val="none"/>
                    </w:rPr>
                  </w:pPr>
                  <w:r>
                    <w:rPr>
                      <w:szCs w:val="21"/>
                      <w:highlight w:val="none"/>
                    </w:rPr>
                    <w:t>源强(dB(A))</w:t>
                  </w:r>
                </w:p>
              </w:tc>
              <w:tc>
                <w:tcPr>
                  <w:tcW w:w="1243" w:type="dxa"/>
                  <w:noWrap w:val="0"/>
                  <w:vAlign w:val="center"/>
                </w:tcPr>
                <w:p>
                  <w:pPr>
                    <w:pStyle w:val="6"/>
                    <w:adjustRightInd w:val="0"/>
                    <w:snapToGrid w:val="0"/>
                    <w:spacing w:line="360" w:lineRule="exact"/>
                    <w:ind w:firstLine="0"/>
                    <w:jc w:val="center"/>
                    <w:rPr>
                      <w:szCs w:val="21"/>
                      <w:highlight w:val="none"/>
                    </w:rPr>
                  </w:pPr>
                  <w:r>
                    <w:rPr>
                      <w:szCs w:val="21"/>
                      <w:highlight w:val="none"/>
                    </w:rPr>
                    <w:t>产生位置</w:t>
                  </w:r>
                </w:p>
              </w:tc>
              <w:tc>
                <w:tcPr>
                  <w:tcW w:w="2916" w:type="dxa"/>
                  <w:noWrap w:val="0"/>
                  <w:vAlign w:val="center"/>
                </w:tcPr>
                <w:p>
                  <w:pPr>
                    <w:pStyle w:val="6"/>
                    <w:adjustRightInd w:val="0"/>
                    <w:snapToGrid w:val="0"/>
                    <w:spacing w:line="360" w:lineRule="exact"/>
                    <w:ind w:firstLine="0"/>
                    <w:jc w:val="center"/>
                    <w:rPr>
                      <w:szCs w:val="21"/>
                      <w:highlight w:val="none"/>
                    </w:rPr>
                  </w:pPr>
                  <w:r>
                    <w:rPr>
                      <w:szCs w:val="21"/>
                      <w:highlight w:val="none"/>
                    </w:rPr>
                    <w:t>处理措施</w:t>
                  </w:r>
                </w:p>
              </w:tc>
              <w:tc>
                <w:tcPr>
                  <w:tcW w:w="2145" w:type="dxa"/>
                  <w:noWrap w:val="0"/>
                  <w:vAlign w:val="center"/>
                </w:tcPr>
                <w:p>
                  <w:pPr>
                    <w:pStyle w:val="6"/>
                    <w:adjustRightInd w:val="0"/>
                    <w:snapToGrid w:val="0"/>
                    <w:spacing w:line="360" w:lineRule="exact"/>
                    <w:ind w:firstLine="0"/>
                    <w:jc w:val="center"/>
                    <w:rPr>
                      <w:szCs w:val="21"/>
                      <w:highlight w:val="none"/>
                    </w:rPr>
                  </w:pPr>
                  <w:r>
                    <w:rPr>
                      <w:szCs w:val="21"/>
                      <w:highlight w:val="none"/>
                    </w:rPr>
                    <w:t>处理后噪声(dB(A))</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8" w:hRule="atLeast"/>
              </w:trPr>
              <w:tc>
                <w:tcPr>
                  <w:tcW w:w="1159" w:type="dxa"/>
                  <w:noWrap w:val="0"/>
                  <w:vAlign w:val="center"/>
                </w:tcPr>
                <w:p>
                  <w:pPr>
                    <w:pStyle w:val="6"/>
                    <w:adjustRightInd w:val="0"/>
                    <w:snapToGrid w:val="0"/>
                    <w:spacing w:line="360" w:lineRule="exact"/>
                    <w:ind w:firstLine="0"/>
                    <w:jc w:val="center"/>
                    <w:rPr>
                      <w:rFonts w:hint="eastAsia"/>
                      <w:szCs w:val="21"/>
                      <w:highlight w:val="none"/>
                    </w:rPr>
                  </w:pPr>
                  <w:r>
                    <w:rPr>
                      <w:rFonts w:hint="eastAsia"/>
                      <w:szCs w:val="21"/>
                      <w:highlight w:val="none"/>
                    </w:rPr>
                    <w:t>空调风机</w:t>
                  </w:r>
                </w:p>
              </w:tc>
              <w:tc>
                <w:tcPr>
                  <w:tcW w:w="1434" w:type="dxa"/>
                  <w:noWrap w:val="0"/>
                  <w:vAlign w:val="center"/>
                </w:tcPr>
                <w:p>
                  <w:pPr>
                    <w:pStyle w:val="6"/>
                    <w:adjustRightInd w:val="0"/>
                    <w:snapToGrid w:val="0"/>
                    <w:spacing w:line="360" w:lineRule="exact"/>
                    <w:ind w:firstLine="0"/>
                    <w:jc w:val="center"/>
                    <w:rPr>
                      <w:szCs w:val="21"/>
                      <w:highlight w:val="none"/>
                    </w:rPr>
                  </w:pPr>
                  <w:r>
                    <w:rPr>
                      <w:szCs w:val="21"/>
                      <w:highlight w:val="none"/>
                    </w:rPr>
                    <w:t>85</w:t>
                  </w:r>
                </w:p>
              </w:tc>
              <w:tc>
                <w:tcPr>
                  <w:tcW w:w="1243" w:type="dxa"/>
                  <w:noWrap w:val="0"/>
                  <w:vAlign w:val="center"/>
                </w:tcPr>
                <w:p>
                  <w:pPr>
                    <w:pStyle w:val="6"/>
                    <w:adjustRightInd w:val="0"/>
                    <w:snapToGrid w:val="0"/>
                    <w:spacing w:line="360" w:lineRule="exact"/>
                    <w:ind w:firstLine="0"/>
                    <w:jc w:val="center"/>
                    <w:rPr>
                      <w:rFonts w:hint="eastAsia"/>
                      <w:szCs w:val="21"/>
                      <w:highlight w:val="none"/>
                    </w:rPr>
                  </w:pPr>
                  <w:r>
                    <w:rPr>
                      <w:rFonts w:hint="eastAsia"/>
                      <w:szCs w:val="21"/>
                      <w:highlight w:val="none"/>
                    </w:rPr>
                    <w:t>体检楼</w:t>
                  </w:r>
                </w:p>
              </w:tc>
              <w:tc>
                <w:tcPr>
                  <w:tcW w:w="2916" w:type="dxa"/>
                  <w:noWrap w:val="0"/>
                  <w:vAlign w:val="center"/>
                </w:tcPr>
                <w:p>
                  <w:pPr>
                    <w:pStyle w:val="6"/>
                    <w:adjustRightInd w:val="0"/>
                    <w:snapToGrid w:val="0"/>
                    <w:spacing w:line="360" w:lineRule="exact"/>
                    <w:ind w:firstLine="0"/>
                    <w:jc w:val="center"/>
                    <w:rPr>
                      <w:rFonts w:hint="eastAsia"/>
                      <w:szCs w:val="21"/>
                      <w:highlight w:val="none"/>
                    </w:rPr>
                  </w:pPr>
                  <w:r>
                    <w:rPr>
                      <w:szCs w:val="21"/>
                      <w:highlight w:val="none"/>
                    </w:rPr>
                    <w:t>采用</w:t>
                  </w:r>
                  <w:r>
                    <w:rPr>
                      <w:rFonts w:hint="eastAsia"/>
                      <w:szCs w:val="21"/>
                      <w:highlight w:val="none"/>
                    </w:rPr>
                    <w:t>低</w:t>
                  </w:r>
                  <w:r>
                    <w:rPr>
                      <w:szCs w:val="21"/>
                      <w:highlight w:val="none"/>
                    </w:rPr>
                    <w:t>噪声设备</w:t>
                  </w:r>
                  <w:r>
                    <w:rPr>
                      <w:rFonts w:hint="eastAsia"/>
                      <w:szCs w:val="21"/>
                      <w:highlight w:val="none"/>
                      <w:lang w:val="en-US" w:eastAsia="zh-CN"/>
                    </w:rPr>
                    <w:t>+</w:t>
                  </w:r>
                  <w:r>
                    <w:rPr>
                      <w:rFonts w:hint="eastAsia"/>
                      <w:szCs w:val="21"/>
                      <w:highlight w:val="none"/>
                    </w:rPr>
                    <w:t>基础减振+隔声罩</w:t>
                  </w:r>
                </w:p>
              </w:tc>
              <w:tc>
                <w:tcPr>
                  <w:tcW w:w="2145" w:type="dxa"/>
                  <w:noWrap w:val="0"/>
                  <w:vAlign w:val="center"/>
                </w:tcPr>
                <w:p>
                  <w:pPr>
                    <w:pStyle w:val="6"/>
                    <w:adjustRightInd w:val="0"/>
                    <w:snapToGrid w:val="0"/>
                    <w:spacing w:line="360" w:lineRule="exact"/>
                    <w:ind w:firstLine="0"/>
                    <w:jc w:val="center"/>
                    <w:rPr>
                      <w:szCs w:val="21"/>
                      <w:highlight w:val="none"/>
                    </w:rPr>
                  </w:pPr>
                  <w:r>
                    <w:rPr>
                      <w:szCs w:val="21"/>
                      <w:highlight w:val="none"/>
                    </w:rPr>
                    <w:t>6</w:t>
                  </w:r>
                  <w:r>
                    <w:rPr>
                      <w:rFonts w:hint="eastAsia"/>
                      <w:szCs w:val="21"/>
                      <w:highlight w:val="none"/>
                    </w:rPr>
                    <w:t>0</w:t>
                  </w:r>
                </w:p>
              </w:tc>
            </w:tr>
          </w:tbl>
          <w:p>
            <w:pPr>
              <w:adjustRightInd w:val="0"/>
              <w:snapToGrid w:val="0"/>
              <w:spacing w:line="480" w:lineRule="exact"/>
              <w:ind w:firstLine="480" w:firstLineChars="200"/>
              <w:rPr>
                <w:sz w:val="24"/>
                <w:highlight w:val="none"/>
              </w:rPr>
            </w:pPr>
            <w:r>
              <w:rPr>
                <w:sz w:val="24"/>
                <w:highlight w:val="none"/>
              </w:rPr>
              <w:t>(2)噪声影响预测</w:t>
            </w:r>
          </w:p>
          <w:p>
            <w:pPr>
              <w:adjustRightInd w:val="0"/>
              <w:snapToGrid w:val="0"/>
              <w:spacing w:line="480" w:lineRule="exact"/>
              <w:ind w:firstLine="480" w:firstLineChars="200"/>
              <w:rPr>
                <w:sz w:val="24"/>
                <w:highlight w:val="none"/>
              </w:rPr>
            </w:pPr>
            <w:r>
              <w:rPr>
                <w:sz w:val="24"/>
                <w:highlight w:val="none"/>
              </w:rPr>
              <w:t>噪声预测采用点声源噪声衰减公式和噪声叠加公式。</w:t>
            </w:r>
          </w:p>
          <w:p>
            <w:pPr>
              <w:adjustRightInd w:val="0"/>
              <w:snapToGrid w:val="0"/>
              <w:spacing w:line="480" w:lineRule="exact"/>
              <w:ind w:firstLine="480" w:firstLineChars="200"/>
              <w:rPr>
                <w:sz w:val="24"/>
                <w:highlight w:val="none"/>
              </w:rPr>
            </w:pPr>
            <w:r>
              <w:rPr>
                <w:sz w:val="24"/>
                <w:highlight w:val="none"/>
              </w:rPr>
              <w:t>a.点声源噪声衰减公式：</w:t>
            </w:r>
          </w:p>
          <w:p>
            <w:pPr>
              <w:pStyle w:val="58"/>
              <w:snapToGrid w:val="0"/>
              <w:spacing w:line="480" w:lineRule="exact"/>
              <w:ind w:firstLine="2520" w:firstLineChars="1050"/>
              <w:rPr>
                <w:szCs w:val="24"/>
                <w:highlight w:val="none"/>
              </w:rPr>
            </w:pPr>
            <w:r>
              <w:rPr>
                <w:szCs w:val="24"/>
                <w:highlight w:val="none"/>
              </w:rPr>
              <w:t>L(r)=L(r</w:t>
            </w:r>
            <w:r>
              <w:rPr>
                <w:szCs w:val="24"/>
                <w:highlight w:val="none"/>
                <w:vertAlign w:val="subscript"/>
              </w:rPr>
              <w:t>0</w:t>
            </w:r>
            <w:r>
              <w:rPr>
                <w:szCs w:val="24"/>
                <w:highlight w:val="none"/>
              </w:rPr>
              <w:t>)-20lgr/r</w:t>
            </w:r>
            <w:r>
              <w:rPr>
                <w:szCs w:val="24"/>
                <w:highlight w:val="none"/>
                <w:vertAlign w:val="subscript"/>
              </w:rPr>
              <w:t>0</w:t>
            </w:r>
          </w:p>
          <w:p>
            <w:pPr>
              <w:pStyle w:val="58"/>
              <w:snapToGrid w:val="0"/>
              <w:spacing w:line="480" w:lineRule="exact"/>
              <w:ind w:firstLine="480" w:firstLineChars="200"/>
              <w:rPr>
                <w:szCs w:val="24"/>
                <w:highlight w:val="none"/>
              </w:rPr>
            </w:pPr>
            <w:r>
              <w:rPr>
                <w:szCs w:val="24"/>
                <w:highlight w:val="none"/>
              </w:rPr>
              <w:t>式中：L(r)－预测点处所接受的A声级；</w:t>
            </w:r>
          </w:p>
          <w:p>
            <w:pPr>
              <w:pStyle w:val="58"/>
              <w:snapToGrid w:val="0"/>
              <w:spacing w:line="480" w:lineRule="exact"/>
              <w:ind w:firstLine="480"/>
              <w:rPr>
                <w:szCs w:val="24"/>
                <w:highlight w:val="none"/>
              </w:rPr>
            </w:pPr>
            <w:r>
              <w:rPr>
                <w:szCs w:val="24"/>
                <w:highlight w:val="none"/>
              </w:rPr>
              <w:t xml:space="preserve">         L(r</w:t>
            </w:r>
            <w:r>
              <w:rPr>
                <w:szCs w:val="24"/>
                <w:highlight w:val="none"/>
                <w:vertAlign w:val="subscript"/>
              </w:rPr>
              <w:t>0</w:t>
            </w:r>
            <w:r>
              <w:rPr>
                <w:szCs w:val="24"/>
                <w:highlight w:val="none"/>
              </w:rPr>
              <w:t>)－参考点处的声源A声级；</w:t>
            </w:r>
          </w:p>
          <w:p>
            <w:pPr>
              <w:pStyle w:val="58"/>
              <w:snapToGrid w:val="0"/>
              <w:spacing w:line="480" w:lineRule="exact"/>
              <w:ind w:firstLine="480"/>
              <w:rPr>
                <w:szCs w:val="24"/>
                <w:highlight w:val="none"/>
              </w:rPr>
            </w:pPr>
            <w:r>
              <w:rPr>
                <w:szCs w:val="24"/>
                <w:highlight w:val="none"/>
              </w:rPr>
              <w:t xml:space="preserve">         r－声源至预测点的距离；</w:t>
            </w:r>
          </w:p>
          <w:p>
            <w:pPr>
              <w:pStyle w:val="58"/>
              <w:snapToGrid w:val="0"/>
              <w:spacing w:line="480" w:lineRule="exact"/>
              <w:ind w:firstLine="480"/>
              <w:rPr>
                <w:szCs w:val="24"/>
                <w:highlight w:val="none"/>
              </w:rPr>
            </w:pPr>
            <w:r>
              <w:rPr>
                <w:szCs w:val="24"/>
                <w:highlight w:val="none"/>
              </w:rPr>
              <w:t xml:space="preserve">         r</w:t>
            </w:r>
            <w:r>
              <w:rPr>
                <w:szCs w:val="24"/>
                <w:highlight w:val="none"/>
                <w:vertAlign w:val="subscript"/>
              </w:rPr>
              <w:t>0</w:t>
            </w:r>
            <w:r>
              <w:rPr>
                <w:szCs w:val="24"/>
                <w:highlight w:val="none"/>
              </w:rPr>
              <w:t>－参考位置距离，m，取1m。</w:t>
            </w:r>
          </w:p>
          <w:p>
            <w:pPr>
              <w:pStyle w:val="58"/>
              <w:tabs>
                <w:tab w:val="left" w:pos="394"/>
                <w:tab w:val="left" w:pos="3160"/>
              </w:tabs>
              <w:snapToGrid w:val="0"/>
              <w:spacing w:line="480" w:lineRule="exact"/>
              <w:ind w:firstLine="480" w:firstLineChars="200"/>
              <w:rPr>
                <w:szCs w:val="24"/>
                <w:highlight w:val="none"/>
              </w:rPr>
            </w:pPr>
            <w:r>
              <w:rPr>
                <w:szCs w:val="24"/>
                <w:highlight w:val="none"/>
              </w:rPr>
              <w:t>b.噪声叠加模式：</w:t>
            </w:r>
            <w:r>
              <w:rPr>
                <w:szCs w:val="24"/>
                <w:highlight w:val="none"/>
              </w:rPr>
              <w:tab/>
            </w:r>
          </w:p>
          <w:p>
            <w:pPr>
              <w:pStyle w:val="44"/>
              <w:snapToGrid w:val="0"/>
              <w:spacing w:after="0" w:line="480" w:lineRule="exact"/>
              <w:ind w:firstLine="2520" w:firstLineChars="1050"/>
              <w:jc w:val="both"/>
              <w:rPr>
                <w:rFonts w:ascii="Times New Roman" w:hAnsi="Times New Roman"/>
                <w:szCs w:val="24"/>
                <w:highlight w:val="none"/>
                <w:lang w:eastAsia="zh-CN"/>
              </w:rPr>
            </w:pPr>
            <w:r>
              <w:rPr>
                <w:rFonts w:ascii="Times New Roman" w:hAnsi="Times New Roman"/>
                <w:szCs w:val="24"/>
                <w:highlight w:val="none"/>
                <w:lang w:eastAsia="zh-CN"/>
              </w:rPr>
              <w:t>L＝10lg[10</w:t>
            </w:r>
            <w:r>
              <w:rPr>
                <w:rFonts w:ascii="Times New Roman" w:hAnsi="Times New Roman"/>
                <w:szCs w:val="24"/>
                <w:highlight w:val="none"/>
                <w:vertAlign w:val="superscript"/>
                <w:lang w:eastAsia="zh-CN"/>
              </w:rPr>
              <w:t>0.1L</w:t>
            </w:r>
            <w:r>
              <w:rPr>
                <w:rFonts w:ascii="Times New Roman" w:hAnsi="Times New Roman"/>
                <w:sz w:val="18"/>
                <w:szCs w:val="18"/>
                <w:highlight w:val="none"/>
                <w:vertAlign w:val="superscript"/>
                <w:lang w:eastAsia="zh-CN"/>
              </w:rPr>
              <w:t>1</w:t>
            </w:r>
            <w:r>
              <w:rPr>
                <w:rFonts w:ascii="Times New Roman" w:hAnsi="Times New Roman"/>
                <w:szCs w:val="24"/>
                <w:highlight w:val="none"/>
                <w:lang w:eastAsia="zh-CN"/>
              </w:rPr>
              <w:t>+10</w:t>
            </w:r>
            <w:r>
              <w:rPr>
                <w:rFonts w:ascii="Times New Roman" w:hAnsi="Times New Roman"/>
                <w:szCs w:val="24"/>
                <w:highlight w:val="none"/>
                <w:vertAlign w:val="superscript"/>
                <w:lang w:eastAsia="zh-CN"/>
              </w:rPr>
              <w:t>0.1L</w:t>
            </w:r>
            <w:r>
              <w:rPr>
                <w:rFonts w:ascii="Times New Roman" w:hAnsi="Times New Roman"/>
                <w:sz w:val="18"/>
                <w:szCs w:val="18"/>
                <w:highlight w:val="none"/>
                <w:vertAlign w:val="superscript"/>
                <w:lang w:eastAsia="zh-CN"/>
              </w:rPr>
              <w:t>2</w:t>
            </w:r>
            <w:r>
              <w:rPr>
                <w:rFonts w:ascii="Times New Roman" w:hAnsi="Times New Roman"/>
                <w:szCs w:val="24"/>
                <w:highlight w:val="none"/>
                <w:lang w:eastAsia="zh-CN"/>
              </w:rPr>
              <w:t>+10</w:t>
            </w:r>
            <w:r>
              <w:rPr>
                <w:rFonts w:ascii="Times New Roman" w:hAnsi="Times New Roman"/>
                <w:szCs w:val="24"/>
                <w:highlight w:val="none"/>
                <w:vertAlign w:val="superscript"/>
                <w:lang w:eastAsia="zh-CN"/>
              </w:rPr>
              <w:t>0.1L</w:t>
            </w:r>
            <w:r>
              <w:rPr>
                <w:rFonts w:ascii="Times New Roman" w:hAnsi="Times New Roman"/>
                <w:sz w:val="18"/>
                <w:szCs w:val="18"/>
                <w:highlight w:val="none"/>
                <w:vertAlign w:val="superscript"/>
                <w:lang w:eastAsia="zh-CN"/>
              </w:rPr>
              <w:t>3</w:t>
            </w:r>
            <w:r>
              <w:rPr>
                <w:rFonts w:ascii="Times New Roman" w:hAnsi="Times New Roman"/>
                <w:szCs w:val="24"/>
                <w:highlight w:val="none"/>
                <w:lang w:eastAsia="zh-CN"/>
              </w:rPr>
              <w:t>]</w:t>
            </w:r>
          </w:p>
          <w:p>
            <w:pPr>
              <w:adjustRightInd w:val="0"/>
              <w:snapToGrid w:val="0"/>
              <w:spacing w:line="480" w:lineRule="exact"/>
              <w:ind w:firstLine="480" w:firstLineChars="200"/>
              <w:rPr>
                <w:sz w:val="24"/>
                <w:highlight w:val="none"/>
              </w:rPr>
            </w:pPr>
            <w:r>
              <w:rPr>
                <w:sz w:val="24"/>
                <w:highlight w:val="none"/>
              </w:rPr>
              <w:t>式中：L－受声点处的总声级，dB(A)；</w:t>
            </w:r>
          </w:p>
          <w:p>
            <w:pPr>
              <w:adjustRightInd w:val="0"/>
              <w:snapToGrid w:val="0"/>
              <w:spacing w:line="480" w:lineRule="exact"/>
              <w:ind w:firstLine="1200" w:firstLineChars="500"/>
              <w:rPr>
                <w:sz w:val="24"/>
                <w:highlight w:val="none"/>
              </w:rPr>
            </w:pPr>
            <w:r>
              <w:rPr>
                <w:sz w:val="24"/>
                <w:highlight w:val="none"/>
              </w:rPr>
              <w:t>L</w:t>
            </w:r>
            <w:r>
              <w:rPr>
                <w:sz w:val="24"/>
                <w:highlight w:val="none"/>
                <w:vertAlign w:val="subscript"/>
              </w:rPr>
              <w:t>1</w:t>
            </w:r>
            <w:r>
              <w:rPr>
                <w:sz w:val="24"/>
                <w:highlight w:val="none"/>
              </w:rPr>
              <w:t>－甲噪声源对受声点的噪声影响值，dB(A)；</w:t>
            </w:r>
          </w:p>
          <w:p>
            <w:pPr>
              <w:adjustRightInd w:val="0"/>
              <w:snapToGrid w:val="0"/>
              <w:spacing w:line="480" w:lineRule="exact"/>
              <w:ind w:firstLine="1200" w:firstLineChars="500"/>
              <w:rPr>
                <w:sz w:val="24"/>
                <w:highlight w:val="none"/>
              </w:rPr>
            </w:pPr>
            <w:r>
              <w:rPr>
                <w:sz w:val="24"/>
                <w:highlight w:val="none"/>
              </w:rPr>
              <w:t>L</w:t>
            </w:r>
            <w:r>
              <w:rPr>
                <w:sz w:val="24"/>
                <w:highlight w:val="none"/>
                <w:vertAlign w:val="subscript"/>
              </w:rPr>
              <w:t>2</w:t>
            </w:r>
            <w:r>
              <w:rPr>
                <w:sz w:val="24"/>
                <w:highlight w:val="none"/>
              </w:rPr>
              <w:t>－乙噪声源对受声点的噪声影响值，dB(A)；</w:t>
            </w:r>
          </w:p>
          <w:p>
            <w:pPr>
              <w:adjustRightInd w:val="0"/>
              <w:snapToGrid w:val="0"/>
              <w:spacing w:line="480" w:lineRule="exact"/>
              <w:ind w:firstLine="1200" w:firstLineChars="500"/>
              <w:rPr>
                <w:sz w:val="24"/>
                <w:highlight w:val="none"/>
              </w:rPr>
            </w:pPr>
            <w:r>
              <w:rPr>
                <w:sz w:val="24"/>
                <w:highlight w:val="none"/>
              </w:rPr>
              <w:t>L</w:t>
            </w:r>
            <w:r>
              <w:rPr>
                <w:sz w:val="24"/>
                <w:highlight w:val="none"/>
                <w:vertAlign w:val="subscript"/>
              </w:rPr>
              <w:t>3</w:t>
            </w:r>
            <w:r>
              <w:rPr>
                <w:sz w:val="24"/>
                <w:highlight w:val="none"/>
              </w:rPr>
              <w:t>－丙噪声源对受声点的噪声影响值，dB(A)。</w:t>
            </w:r>
          </w:p>
          <w:p>
            <w:pPr>
              <w:adjustRightInd w:val="0"/>
              <w:snapToGrid w:val="0"/>
              <w:spacing w:line="480" w:lineRule="exact"/>
              <w:ind w:firstLine="480" w:firstLineChars="200"/>
              <w:rPr>
                <w:sz w:val="24"/>
                <w:highlight w:val="none"/>
              </w:rPr>
            </w:pPr>
            <w:r>
              <w:rPr>
                <w:sz w:val="24"/>
                <w:highlight w:val="none"/>
              </w:rPr>
              <w:t>(3)噪声预测结果</w:t>
            </w:r>
          </w:p>
          <w:p>
            <w:pPr>
              <w:adjustRightInd w:val="0"/>
              <w:snapToGrid w:val="0"/>
              <w:spacing w:line="480" w:lineRule="exact"/>
              <w:ind w:firstLine="480" w:firstLineChars="200"/>
              <w:rPr>
                <w:highlight w:val="none"/>
              </w:rPr>
            </w:pPr>
            <w:r>
              <w:rPr>
                <w:sz w:val="24"/>
                <w:highlight w:val="none"/>
              </w:rPr>
              <w:t>根据上述预测模式和参数计算厂界噪声，同时对附近居民房作为声敏感点进行噪声预测，预测结果见表</w:t>
            </w:r>
            <w:r>
              <w:rPr>
                <w:rFonts w:hint="eastAsia"/>
                <w:sz w:val="24"/>
                <w:highlight w:val="none"/>
                <w:lang w:val="en-US" w:eastAsia="zh-CN"/>
              </w:rPr>
              <w:t>22</w:t>
            </w:r>
            <w:r>
              <w:rPr>
                <w:sz w:val="24"/>
                <w:highlight w:val="none"/>
              </w:rPr>
              <w:t>、表</w:t>
            </w:r>
            <w:r>
              <w:rPr>
                <w:rFonts w:hint="eastAsia"/>
                <w:sz w:val="24"/>
                <w:highlight w:val="none"/>
                <w:lang w:val="en-US" w:eastAsia="zh-CN"/>
              </w:rPr>
              <w:t>23</w:t>
            </w:r>
            <w:r>
              <w:rPr>
                <w:sz w:val="24"/>
                <w:highlight w:val="none"/>
              </w:rPr>
              <w:t>。</w:t>
            </w:r>
          </w:p>
          <w:p>
            <w:pPr>
              <w:pStyle w:val="6"/>
              <w:adjustRightInd w:val="0"/>
              <w:snapToGrid w:val="0"/>
              <w:spacing w:line="480" w:lineRule="exact"/>
              <w:ind w:firstLine="482" w:firstLineChars="200"/>
              <w:jc w:val="center"/>
              <w:rPr>
                <w:b/>
                <w:sz w:val="24"/>
                <w:highlight w:val="none"/>
              </w:rPr>
            </w:pPr>
            <w:r>
              <w:rPr>
                <w:b/>
                <w:sz w:val="24"/>
                <w:highlight w:val="none"/>
              </w:rPr>
              <w:t>表</w:t>
            </w:r>
            <w:r>
              <w:rPr>
                <w:rFonts w:hint="eastAsia"/>
                <w:b/>
                <w:sz w:val="24"/>
                <w:highlight w:val="none"/>
                <w:lang w:val="en-US" w:eastAsia="zh-CN"/>
              </w:rPr>
              <w:t>22</w:t>
            </w:r>
            <w:r>
              <w:rPr>
                <w:rFonts w:hint="eastAsia"/>
                <w:b/>
                <w:sz w:val="24"/>
                <w:highlight w:val="none"/>
              </w:rPr>
              <w:t xml:space="preserve">  </w:t>
            </w:r>
            <w:r>
              <w:rPr>
                <w:b/>
                <w:sz w:val="24"/>
                <w:highlight w:val="none"/>
              </w:rPr>
              <w:t xml:space="preserve">  噪声厂界预测参数表</w:t>
            </w:r>
          </w:p>
          <w:tbl>
            <w:tblPr>
              <w:tblStyle w:val="36"/>
              <w:tblW w:w="893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14"/>
              <w:gridCol w:w="1339"/>
              <w:gridCol w:w="890"/>
              <w:gridCol w:w="698"/>
              <w:gridCol w:w="801"/>
              <w:gridCol w:w="763"/>
              <w:gridCol w:w="822"/>
              <w:gridCol w:w="794"/>
              <w:gridCol w:w="794"/>
              <w:gridCol w:w="82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9" w:hRule="atLeast"/>
                <w:jc w:val="center"/>
              </w:trPr>
              <w:tc>
                <w:tcPr>
                  <w:tcW w:w="1214" w:type="dxa"/>
                  <w:vMerge w:val="restart"/>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噪声源</w:t>
                  </w:r>
                </w:p>
              </w:tc>
              <w:tc>
                <w:tcPr>
                  <w:tcW w:w="1339" w:type="dxa"/>
                  <w:vMerge w:val="restart"/>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治理后源强dB(A)</w:t>
                  </w:r>
                </w:p>
              </w:tc>
              <w:tc>
                <w:tcPr>
                  <w:tcW w:w="3152" w:type="dxa"/>
                  <w:gridSpan w:val="4"/>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厂界距噪声源距离(m)</w:t>
                  </w:r>
                </w:p>
              </w:tc>
              <w:tc>
                <w:tcPr>
                  <w:tcW w:w="3233" w:type="dxa"/>
                  <w:gridSpan w:val="4"/>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厂界噪声贡献值dB(A)</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290" w:hRule="atLeast"/>
                <w:jc w:val="center"/>
              </w:trPr>
              <w:tc>
                <w:tcPr>
                  <w:tcW w:w="1214"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1339" w:type="dxa"/>
                  <w:vMerge w:val="continue"/>
                  <w:tcBorders>
                    <w:tl2br w:val="nil"/>
                    <w:tr2bl w:val="nil"/>
                  </w:tcBorders>
                  <w:noWrap w:val="0"/>
                  <w:vAlign w:val="center"/>
                </w:tcPr>
                <w:p>
                  <w:pPr>
                    <w:adjustRightInd w:val="0"/>
                    <w:snapToGrid w:val="0"/>
                    <w:spacing w:line="360" w:lineRule="exact"/>
                    <w:jc w:val="center"/>
                    <w:rPr>
                      <w:bCs/>
                      <w:szCs w:val="21"/>
                      <w:highlight w:val="none"/>
                    </w:rPr>
                  </w:pPr>
                </w:p>
              </w:tc>
              <w:tc>
                <w:tcPr>
                  <w:tcW w:w="890"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东</w:t>
                  </w:r>
                </w:p>
              </w:tc>
              <w:tc>
                <w:tcPr>
                  <w:tcW w:w="698"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南</w:t>
                  </w:r>
                </w:p>
              </w:tc>
              <w:tc>
                <w:tcPr>
                  <w:tcW w:w="801"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西</w:t>
                  </w:r>
                </w:p>
              </w:tc>
              <w:tc>
                <w:tcPr>
                  <w:tcW w:w="763"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北</w:t>
                  </w:r>
                </w:p>
              </w:tc>
              <w:tc>
                <w:tcPr>
                  <w:tcW w:w="822"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东</w:t>
                  </w:r>
                </w:p>
              </w:tc>
              <w:tc>
                <w:tcPr>
                  <w:tcW w:w="794"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南</w:t>
                  </w:r>
                </w:p>
              </w:tc>
              <w:tc>
                <w:tcPr>
                  <w:tcW w:w="794"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西</w:t>
                  </w:r>
                </w:p>
              </w:tc>
              <w:tc>
                <w:tcPr>
                  <w:tcW w:w="823"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1" w:hRule="atLeast"/>
                <w:jc w:val="center"/>
              </w:trPr>
              <w:tc>
                <w:tcPr>
                  <w:tcW w:w="1214" w:type="dxa"/>
                  <w:tcBorders>
                    <w:tl2br w:val="nil"/>
                    <w:tr2bl w:val="nil"/>
                  </w:tcBorders>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空调风机</w:t>
                  </w:r>
                </w:p>
              </w:tc>
              <w:tc>
                <w:tcPr>
                  <w:tcW w:w="1339"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6</w:t>
                  </w:r>
                  <w:r>
                    <w:rPr>
                      <w:rFonts w:hint="eastAsia"/>
                      <w:bCs/>
                      <w:szCs w:val="21"/>
                      <w:highlight w:val="none"/>
                    </w:rPr>
                    <w:t>0</w:t>
                  </w:r>
                </w:p>
              </w:tc>
              <w:tc>
                <w:tcPr>
                  <w:tcW w:w="890"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65</w:t>
                  </w:r>
                </w:p>
              </w:tc>
              <w:tc>
                <w:tcPr>
                  <w:tcW w:w="698" w:type="dxa"/>
                  <w:tcBorders>
                    <w:tl2br w:val="nil"/>
                    <w:tr2bl w:val="nil"/>
                  </w:tcBorders>
                  <w:noWrap w:val="0"/>
                  <w:vAlign w:val="center"/>
                </w:tcPr>
                <w:p>
                  <w:pPr>
                    <w:adjustRightInd w:val="0"/>
                    <w:snapToGrid w:val="0"/>
                    <w:spacing w:line="360" w:lineRule="exact"/>
                    <w:jc w:val="center"/>
                    <w:rPr>
                      <w:rFonts w:hint="eastAsia"/>
                      <w:szCs w:val="21"/>
                      <w:highlight w:val="none"/>
                    </w:rPr>
                  </w:pPr>
                  <w:r>
                    <w:rPr>
                      <w:rFonts w:hint="eastAsia"/>
                      <w:szCs w:val="21"/>
                      <w:highlight w:val="none"/>
                    </w:rPr>
                    <w:t>45</w:t>
                  </w:r>
                </w:p>
              </w:tc>
              <w:tc>
                <w:tcPr>
                  <w:tcW w:w="801"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22</w:t>
                  </w:r>
                </w:p>
              </w:tc>
              <w:tc>
                <w:tcPr>
                  <w:tcW w:w="763"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10</w:t>
                  </w:r>
                </w:p>
              </w:tc>
              <w:tc>
                <w:tcPr>
                  <w:tcW w:w="822"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23.7</w:t>
                  </w:r>
                </w:p>
              </w:tc>
              <w:tc>
                <w:tcPr>
                  <w:tcW w:w="794"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26.9</w:t>
                  </w:r>
                </w:p>
              </w:tc>
              <w:tc>
                <w:tcPr>
                  <w:tcW w:w="794" w:type="dxa"/>
                  <w:tcBorders>
                    <w:tl2br w:val="nil"/>
                    <w:tr2bl w:val="nil"/>
                  </w:tcBorders>
                  <w:noWrap w:val="0"/>
                  <w:vAlign w:val="center"/>
                </w:tcPr>
                <w:p>
                  <w:pPr>
                    <w:adjustRightInd w:val="0"/>
                    <w:snapToGrid w:val="0"/>
                    <w:spacing w:line="360" w:lineRule="exact"/>
                    <w:jc w:val="center"/>
                    <w:rPr>
                      <w:rFonts w:hint="eastAsia" w:eastAsia="宋体"/>
                      <w:szCs w:val="21"/>
                      <w:highlight w:val="none"/>
                      <w:lang w:val="en-US" w:eastAsia="zh-CN"/>
                    </w:rPr>
                  </w:pPr>
                  <w:r>
                    <w:rPr>
                      <w:rFonts w:hint="eastAsia"/>
                      <w:szCs w:val="21"/>
                      <w:highlight w:val="none"/>
                    </w:rPr>
                    <w:t>33.</w:t>
                  </w:r>
                  <w:r>
                    <w:rPr>
                      <w:rFonts w:hint="eastAsia"/>
                      <w:szCs w:val="21"/>
                      <w:highlight w:val="none"/>
                      <w:lang w:val="en-US" w:eastAsia="zh-CN"/>
                    </w:rPr>
                    <w:t>2</w:t>
                  </w:r>
                </w:p>
              </w:tc>
              <w:tc>
                <w:tcPr>
                  <w:tcW w:w="823" w:type="dxa"/>
                  <w:tcBorders>
                    <w:tl2br w:val="nil"/>
                    <w:tr2bl w:val="nil"/>
                  </w:tcBorders>
                  <w:noWrap w:val="0"/>
                  <w:vAlign w:val="center"/>
                </w:tcPr>
                <w:p>
                  <w:pPr>
                    <w:adjustRightInd w:val="0"/>
                    <w:snapToGrid w:val="0"/>
                    <w:spacing w:line="360" w:lineRule="exact"/>
                    <w:jc w:val="center"/>
                    <w:rPr>
                      <w:szCs w:val="21"/>
                      <w:highlight w:val="none"/>
                    </w:rPr>
                  </w:pPr>
                  <w:r>
                    <w:rPr>
                      <w:rFonts w:hint="eastAsia"/>
                      <w:szCs w:val="21"/>
                      <w:highlight w:val="none"/>
                    </w:rPr>
                    <w:t>40</w:t>
                  </w:r>
                </w:p>
              </w:tc>
            </w:tr>
          </w:tbl>
          <w:p>
            <w:pPr>
              <w:pStyle w:val="6"/>
              <w:adjustRightInd w:val="0"/>
              <w:snapToGrid w:val="0"/>
              <w:spacing w:line="480" w:lineRule="exact"/>
              <w:ind w:firstLine="482" w:firstLineChars="200"/>
              <w:jc w:val="center"/>
              <w:rPr>
                <w:b/>
                <w:sz w:val="24"/>
                <w:highlight w:val="none"/>
              </w:rPr>
            </w:pPr>
            <w:r>
              <w:rPr>
                <w:b/>
                <w:sz w:val="24"/>
                <w:highlight w:val="none"/>
              </w:rPr>
              <w:t>表</w:t>
            </w:r>
            <w:r>
              <w:rPr>
                <w:rFonts w:hint="eastAsia"/>
                <w:b/>
                <w:sz w:val="24"/>
                <w:highlight w:val="none"/>
                <w:lang w:val="en-US" w:eastAsia="zh-CN"/>
              </w:rPr>
              <w:t>23</w:t>
            </w:r>
            <w:r>
              <w:rPr>
                <w:rFonts w:hint="eastAsia"/>
                <w:b/>
                <w:sz w:val="24"/>
                <w:highlight w:val="none"/>
              </w:rPr>
              <w:t xml:space="preserve">  </w:t>
            </w:r>
            <w:r>
              <w:rPr>
                <w:b/>
                <w:sz w:val="24"/>
                <w:highlight w:val="none"/>
              </w:rPr>
              <w:t xml:space="preserve">  噪声敏感点预测参数表</w:t>
            </w:r>
          </w:p>
          <w:tbl>
            <w:tblPr>
              <w:tblStyle w:val="36"/>
              <w:tblW w:w="895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452"/>
              <w:gridCol w:w="2028"/>
              <w:gridCol w:w="2458"/>
              <w:gridCol w:w="20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5" w:hRule="atLeast"/>
                <w:jc w:val="center"/>
              </w:trPr>
              <w:tc>
                <w:tcPr>
                  <w:tcW w:w="4480" w:type="dxa"/>
                  <w:gridSpan w:val="2"/>
                  <w:tcBorders>
                    <w:tl2br w:val="nil"/>
                    <w:tr2bl w:val="nil"/>
                  </w:tcBorders>
                  <w:noWrap w:val="0"/>
                  <w:vAlign w:val="center"/>
                </w:tcPr>
                <w:p>
                  <w:pPr>
                    <w:adjustRightInd w:val="0"/>
                    <w:snapToGrid w:val="0"/>
                    <w:spacing w:line="360" w:lineRule="exact"/>
                    <w:jc w:val="center"/>
                    <w:rPr>
                      <w:rFonts w:hint="eastAsia" w:eastAsia="宋体"/>
                      <w:bCs/>
                      <w:szCs w:val="21"/>
                      <w:highlight w:val="none"/>
                      <w:lang w:eastAsia="zh-CN"/>
                    </w:rPr>
                  </w:pPr>
                  <w:r>
                    <w:rPr>
                      <w:rFonts w:hint="eastAsia"/>
                      <w:szCs w:val="21"/>
                      <w:highlight w:val="none"/>
                    </w:rPr>
                    <w:t>人民医院</w:t>
                  </w:r>
                  <w:r>
                    <w:rPr>
                      <w:rFonts w:hint="eastAsia"/>
                      <w:szCs w:val="21"/>
                      <w:highlight w:val="none"/>
                      <w:lang w:eastAsia="zh-CN"/>
                    </w:rPr>
                    <w:t>主楼</w:t>
                  </w:r>
                </w:p>
              </w:tc>
              <w:tc>
                <w:tcPr>
                  <w:tcW w:w="4479" w:type="dxa"/>
                  <w:gridSpan w:val="2"/>
                  <w:tcBorders>
                    <w:tl2br w:val="nil"/>
                    <w:tr2bl w:val="nil"/>
                  </w:tcBorders>
                  <w:noWrap w:val="0"/>
                  <w:vAlign w:val="center"/>
                </w:tcPr>
                <w:p>
                  <w:pPr>
                    <w:adjustRightInd w:val="0"/>
                    <w:snapToGrid w:val="0"/>
                    <w:spacing w:line="360" w:lineRule="exact"/>
                    <w:jc w:val="center"/>
                    <w:rPr>
                      <w:bCs/>
                      <w:szCs w:val="21"/>
                      <w:highlight w:val="none"/>
                    </w:rPr>
                  </w:pPr>
                  <w:r>
                    <w:rPr>
                      <w:rFonts w:hint="eastAsia"/>
                      <w:szCs w:val="21"/>
                      <w:highlight w:val="none"/>
                    </w:rPr>
                    <w:t>惠民小区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5" w:hRule="atLeast"/>
                <w:jc w:val="center"/>
              </w:trPr>
              <w:tc>
                <w:tcPr>
                  <w:tcW w:w="2452"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声源距敏感点距离(m)</w:t>
                  </w:r>
                </w:p>
              </w:tc>
              <w:tc>
                <w:tcPr>
                  <w:tcW w:w="2028"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噪声贡献值dB(A)</w:t>
                  </w:r>
                </w:p>
              </w:tc>
              <w:tc>
                <w:tcPr>
                  <w:tcW w:w="2458"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声源距敏感点距离(m)</w:t>
                  </w:r>
                </w:p>
              </w:tc>
              <w:tc>
                <w:tcPr>
                  <w:tcW w:w="2021" w:type="dxa"/>
                  <w:tcBorders>
                    <w:tl2br w:val="nil"/>
                    <w:tr2bl w:val="nil"/>
                  </w:tcBorders>
                  <w:noWrap w:val="0"/>
                  <w:vAlign w:val="center"/>
                </w:tcPr>
                <w:p>
                  <w:pPr>
                    <w:adjustRightInd w:val="0"/>
                    <w:snapToGrid w:val="0"/>
                    <w:spacing w:line="360" w:lineRule="exact"/>
                    <w:jc w:val="center"/>
                    <w:rPr>
                      <w:bCs/>
                      <w:szCs w:val="21"/>
                      <w:highlight w:val="none"/>
                    </w:rPr>
                  </w:pPr>
                  <w:r>
                    <w:rPr>
                      <w:bCs/>
                      <w:szCs w:val="21"/>
                      <w:highlight w:val="none"/>
                    </w:rPr>
                    <w:t>噪声贡献值dB(A)</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408" w:hRule="atLeast"/>
                <w:jc w:val="center"/>
              </w:trPr>
              <w:tc>
                <w:tcPr>
                  <w:tcW w:w="2452" w:type="dxa"/>
                  <w:tcBorders>
                    <w:tl2br w:val="nil"/>
                    <w:tr2bl w:val="nil"/>
                  </w:tcBorders>
                  <w:noWrap w:val="0"/>
                  <w:vAlign w:val="center"/>
                </w:tcPr>
                <w:p>
                  <w:pPr>
                    <w:adjustRightInd w:val="0"/>
                    <w:snapToGrid w:val="0"/>
                    <w:spacing w:line="360" w:lineRule="exact"/>
                    <w:jc w:val="center"/>
                    <w:rPr>
                      <w:bCs/>
                      <w:szCs w:val="21"/>
                      <w:highlight w:val="none"/>
                    </w:rPr>
                  </w:pPr>
                  <w:r>
                    <w:rPr>
                      <w:rFonts w:hint="eastAsia"/>
                      <w:bCs/>
                      <w:szCs w:val="21"/>
                      <w:highlight w:val="none"/>
                    </w:rPr>
                    <w:t>62</w:t>
                  </w:r>
                </w:p>
              </w:tc>
              <w:tc>
                <w:tcPr>
                  <w:tcW w:w="2028" w:type="dxa"/>
                  <w:tcBorders>
                    <w:tl2br w:val="nil"/>
                    <w:tr2bl w:val="nil"/>
                  </w:tcBorders>
                  <w:noWrap w:val="0"/>
                  <w:vAlign w:val="center"/>
                </w:tcPr>
                <w:p>
                  <w:pPr>
                    <w:adjustRightInd w:val="0"/>
                    <w:snapToGrid w:val="0"/>
                    <w:spacing w:line="360" w:lineRule="exact"/>
                    <w:jc w:val="center"/>
                    <w:rPr>
                      <w:rFonts w:hint="eastAsia" w:eastAsia="宋体"/>
                      <w:bCs/>
                      <w:szCs w:val="21"/>
                      <w:highlight w:val="none"/>
                      <w:lang w:val="en-US" w:eastAsia="zh-CN"/>
                    </w:rPr>
                  </w:pPr>
                  <w:r>
                    <w:rPr>
                      <w:rFonts w:hint="eastAsia"/>
                      <w:bCs/>
                      <w:szCs w:val="21"/>
                      <w:highlight w:val="none"/>
                    </w:rPr>
                    <w:t>24.</w:t>
                  </w:r>
                  <w:r>
                    <w:rPr>
                      <w:rFonts w:hint="eastAsia"/>
                      <w:bCs/>
                      <w:szCs w:val="21"/>
                      <w:highlight w:val="none"/>
                      <w:lang w:val="en-US" w:eastAsia="zh-CN"/>
                    </w:rPr>
                    <w:t>2</w:t>
                  </w:r>
                </w:p>
              </w:tc>
              <w:tc>
                <w:tcPr>
                  <w:tcW w:w="2458" w:type="dxa"/>
                  <w:tcBorders>
                    <w:tl2br w:val="nil"/>
                    <w:tr2bl w:val="nil"/>
                  </w:tcBorders>
                  <w:noWrap w:val="0"/>
                  <w:vAlign w:val="center"/>
                </w:tcPr>
                <w:p>
                  <w:pPr>
                    <w:adjustRightInd w:val="0"/>
                    <w:snapToGrid w:val="0"/>
                    <w:spacing w:line="360" w:lineRule="exact"/>
                    <w:jc w:val="center"/>
                    <w:rPr>
                      <w:bCs/>
                      <w:szCs w:val="21"/>
                      <w:highlight w:val="none"/>
                    </w:rPr>
                  </w:pPr>
                  <w:r>
                    <w:rPr>
                      <w:rFonts w:hint="eastAsia"/>
                      <w:bCs/>
                      <w:szCs w:val="21"/>
                      <w:highlight w:val="none"/>
                    </w:rPr>
                    <w:t>160</w:t>
                  </w:r>
                </w:p>
              </w:tc>
              <w:tc>
                <w:tcPr>
                  <w:tcW w:w="2021" w:type="dxa"/>
                  <w:tcBorders>
                    <w:tl2br w:val="nil"/>
                    <w:tr2bl w:val="nil"/>
                  </w:tcBorders>
                  <w:noWrap w:val="0"/>
                  <w:vAlign w:val="center"/>
                </w:tcPr>
                <w:p>
                  <w:pPr>
                    <w:adjustRightInd w:val="0"/>
                    <w:snapToGrid w:val="0"/>
                    <w:spacing w:line="360" w:lineRule="exact"/>
                    <w:jc w:val="center"/>
                    <w:rPr>
                      <w:bCs/>
                      <w:szCs w:val="21"/>
                      <w:highlight w:val="none"/>
                    </w:rPr>
                  </w:pPr>
                  <w:r>
                    <w:rPr>
                      <w:rFonts w:hint="eastAsia"/>
                      <w:bCs/>
                      <w:szCs w:val="21"/>
                      <w:highlight w:val="none"/>
                    </w:rPr>
                    <w:t>15.9</w:t>
                  </w:r>
                </w:p>
              </w:tc>
            </w:tr>
          </w:tbl>
          <w:p>
            <w:pPr>
              <w:adjustRightInd w:val="0"/>
              <w:snapToGrid w:val="0"/>
              <w:spacing w:line="360" w:lineRule="auto"/>
              <w:ind w:firstLine="480" w:firstLineChars="200"/>
              <w:rPr>
                <w:sz w:val="24"/>
                <w:szCs w:val="24"/>
                <w:highlight w:val="none"/>
              </w:rPr>
            </w:pPr>
            <w:r>
              <w:rPr>
                <w:sz w:val="24"/>
                <w:highlight w:val="none"/>
              </w:rPr>
              <w:t>由噪声预测结果可知，采取上述措施后，噪声</w:t>
            </w:r>
            <w:r>
              <w:rPr>
                <w:rFonts w:hint="eastAsia"/>
                <w:sz w:val="24"/>
                <w:highlight w:val="none"/>
              </w:rPr>
              <w:t>厂界</w:t>
            </w:r>
            <w:r>
              <w:rPr>
                <w:sz w:val="24"/>
                <w:highlight w:val="none"/>
              </w:rPr>
              <w:t>贡献值降至</w:t>
            </w:r>
            <w:r>
              <w:rPr>
                <w:rFonts w:hint="eastAsia"/>
                <w:sz w:val="24"/>
                <w:highlight w:val="none"/>
                <w:lang w:val="en-US" w:eastAsia="zh-CN"/>
              </w:rPr>
              <w:t>23.7-4</w:t>
            </w:r>
            <w:r>
              <w:rPr>
                <w:rFonts w:hint="eastAsia"/>
                <w:sz w:val="24"/>
                <w:highlight w:val="none"/>
              </w:rPr>
              <w:t>0</w:t>
            </w:r>
            <w:r>
              <w:rPr>
                <w:sz w:val="24"/>
                <w:highlight w:val="none"/>
              </w:rPr>
              <w:t>dB(A)。项目东</w:t>
            </w:r>
            <w:r>
              <w:rPr>
                <w:rFonts w:hint="eastAsia"/>
                <w:sz w:val="24"/>
                <w:highlight w:val="none"/>
              </w:rPr>
              <w:t>、北</w:t>
            </w:r>
            <w:r>
              <w:rPr>
                <w:rFonts w:hint="eastAsia"/>
                <w:sz w:val="24"/>
                <w:highlight w:val="none"/>
                <w:lang w:eastAsia="zh-CN"/>
              </w:rPr>
              <w:t>、南</w:t>
            </w:r>
            <w:r>
              <w:rPr>
                <w:sz w:val="24"/>
                <w:highlight w:val="none"/>
              </w:rPr>
              <w:t>厂界噪声能够满足《工业企业厂界环境噪声排放标准》(GB12348-2008)中</w:t>
            </w:r>
            <w:r>
              <w:rPr>
                <w:rFonts w:hint="eastAsia"/>
                <w:sz w:val="24"/>
                <w:highlight w:val="none"/>
                <w:lang w:val="en-US" w:eastAsia="zh-CN"/>
              </w:rPr>
              <w:t>1</w:t>
            </w:r>
            <w:r>
              <w:rPr>
                <w:sz w:val="24"/>
                <w:highlight w:val="none"/>
              </w:rPr>
              <w:t>类标准，</w:t>
            </w:r>
            <w:r>
              <w:rPr>
                <w:rFonts w:hint="eastAsia"/>
                <w:sz w:val="24"/>
                <w:highlight w:val="none"/>
              </w:rPr>
              <w:t>西</w:t>
            </w:r>
            <w:r>
              <w:rPr>
                <w:sz w:val="24"/>
                <w:highlight w:val="none"/>
              </w:rPr>
              <w:t>厂界噪声</w:t>
            </w:r>
            <w:r>
              <w:rPr>
                <w:rFonts w:hint="eastAsia"/>
                <w:sz w:val="24"/>
                <w:highlight w:val="none"/>
              </w:rPr>
              <w:t>满足4</w:t>
            </w:r>
            <w:r>
              <w:rPr>
                <w:sz w:val="24"/>
                <w:highlight w:val="none"/>
              </w:rPr>
              <w:t>类标准。项目噪声对敏感点贡献值较小。</w:t>
            </w:r>
            <w:r>
              <w:rPr>
                <w:rFonts w:hint="eastAsia"/>
                <w:sz w:val="24"/>
                <w:highlight w:val="none"/>
              </w:rPr>
              <w:t>人民医院和惠民</w:t>
            </w:r>
            <w:r>
              <w:rPr>
                <w:sz w:val="24"/>
                <w:highlight w:val="none"/>
              </w:rPr>
              <w:t>小区敏感点声环境质量能够满足《声环境质量标准》(GB3096-2008)的</w:t>
            </w:r>
            <w:r>
              <w:rPr>
                <w:rFonts w:hint="eastAsia"/>
                <w:sz w:val="24"/>
                <w:highlight w:val="none"/>
                <w:lang w:val="en-US" w:eastAsia="zh-CN"/>
              </w:rPr>
              <w:t>1</w:t>
            </w:r>
            <w:r>
              <w:rPr>
                <w:rFonts w:hint="eastAsia"/>
                <w:sz w:val="24"/>
                <w:highlight w:val="none"/>
              </w:rPr>
              <w:t>类</w:t>
            </w:r>
            <w:r>
              <w:rPr>
                <w:sz w:val="24"/>
                <w:highlight w:val="none"/>
              </w:rPr>
              <w:t>标准要求</w:t>
            </w:r>
            <w:r>
              <w:rPr>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4</w:t>
            </w:r>
            <w:r>
              <w:rPr>
                <w:rFonts w:hint="eastAsia" w:ascii="Times New Roman" w:hAnsi="Times New Roman" w:eastAsia="宋体" w:cs="Times New Roman"/>
                <w:color w:val="auto"/>
                <w:sz w:val="24"/>
                <w:szCs w:val="24"/>
                <w:highlight w:val="none"/>
                <w:lang w:val="en-US" w:eastAsia="zh-CN"/>
              </w:rPr>
              <w:t>)外环境噪声对医院的影响</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根据项目分析</w:t>
            </w:r>
            <w:r>
              <w:rPr>
                <w:rFonts w:hint="eastAsia" w:ascii="Times New Roman" w:hAnsi="Times New Roman" w:cs="Times New Roman"/>
                <w:color w:val="auto"/>
                <w:sz w:val="24"/>
                <w:szCs w:val="24"/>
                <w:highlight w:val="none"/>
                <w:lang w:eastAsia="zh-CN"/>
              </w:rPr>
              <w:t>可知，</w:t>
            </w:r>
            <w:r>
              <w:rPr>
                <w:rFonts w:hint="eastAsia" w:ascii="Times New Roman" w:hAnsi="Times New Roman" w:eastAsia="宋体" w:cs="Times New Roman"/>
                <w:color w:val="auto"/>
                <w:sz w:val="24"/>
                <w:szCs w:val="24"/>
                <w:highlight w:val="none"/>
                <w:lang w:eastAsia="zh-CN"/>
              </w:rPr>
              <w:t>运营期</w:t>
            </w:r>
            <w:r>
              <w:rPr>
                <w:rFonts w:hint="eastAsia" w:ascii="Times New Roman" w:hAnsi="Times New Roman" w:cs="Times New Roman"/>
                <w:color w:val="auto"/>
                <w:sz w:val="24"/>
                <w:szCs w:val="24"/>
                <w:highlight w:val="none"/>
                <w:lang w:eastAsia="zh-CN"/>
              </w:rPr>
              <w:t>，西侧丰吉路产生</w:t>
            </w:r>
            <w:r>
              <w:rPr>
                <w:rFonts w:hint="default" w:ascii="Times New Roman" w:hAnsi="Times New Roman" w:eastAsia="宋体" w:cs="Times New Roman"/>
                <w:color w:val="auto"/>
                <w:sz w:val="24"/>
                <w:szCs w:val="24"/>
                <w:highlight w:val="none"/>
              </w:rPr>
              <w:t>对</w:t>
            </w:r>
            <w:r>
              <w:rPr>
                <w:rFonts w:hint="eastAsia"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项目声环境的影响。</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highlight w:val="none"/>
                <w:lang w:eastAsia="zh-CN"/>
              </w:rPr>
            </w:pPr>
            <w:r>
              <w:rPr>
                <w:rFonts w:hint="eastAsia" w:ascii="Times New Roman" w:hAnsi="Times New Roman" w:eastAsia="宋体" w:cs="Times New Roman"/>
                <w:color w:val="auto"/>
                <w:sz w:val="24"/>
                <w:szCs w:val="24"/>
                <w:highlight w:val="none"/>
                <w:lang w:eastAsia="zh-CN"/>
              </w:rPr>
              <w:t>经调查类比相关数据，该道路</w:t>
            </w:r>
            <w:r>
              <w:rPr>
                <w:rFonts w:hint="default" w:ascii="Times New Roman" w:hAnsi="Times New Roman" w:eastAsia="宋体" w:cs="Times New Roman"/>
                <w:color w:val="auto"/>
                <w:sz w:val="24"/>
                <w:szCs w:val="24"/>
                <w:highlight w:val="none"/>
              </w:rPr>
              <w:t>昼间噪声值</w:t>
            </w:r>
            <w:r>
              <w:rPr>
                <w:rFonts w:hint="eastAsia" w:ascii="Times New Roman" w:hAnsi="Times New Roman" w:eastAsia="宋体" w:cs="Times New Roman"/>
                <w:color w:val="auto"/>
                <w:sz w:val="24"/>
                <w:szCs w:val="24"/>
                <w:highlight w:val="none"/>
                <w:lang w:eastAsia="zh-CN"/>
              </w:rPr>
              <w:t>分别</w:t>
            </w:r>
            <w:r>
              <w:rPr>
                <w:rFonts w:hint="default" w:ascii="Times New Roman" w:hAnsi="Times New Roman" w:eastAsia="宋体" w:cs="Times New Roman"/>
                <w:color w:val="auto"/>
                <w:sz w:val="24"/>
                <w:szCs w:val="24"/>
                <w:highlight w:val="none"/>
              </w:rPr>
              <w:t>为</w:t>
            </w:r>
            <w:r>
              <w:rPr>
                <w:rFonts w:hint="eastAsia" w:ascii="Times New Roman" w:hAnsi="Times New Roman" w:cs="Times New Roman"/>
                <w:color w:val="auto"/>
                <w:sz w:val="24"/>
                <w:szCs w:val="24"/>
                <w:highlight w:val="none"/>
                <w:lang w:val="en-US" w:eastAsia="zh-CN"/>
              </w:rPr>
              <w:t>41.2</w:t>
            </w:r>
            <w:r>
              <w:rPr>
                <w:rFonts w:hint="eastAsia" w:ascii="Times New Roman" w:hAnsi="Times New Roman" w:eastAsia="宋体"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45.1</w:t>
            </w:r>
            <w:r>
              <w:rPr>
                <w:rFonts w:hint="default" w:ascii="Times New Roman" w:hAnsi="Times New Roman" w:eastAsia="宋体" w:cs="Times New Roman"/>
                <w:color w:val="auto"/>
                <w:sz w:val="24"/>
                <w:szCs w:val="24"/>
                <w:highlight w:val="none"/>
              </w:rPr>
              <w:t>dB(A)</w:t>
            </w:r>
            <w:r>
              <w:rPr>
                <w:rFonts w:hint="eastAsia" w:ascii="Times New Roman" w:hAnsi="Times New Roman" w:eastAsia="宋体" w:cs="Times New Roman"/>
                <w:color w:val="auto"/>
                <w:sz w:val="24"/>
                <w:szCs w:val="24"/>
                <w:highlight w:val="none"/>
                <w:lang w:eastAsia="zh-CN"/>
              </w:rPr>
              <w:t>左右</w:t>
            </w:r>
            <w:r>
              <w:rPr>
                <w:rFonts w:hint="default" w:ascii="Times New Roman" w:hAnsi="Times New Roman" w:eastAsia="宋体" w:cs="Times New Roman"/>
                <w:color w:val="auto"/>
                <w:sz w:val="24"/>
                <w:szCs w:val="24"/>
                <w:highlight w:val="none"/>
              </w:rPr>
              <w:t>，夜间噪声值分别为</w:t>
            </w:r>
            <w:r>
              <w:rPr>
                <w:rFonts w:hint="eastAsia" w:ascii="Times New Roman" w:hAnsi="Times New Roman" w:cs="Times New Roman"/>
                <w:color w:val="auto"/>
                <w:sz w:val="24"/>
                <w:szCs w:val="24"/>
                <w:highlight w:val="none"/>
                <w:lang w:val="en-US" w:eastAsia="zh-CN"/>
              </w:rPr>
              <w:t>39</w:t>
            </w:r>
            <w:r>
              <w:rPr>
                <w:rFonts w:hint="eastAsia" w:ascii="Times New Roman" w:hAnsi="Times New Roman" w:eastAsia="宋体"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40</w:t>
            </w:r>
            <w:r>
              <w:rPr>
                <w:rFonts w:hint="default" w:ascii="Times New Roman" w:hAnsi="Times New Roman" w:eastAsia="宋体" w:cs="Times New Roman"/>
                <w:color w:val="auto"/>
                <w:sz w:val="24"/>
                <w:szCs w:val="24"/>
                <w:highlight w:val="none"/>
              </w:rPr>
              <w:t>dB(A)</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bCs/>
                <w:color w:val="auto"/>
                <w:sz w:val="24"/>
                <w:szCs w:val="24"/>
                <w:highlight w:val="none"/>
              </w:rPr>
              <w:t>昼、夜间噪声</w:t>
            </w:r>
            <w:r>
              <w:rPr>
                <w:rFonts w:hint="eastAsia" w:ascii="Times New Roman" w:hAnsi="Times New Roman" w:eastAsia="宋体" w:cs="Times New Roman"/>
                <w:bCs/>
                <w:color w:val="auto"/>
                <w:sz w:val="24"/>
                <w:szCs w:val="24"/>
                <w:highlight w:val="none"/>
                <w:lang w:eastAsia="zh-CN"/>
              </w:rPr>
              <w:t>满足</w:t>
            </w:r>
            <w:r>
              <w:rPr>
                <w:rFonts w:hint="default" w:ascii="Times New Roman" w:hAnsi="Times New Roman" w:eastAsia="宋体" w:cs="Times New Roman"/>
                <w:bCs/>
                <w:color w:val="auto"/>
                <w:sz w:val="24"/>
                <w:szCs w:val="24"/>
                <w:highlight w:val="none"/>
              </w:rPr>
              <w:t>《声环境质量标准》中</w:t>
            </w:r>
            <w:r>
              <w:rPr>
                <w:rFonts w:hint="eastAsia" w:ascii="Times New Roman" w:hAnsi="Times New Roman" w:eastAsia="宋体" w:cs="Times New Roman"/>
                <w:bCs/>
                <w:color w:val="auto"/>
                <w:sz w:val="24"/>
                <w:szCs w:val="24"/>
                <w:highlight w:val="none"/>
                <w:lang w:val="en-US" w:eastAsia="zh-CN"/>
              </w:rPr>
              <w:t>4a</w:t>
            </w:r>
            <w:r>
              <w:rPr>
                <w:rFonts w:hint="default" w:ascii="Times New Roman" w:hAnsi="Times New Roman" w:eastAsia="宋体" w:cs="Times New Roman"/>
                <w:bCs/>
                <w:color w:val="auto"/>
                <w:sz w:val="24"/>
                <w:szCs w:val="24"/>
                <w:highlight w:val="none"/>
              </w:rPr>
              <w:t>类标准要求。</w:t>
            </w:r>
            <w:r>
              <w:rPr>
                <w:rFonts w:hint="eastAsia" w:ascii="Times New Roman" w:hAnsi="Times New Roman" w:eastAsia="宋体" w:cs="Times New Roman"/>
                <w:bCs/>
                <w:color w:val="auto"/>
                <w:sz w:val="24"/>
                <w:szCs w:val="24"/>
                <w:highlight w:val="none"/>
                <w:lang w:eastAsia="zh-CN"/>
              </w:rPr>
              <w:t>噪声贡献点</w:t>
            </w:r>
            <w:r>
              <w:rPr>
                <w:rFonts w:hint="default" w:ascii="Times New Roman" w:hAnsi="Times New Roman" w:eastAsia="宋体" w:cs="Times New Roman"/>
                <w:bCs/>
                <w:color w:val="auto"/>
                <w:sz w:val="24"/>
                <w:szCs w:val="24"/>
                <w:highlight w:val="none"/>
              </w:rPr>
              <w:t>距离</w:t>
            </w:r>
            <w:r>
              <w:rPr>
                <w:rFonts w:hint="eastAsia" w:ascii="Times New Roman" w:hAnsi="Times New Roman" w:cs="Times New Roman"/>
                <w:color w:val="auto"/>
                <w:sz w:val="24"/>
                <w:szCs w:val="24"/>
                <w:highlight w:val="none"/>
                <w:lang w:eastAsia="zh-CN"/>
              </w:rPr>
              <w:t>丰吉路</w:t>
            </w:r>
            <w:r>
              <w:rPr>
                <w:rFonts w:hint="eastAsia" w:ascii="Times New Roman" w:hAnsi="Times New Roman" w:eastAsia="宋体" w:cs="Times New Roman"/>
                <w:bCs/>
                <w:color w:val="auto"/>
                <w:sz w:val="24"/>
                <w:szCs w:val="24"/>
                <w:highlight w:val="none"/>
                <w:lang w:eastAsia="zh-CN"/>
              </w:rPr>
              <w:t>最近敏感点</w:t>
            </w:r>
            <w:r>
              <w:rPr>
                <w:rFonts w:hint="default" w:ascii="Times New Roman" w:hAnsi="Times New Roman" w:eastAsia="宋体" w:cs="Times New Roman"/>
                <w:bCs/>
                <w:color w:val="auto"/>
                <w:sz w:val="24"/>
                <w:szCs w:val="24"/>
                <w:highlight w:val="none"/>
              </w:rPr>
              <w:t>约</w:t>
            </w:r>
            <w:r>
              <w:rPr>
                <w:rFonts w:hint="eastAsia" w:ascii="Times New Roman" w:hAnsi="Times New Roman" w:cs="Times New Roman"/>
                <w:bCs/>
                <w:color w:val="auto"/>
                <w:sz w:val="24"/>
                <w:szCs w:val="24"/>
                <w:highlight w:val="none"/>
                <w:lang w:val="en-US" w:eastAsia="zh-CN"/>
              </w:rPr>
              <w:t>35</w:t>
            </w:r>
            <w:r>
              <w:rPr>
                <w:rFonts w:hint="default" w:ascii="Times New Roman" w:hAnsi="Times New Roman" w:eastAsia="宋体" w:cs="Times New Roman"/>
                <w:bCs/>
                <w:color w:val="auto"/>
                <w:sz w:val="24"/>
                <w:szCs w:val="24"/>
                <w:highlight w:val="none"/>
              </w:rPr>
              <w:t>m，</w:t>
            </w:r>
            <w:r>
              <w:rPr>
                <w:rFonts w:hint="eastAsia" w:ascii="Times New Roman" w:hAnsi="Times New Roman" w:eastAsia="宋体" w:cs="Times New Roman"/>
                <w:bCs/>
                <w:color w:val="auto"/>
                <w:sz w:val="24"/>
                <w:szCs w:val="24"/>
                <w:highlight w:val="none"/>
                <w:lang w:eastAsia="zh-CN"/>
              </w:rPr>
              <w:t>经距离衰减后，噪声贡献值为</w:t>
            </w:r>
            <w:r>
              <w:rPr>
                <w:rFonts w:hint="eastAsia" w:ascii="Times New Roman" w:hAnsi="Times New Roman" w:cs="Times New Roman"/>
                <w:bCs/>
                <w:color w:val="auto"/>
                <w:sz w:val="24"/>
                <w:szCs w:val="24"/>
                <w:highlight w:val="none"/>
                <w:lang w:val="en-US" w:eastAsia="zh-CN"/>
              </w:rPr>
              <w:t>10.32</w:t>
            </w:r>
            <w:r>
              <w:rPr>
                <w:rFonts w:hint="eastAsia" w:ascii="Times New Roman" w:hAnsi="Times New Roman" w:eastAsia="宋体" w:cs="Times New Roman"/>
                <w:bCs/>
                <w:color w:val="auto"/>
                <w:sz w:val="24"/>
                <w:szCs w:val="24"/>
                <w:highlight w:val="none"/>
                <w:lang w:val="en-US" w:eastAsia="zh-CN"/>
              </w:rPr>
              <w:t>-</w:t>
            </w:r>
            <w:r>
              <w:rPr>
                <w:rFonts w:hint="eastAsia" w:ascii="Times New Roman" w:hAnsi="Times New Roman" w:cs="Times New Roman"/>
                <w:bCs/>
                <w:color w:val="auto"/>
                <w:sz w:val="24"/>
                <w:szCs w:val="24"/>
                <w:highlight w:val="none"/>
                <w:lang w:val="en-US" w:eastAsia="zh-CN"/>
              </w:rPr>
              <w:t>14</w:t>
            </w:r>
            <w:r>
              <w:rPr>
                <w:rFonts w:hint="eastAsia" w:ascii="Times New Roman" w:hAnsi="Times New Roman" w:eastAsia="宋体" w:cs="Times New Roman"/>
                <w:bCs/>
                <w:color w:val="auto"/>
                <w:sz w:val="24"/>
                <w:szCs w:val="24"/>
                <w:highlight w:val="none"/>
                <w:lang w:val="en-US" w:eastAsia="zh-CN"/>
              </w:rPr>
              <w:t>.</w:t>
            </w:r>
            <w:r>
              <w:rPr>
                <w:rFonts w:hint="eastAsia" w:ascii="Times New Roman" w:hAnsi="Times New Roman" w:cs="Times New Roman"/>
                <w:bCs/>
                <w:color w:val="auto"/>
                <w:sz w:val="24"/>
                <w:szCs w:val="24"/>
                <w:highlight w:val="none"/>
                <w:lang w:val="en-US" w:eastAsia="zh-CN"/>
              </w:rPr>
              <w:t>2</w:t>
            </w:r>
            <w:r>
              <w:rPr>
                <w:rFonts w:hint="eastAsia" w:ascii="Times New Roman" w:hAnsi="Times New Roman" w:eastAsia="宋体" w:cs="Times New Roman"/>
                <w:bCs/>
                <w:color w:val="auto"/>
                <w:sz w:val="24"/>
                <w:szCs w:val="24"/>
                <w:highlight w:val="none"/>
                <w:lang w:val="en-US" w:eastAsia="zh-CN"/>
              </w:rPr>
              <w:t>2</w:t>
            </w:r>
            <w:r>
              <w:rPr>
                <w:rFonts w:hint="default" w:ascii="Times New Roman" w:hAnsi="Times New Roman" w:eastAsia="宋体" w:cs="Times New Roman"/>
                <w:color w:val="auto"/>
                <w:sz w:val="24"/>
                <w:szCs w:val="24"/>
                <w:highlight w:val="none"/>
              </w:rPr>
              <w:t>dB(A)</w:t>
            </w:r>
            <w:r>
              <w:rPr>
                <w:rFonts w:hint="eastAsia" w:ascii="Times New Roman" w:hAnsi="Times New Roman" w:eastAsia="宋体" w:cs="Times New Roman"/>
                <w:bCs/>
                <w:color w:val="auto"/>
                <w:sz w:val="24"/>
                <w:szCs w:val="24"/>
                <w:highlight w:val="none"/>
                <w:lang w:eastAsia="zh-CN"/>
              </w:rPr>
              <w:t>，</w:t>
            </w:r>
            <w:r>
              <w:rPr>
                <w:rFonts w:hint="default" w:ascii="Times New Roman" w:hAnsi="Times New Roman" w:eastAsia="宋体" w:cs="Times New Roman"/>
                <w:snapToGrid w:val="0"/>
                <w:color w:val="auto"/>
                <w:spacing w:val="2"/>
                <w:kern w:val="0"/>
                <w:sz w:val="24"/>
                <w:szCs w:val="24"/>
                <w:highlight w:val="none"/>
              </w:rPr>
              <w:t>项目建成后</w:t>
            </w:r>
            <w:r>
              <w:rPr>
                <w:rFonts w:hint="eastAsia" w:ascii="Times New Roman" w:hAnsi="Times New Roman" w:cs="Times New Roman"/>
                <w:snapToGrid w:val="0"/>
                <w:color w:val="auto"/>
                <w:spacing w:val="2"/>
                <w:kern w:val="0"/>
                <w:sz w:val="24"/>
                <w:szCs w:val="24"/>
                <w:highlight w:val="none"/>
                <w:lang w:eastAsia="zh-CN"/>
              </w:rPr>
              <w:t>丰吉路</w:t>
            </w:r>
            <w:r>
              <w:rPr>
                <w:rFonts w:hint="default" w:ascii="Times New Roman" w:hAnsi="Times New Roman" w:eastAsia="宋体" w:cs="Times New Roman"/>
                <w:bCs/>
                <w:color w:val="auto"/>
                <w:sz w:val="24"/>
                <w:szCs w:val="24"/>
                <w:highlight w:val="none"/>
              </w:rPr>
              <w:t>交通噪声对</w:t>
            </w:r>
            <w:r>
              <w:rPr>
                <w:rFonts w:hint="eastAsia" w:ascii="Times New Roman" w:hAnsi="Times New Roman" w:cs="Times New Roman"/>
                <w:bCs/>
                <w:color w:val="auto"/>
                <w:sz w:val="24"/>
                <w:szCs w:val="24"/>
                <w:highlight w:val="none"/>
                <w:lang w:eastAsia="zh-CN"/>
              </w:rPr>
              <w:t>本项目</w:t>
            </w:r>
            <w:r>
              <w:rPr>
                <w:rFonts w:hint="eastAsia" w:ascii="Times New Roman" w:hAnsi="Times New Roman" w:eastAsia="宋体" w:cs="Times New Roman"/>
                <w:bCs/>
                <w:color w:val="auto"/>
                <w:sz w:val="24"/>
                <w:szCs w:val="24"/>
                <w:highlight w:val="none"/>
                <w:lang w:eastAsia="zh-CN"/>
              </w:rPr>
              <w:t>敏感点</w:t>
            </w:r>
            <w:r>
              <w:rPr>
                <w:rFonts w:hint="default" w:ascii="Times New Roman" w:hAnsi="Times New Roman" w:eastAsia="宋体" w:cs="Times New Roman"/>
                <w:snapToGrid w:val="0"/>
                <w:color w:val="auto"/>
                <w:spacing w:val="2"/>
                <w:kern w:val="0"/>
                <w:sz w:val="24"/>
                <w:szCs w:val="24"/>
                <w:highlight w:val="none"/>
              </w:rPr>
              <w:t>环境影响较小，可满足《声环境质量标准》(GB3096-2008)</w:t>
            </w:r>
            <w:r>
              <w:rPr>
                <w:rFonts w:hint="eastAsia" w:ascii="Times New Roman" w:hAnsi="Times New Roman" w:cs="Times New Roman"/>
                <w:snapToGrid w:val="0"/>
                <w:color w:val="auto"/>
                <w:spacing w:val="2"/>
                <w:kern w:val="0"/>
                <w:sz w:val="24"/>
                <w:szCs w:val="24"/>
                <w:highlight w:val="none"/>
                <w:lang w:val="en-US" w:eastAsia="zh-CN"/>
              </w:rPr>
              <w:t>1</w:t>
            </w:r>
            <w:r>
              <w:rPr>
                <w:rFonts w:hint="default" w:ascii="Times New Roman" w:hAnsi="Times New Roman" w:eastAsia="宋体" w:cs="Times New Roman"/>
                <w:snapToGrid w:val="0"/>
                <w:color w:val="auto"/>
                <w:spacing w:val="2"/>
                <w:kern w:val="0"/>
                <w:sz w:val="24"/>
                <w:szCs w:val="24"/>
                <w:highlight w:val="none"/>
              </w:rPr>
              <w:t>类标准要求。</w:t>
            </w:r>
          </w:p>
          <w:p>
            <w:pPr>
              <w:pStyle w:val="6"/>
              <w:numPr>
                <w:ilvl w:val="0"/>
                <w:numId w:val="3"/>
              </w:numPr>
              <w:adjustRightInd w:val="0"/>
              <w:snapToGrid w:val="0"/>
              <w:spacing w:line="360" w:lineRule="auto"/>
              <w:ind w:firstLine="419" w:firstLineChars="174"/>
              <w:rPr>
                <w:rFonts w:hint="eastAsia"/>
                <w:b/>
                <w:sz w:val="24"/>
                <w:szCs w:val="24"/>
                <w:highlight w:val="none"/>
              </w:rPr>
            </w:pPr>
            <w:r>
              <w:rPr>
                <w:rFonts w:hint="eastAsia"/>
                <w:b/>
                <w:sz w:val="24"/>
                <w:szCs w:val="24"/>
                <w:highlight w:val="none"/>
              </w:rPr>
              <w:t>土壤环境影响分析</w:t>
            </w:r>
          </w:p>
          <w:p>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caps w:val="0"/>
                <w:kern w:val="2"/>
                <w:sz w:val="24"/>
                <w:szCs w:val="22"/>
                <w:highlight w:val="none"/>
                <w:lang w:val="en-US" w:eastAsia="zh-CN" w:bidi="ar-SA"/>
              </w:rPr>
            </w:pPr>
            <w:r>
              <w:rPr>
                <w:rFonts w:hint="default"/>
                <w:b w:val="0"/>
                <w:caps w:val="0"/>
                <w:kern w:val="2"/>
                <w:sz w:val="24"/>
                <w:szCs w:val="22"/>
                <w:highlight w:val="none"/>
                <w:lang w:val="en-US" w:eastAsia="zh-CN" w:bidi="ar-SA"/>
              </w:rPr>
              <w:t>根据《环境影响评价技术导则  土壤环境</w:t>
            </w:r>
            <w:r>
              <w:rPr>
                <w:rFonts w:hint="eastAsia"/>
                <w:b w:val="0"/>
                <w:caps w:val="0"/>
                <w:kern w:val="2"/>
                <w:sz w:val="24"/>
                <w:szCs w:val="22"/>
                <w:highlight w:val="none"/>
                <w:lang w:val="en-US" w:eastAsia="zh-CN" w:bidi="ar-SA"/>
              </w:rPr>
              <w:t>(</w:t>
            </w:r>
            <w:r>
              <w:rPr>
                <w:rFonts w:hint="default"/>
                <w:b w:val="0"/>
                <w:caps w:val="0"/>
                <w:kern w:val="2"/>
                <w:sz w:val="24"/>
                <w:szCs w:val="22"/>
                <w:highlight w:val="none"/>
                <w:lang w:val="en-US" w:eastAsia="zh-CN" w:bidi="ar-SA"/>
              </w:rPr>
              <w:t>试行</w:t>
            </w:r>
            <w:r>
              <w:rPr>
                <w:rFonts w:hint="eastAsia"/>
                <w:b w:val="0"/>
                <w:caps w:val="0"/>
                <w:kern w:val="2"/>
                <w:sz w:val="24"/>
                <w:szCs w:val="22"/>
                <w:highlight w:val="none"/>
                <w:lang w:val="en-US" w:eastAsia="zh-CN" w:bidi="ar-SA"/>
              </w:rPr>
              <w:t>)</w:t>
            </w:r>
            <w:r>
              <w:rPr>
                <w:rFonts w:hint="default"/>
                <w:b w:val="0"/>
                <w:caps w:val="0"/>
                <w:kern w:val="2"/>
                <w:sz w:val="24"/>
                <w:szCs w:val="22"/>
                <w:highlight w:val="none"/>
                <w:lang w:val="en-US" w:eastAsia="zh-CN" w:bidi="ar-SA"/>
              </w:rPr>
              <w:t>》</w:t>
            </w:r>
            <w:r>
              <w:rPr>
                <w:rFonts w:hint="eastAsia"/>
                <w:b w:val="0"/>
                <w:caps w:val="0"/>
                <w:kern w:val="2"/>
                <w:sz w:val="24"/>
                <w:szCs w:val="22"/>
                <w:highlight w:val="none"/>
                <w:lang w:val="en-US" w:eastAsia="zh-CN" w:bidi="ar-SA"/>
              </w:rPr>
              <w:t>(</w:t>
            </w:r>
            <w:r>
              <w:rPr>
                <w:rFonts w:hint="default"/>
                <w:b w:val="0"/>
                <w:caps w:val="0"/>
                <w:kern w:val="2"/>
                <w:sz w:val="24"/>
                <w:szCs w:val="22"/>
                <w:highlight w:val="none"/>
                <w:lang w:val="en-US" w:eastAsia="zh-CN" w:bidi="ar-SA"/>
              </w:rPr>
              <w:t>HJ 964</w:t>
            </w:r>
            <w:r>
              <w:rPr>
                <w:rFonts w:hint="eastAsia"/>
                <w:b w:val="0"/>
                <w:caps w:val="0"/>
                <w:kern w:val="2"/>
                <w:sz w:val="24"/>
                <w:szCs w:val="22"/>
                <w:highlight w:val="none"/>
                <w:lang w:val="en-US" w:eastAsia="zh-CN" w:bidi="ar-SA"/>
              </w:rPr>
              <w:t>-</w:t>
            </w:r>
            <w:r>
              <w:rPr>
                <w:rFonts w:hint="default"/>
                <w:b w:val="0"/>
                <w:caps w:val="0"/>
                <w:kern w:val="2"/>
                <w:sz w:val="24"/>
                <w:szCs w:val="22"/>
                <w:highlight w:val="none"/>
                <w:lang w:val="en-US" w:eastAsia="zh-CN" w:bidi="ar-SA"/>
              </w:rPr>
              <w:t>2018</w:t>
            </w:r>
            <w:r>
              <w:rPr>
                <w:rFonts w:hint="eastAsia"/>
                <w:b w:val="0"/>
                <w:caps w:val="0"/>
                <w:kern w:val="2"/>
                <w:sz w:val="24"/>
                <w:szCs w:val="22"/>
                <w:highlight w:val="none"/>
                <w:lang w:val="en-US" w:eastAsia="zh-CN" w:bidi="ar-SA"/>
              </w:rPr>
              <w:t>)</w:t>
            </w:r>
            <w:r>
              <w:rPr>
                <w:rFonts w:hint="default"/>
                <w:b w:val="0"/>
                <w:caps w:val="0"/>
                <w:kern w:val="2"/>
                <w:sz w:val="24"/>
                <w:szCs w:val="22"/>
                <w:highlight w:val="none"/>
                <w:lang w:val="en-US" w:eastAsia="zh-CN" w:bidi="ar-SA"/>
              </w:rPr>
              <w:t>附录A  表A.1土壤环境影响评价项目类别：</w:t>
            </w:r>
            <w:r>
              <w:rPr>
                <w:rFonts w:hint="eastAsia"/>
                <w:b w:val="0"/>
                <w:caps w:val="0"/>
                <w:kern w:val="2"/>
                <w:sz w:val="24"/>
                <w:szCs w:val="22"/>
                <w:highlight w:val="none"/>
                <w:lang w:val="en-US" w:eastAsia="zh-CN" w:bidi="ar-SA"/>
              </w:rPr>
              <w:t>本项目为体检中心，属于“其他行业”，为Ⅳ类项目，不需要开展土壤环境影响评价。</w:t>
            </w:r>
          </w:p>
          <w:p>
            <w:pPr>
              <w:pStyle w:val="6"/>
              <w:numPr>
                <w:ilvl w:val="0"/>
                <w:numId w:val="3"/>
              </w:numPr>
              <w:adjustRightInd w:val="0"/>
              <w:snapToGrid w:val="0"/>
              <w:spacing w:line="360" w:lineRule="auto"/>
              <w:ind w:firstLine="419" w:firstLineChars="174"/>
              <w:rPr>
                <w:rFonts w:hint="eastAsia"/>
                <w:b/>
                <w:sz w:val="24"/>
                <w:szCs w:val="24"/>
                <w:highlight w:val="none"/>
              </w:rPr>
            </w:pPr>
            <w:bookmarkStart w:id="3" w:name="_Toc146329978"/>
            <w:bookmarkStart w:id="4" w:name="_Toc289581318"/>
            <w:r>
              <w:rPr>
                <w:rFonts w:hint="eastAsia"/>
                <w:b/>
                <w:sz w:val="24"/>
                <w:szCs w:val="24"/>
                <w:highlight w:val="none"/>
              </w:rPr>
              <w:t>环境风险</w:t>
            </w:r>
          </w:p>
          <w:p>
            <w:pPr>
              <w:adjustRightInd w:val="0"/>
              <w:snapToGrid w:val="0"/>
              <w:spacing w:line="360" w:lineRule="auto"/>
              <w:ind w:firstLine="480" w:firstLineChars="200"/>
              <w:jc w:val="left"/>
              <w:rPr>
                <w:b/>
                <w:bCs/>
                <w:highlight w:val="none"/>
              </w:rPr>
            </w:pPr>
            <w:r>
              <w:rPr>
                <w:kern w:val="24"/>
                <w:sz w:val="24"/>
                <w:szCs w:val="24"/>
                <w:highlight w:val="none"/>
              </w:rPr>
              <w:t>根据</w:t>
            </w:r>
            <w:r>
              <w:rPr>
                <w:snapToGrid w:val="0"/>
                <w:spacing w:val="2"/>
                <w:kern w:val="0"/>
                <w:sz w:val="24"/>
                <w:szCs w:val="24"/>
                <w:highlight w:val="none"/>
              </w:rPr>
              <w:t>《</w:t>
            </w:r>
            <w:r>
              <w:rPr>
                <w:kern w:val="24"/>
                <w:sz w:val="24"/>
                <w:szCs w:val="24"/>
                <w:highlight w:val="none"/>
              </w:rPr>
              <w:t>建设项目环境风险评价技术导则</w:t>
            </w:r>
            <w:r>
              <w:rPr>
                <w:snapToGrid w:val="0"/>
                <w:spacing w:val="2"/>
                <w:kern w:val="0"/>
                <w:sz w:val="24"/>
                <w:szCs w:val="24"/>
                <w:highlight w:val="none"/>
              </w:rPr>
              <w:t>》</w:t>
            </w:r>
            <w:r>
              <w:rPr>
                <w:kern w:val="24"/>
                <w:sz w:val="24"/>
                <w:szCs w:val="24"/>
                <w:highlight w:val="none"/>
              </w:rPr>
              <w:t>(HJ 169—2018)，项目无附录B的风险物质，故判断项目风险潜势为</w:t>
            </w:r>
            <w:r>
              <w:rPr>
                <w:kern w:val="0"/>
                <w:sz w:val="24"/>
                <w:szCs w:val="24"/>
                <w:highlight w:val="none"/>
              </w:rPr>
              <w:fldChar w:fldCharType="begin"/>
            </w:r>
            <w:r>
              <w:rPr>
                <w:kern w:val="0"/>
                <w:sz w:val="24"/>
                <w:szCs w:val="24"/>
                <w:highlight w:val="none"/>
              </w:rPr>
              <w:instrText xml:space="preserve"> = 1 \* ROMAN \* MERGEFORMAT </w:instrText>
            </w:r>
            <w:r>
              <w:rPr>
                <w:kern w:val="0"/>
                <w:sz w:val="24"/>
                <w:szCs w:val="24"/>
                <w:highlight w:val="none"/>
              </w:rPr>
              <w:fldChar w:fldCharType="separate"/>
            </w:r>
            <w:r>
              <w:rPr>
                <w:highlight w:val="none"/>
              </w:rPr>
              <w:t>I</w:t>
            </w:r>
            <w:r>
              <w:rPr>
                <w:kern w:val="0"/>
                <w:sz w:val="24"/>
                <w:szCs w:val="24"/>
                <w:highlight w:val="none"/>
              </w:rPr>
              <w:fldChar w:fldCharType="end"/>
            </w:r>
            <w:r>
              <w:rPr>
                <w:kern w:val="0"/>
                <w:sz w:val="24"/>
                <w:szCs w:val="24"/>
                <w:highlight w:val="none"/>
              </w:rPr>
              <w:t>，可确定本环评风险评价工作等级为简单分析。</w:t>
            </w:r>
          </w:p>
          <w:p>
            <w:pPr>
              <w:adjustRightInd w:val="0"/>
              <w:snapToGrid w:val="0"/>
              <w:spacing w:line="480" w:lineRule="exact"/>
              <w:ind w:firstLine="480" w:firstLineChars="200"/>
              <w:jc w:val="left"/>
              <w:rPr>
                <w:kern w:val="24"/>
                <w:sz w:val="24"/>
                <w:szCs w:val="24"/>
                <w:highlight w:val="none"/>
              </w:rPr>
            </w:pPr>
            <w:r>
              <w:rPr>
                <w:rFonts w:hint="eastAsia"/>
                <w:kern w:val="24"/>
                <w:sz w:val="24"/>
                <w:szCs w:val="24"/>
                <w:highlight w:val="none"/>
              </w:rPr>
              <w:t>（1）环境风险识别</w:t>
            </w:r>
          </w:p>
          <w:p>
            <w:pPr>
              <w:adjustRightInd w:val="0"/>
              <w:snapToGrid w:val="0"/>
              <w:spacing w:line="480" w:lineRule="exact"/>
              <w:ind w:firstLine="480" w:firstLineChars="200"/>
              <w:jc w:val="left"/>
              <w:rPr>
                <w:rFonts w:hint="eastAsia"/>
                <w:kern w:val="24"/>
                <w:sz w:val="24"/>
                <w:szCs w:val="24"/>
                <w:highlight w:val="none"/>
              </w:rPr>
            </w:pPr>
            <w:r>
              <w:rPr>
                <w:rFonts w:hint="eastAsia"/>
                <w:kern w:val="24"/>
                <w:sz w:val="24"/>
                <w:szCs w:val="24"/>
                <w:highlight w:val="none"/>
              </w:rPr>
              <w:t>根据</w:t>
            </w:r>
            <w:r>
              <w:rPr>
                <w:snapToGrid w:val="0"/>
                <w:spacing w:val="2"/>
                <w:kern w:val="0"/>
                <w:sz w:val="24"/>
                <w:szCs w:val="24"/>
                <w:highlight w:val="none"/>
              </w:rPr>
              <w:t>《</w:t>
            </w:r>
            <w:r>
              <w:rPr>
                <w:rFonts w:hint="eastAsia"/>
                <w:kern w:val="24"/>
                <w:sz w:val="24"/>
                <w:szCs w:val="24"/>
                <w:highlight w:val="none"/>
              </w:rPr>
              <w:t>建设项目环境风险评价技术导则</w:t>
            </w:r>
            <w:r>
              <w:rPr>
                <w:snapToGrid w:val="0"/>
                <w:spacing w:val="2"/>
                <w:kern w:val="0"/>
                <w:sz w:val="24"/>
                <w:szCs w:val="24"/>
                <w:highlight w:val="none"/>
              </w:rPr>
              <w:t>》</w:t>
            </w:r>
            <w:r>
              <w:rPr>
                <w:rFonts w:hint="eastAsia"/>
                <w:kern w:val="24"/>
                <w:sz w:val="24"/>
                <w:szCs w:val="24"/>
                <w:highlight w:val="none"/>
              </w:rPr>
              <w:t>(HJ 169—2018)，风险类型包括危险物质泄漏，以及火灾、爆炸等引发的伴生/次生污染物排放。</w:t>
            </w:r>
          </w:p>
          <w:p>
            <w:pPr>
              <w:adjustRightInd w:val="0"/>
              <w:snapToGrid w:val="0"/>
              <w:spacing w:line="480" w:lineRule="exact"/>
              <w:ind w:firstLine="480" w:firstLineChars="200"/>
              <w:jc w:val="left"/>
              <w:rPr>
                <w:color w:val="FF0000"/>
                <w:kern w:val="24"/>
                <w:sz w:val="24"/>
                <w:szCs w:val="24"/>
                <w:highlight w:val="none"/>
              </w:rPr>
            </w:pPr>
            <w:r>
              <w:rPr>
                <w:rFonts w:hint="eastAsia"/>
                <w:sz w:val="24"/>
                <w:highlight w:val="none"/>
              </w:rPr>
              <w:t>根据项目特点，</w:t>
            </w:r>
            <w:r>
              <w:rPr>
                <w:sz w:val="24"/>
                <w:szCs w:val="24"/>
                <w:highlight w:val="none"/>
              </w:rPr>
              <w:t>环境风险主要为泄漏风险，主要来自</w:t>
            </w:r>
            <w:r>
              <w:rPr>
                <w:rFonts w:hint="eastAsia"/>
                <w:sz w:val="24"/>
                <w:highlight w:val="none"/>
              </w:rPr>
              <w:t>医疗污水和医疗废物泄漏。</w:t>
            </w:r>
          </w:p>
          <w:p>
            <w:pPr>
              <w:adjustRightInd w:val="0"/>
              <w:snapToGrid w:val="0"/>
              <w:spacing w:line="480" w:lineRule="exact"/>
              <w:ind w:firstLine="480" w:firstLineChars="200"/>
              <w:jc w:val="left"/>
              <w:rPr>
                <w:rFonts w:hint="eastAsia"/>
                <w:sz w:val="24"/>
                <w:szCs w:val="24"/>
                <w:highlight w:val="none"/>
              </w:rPr>
            </w:pPr>
            <w:r>
              <w:rPr>
                <w:rFonts w:hint="eastAsia"/>
                <w:sz w:val="24"/>
                <w:szCs w:val="24"/>
                <w:highlight w:val="none"/>
              </w:rPr>
              <w:t>（2）环境风险防范措施及应急要求</w:t>
            </w:r>
          </w:p>
          <w:p>
            <w:pPr>
              <w:pStyle w:val="33"/>
              <w:adjustRightInd w:val="0"/>
              <w:snapToGrid w:val="0"/>
              <w:spacing w:before="0" w:beforeAutospacing="0" w:after="0" w:afterAutospacing="0" w:line="480" w:lineRule="exact"/>
              <w:ind w:firstLine="480" w:firstLineChars="200"/>
              <w:rPr>
                <w:rFonts w:hint="eastAsia" w:ascii="Times New Roman" w:hAnsi="Times New Roman" w:cs="Times New Roman"/>
                <w:highlight w:val="none"/>
              </w:rPr>
            </w:pPr>
            <w:r>
              <w:rPr>
                <w:rFonts w:hint="eastAsia" w:ascii="Times New Roman" w:hAnsi="Times New Roman" w:cs="Times New Roman"/>
                <w:highlight w:val="none"/>
              </w:rPr>
              <w:t>a医疗污水事故性排放风险及措施</w:t>
            </w:r>
          </w:p>
          <w:p>
            <w:pPr>
              <w:pStyle w:val="33"/>
              <w:adjustRightInd w:val="0"/>
              <w:snapToGrid w:val="0"/>
              <w:spacing w:before="0" w:beforeAutospacing="0" w:after="0" w:afterAutospacing="0" w:line="480" w:lineRule="exact"/>
              <w:ind w:firstLine="480" w:firstLineChars="200"/>
              <w:rPr>
                <w:rFonts w:hint="eastAsia" w:ascii="Times New Roman" w:hAnsi="Times New Roman" w:cs="Times New Roman"/>
                <w:highlight w:val="none"/>
              </w:rPr>
            </w:pPr>
            <w:r>
              <w:rPr>
                <w:rFonts w:hint="eastAsia" w:ascii="Times New Roman" w:hAnsi="Times New Roman" w:cs="Times New Roman"/>
                <w:highlight w:val="none"/>
              </w:rPr>
              <w:t>医疗废水处理过程中的事故因素为操作不当或处理设施失灵，废水不能达标排放。主要采取以下防治措施：①定期检查</w:t>
            </w:r>
            <w:r>
              <w:rPr>
                <w:rFonts w:hint="eastAsia" w:ascii="Times New Roman" w:hAnsi="Times New Roman" w:cs="Times New Roman"/>
                <w:highlight w:val="none"/>
                <w:lang w:eastAsia="zh-CN"/>
              </w:rPr>
              <w:t>排水管道完好情况</w:t>
            </w:r>
            <w:r>
              <w:rPr>
                <w:rFonts w:hint="eastAsia" w:ascii="Times New Roman" w:hAnsi="Times New Roman" w:cs="Times New Roman"/>
                <w:highlight w:val="none"/>
              </w:rPr>
              <w:t>；②配备双电源，确保设备不断电；③定期强化培训管理及操作人员，提高工作人员处理突发事件的能力，如快速准确关闭总排口阀门，快速报告等。</w:t>
            </w:r>
          </w:p>
          <w:p>
            <w:pPr>
              <w:pStyle w:val="33"/>
              <w:adjustRightInd w:val="0"/>
              <w:snapToGrid w:val="0"/>
              <w:spacing w:before="0" w:beforeAutospacing="0" w:after="0" w:afterAutospacing="0" w:line="480" w:lineRule="exact"/>
              <w:ind w:firstLine="480" w:firstLineChars="200"/>
              <w:rPr>
                <w:rFonts w:hint="eastAsia" w:ascii="Times New Roman" w:hAnsi="Times New Roman" w:cs="Times New Roman"/>
                <w:highlight w:val="none"/>
              </w:rPr>
            </w:pPr>
            <w:r>
              <w:rPr>
                <w:rFonts w:hint="eastAsia" w:ascii="Times New Roman" w:hAnsi="Times New Roman" w:cs="Times New Roman"/>
                <w:highlight w:val="none"/>
              </w:rPr>
              <w:t>b医疗废物风险及措施</w:t>
            </w:r>
          </w:p>
          <w:p>
            <w:pPr>
              <w:pStyle w:val="33"/>
              <w:keepNext w:val="0"/>
              <w:keepLines w:val="0"/>
              <w:pageBreakBefore w:val="0"/>
              <w:widowControl/>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eastAsia" w:ascii="Times New Roman" w:hAnsi="Times New Roman" w:cs="Times New Roman"/>
                <w:highlight w:val="none"/>
              </w:rPr>
            </w:pPr>
            <w:r>
              <w:rPr>
                <w:rFonts w:hint="eastAsia" w:ascii="Times New Roman" w:hAnsi="Times New Roman" w:cs="Times New Roman"/>
                <w:highlight w:val="none"/>
              </w:rPr>
              <w:t>医疗废物具有危害性，该项目在收集、贮存、运送医疗废物的过程中存在着一定的风险。为保证项目产生的医疗废物得到安全处置，使其风险减少到最小程度，而不会对周围环境造成不良影响，应具体采取如下的措施进行防范发生医疗废物流失、泄露、扩散和意外事故：①确定流失、泄露、扩散的医疗废物的类别、数量、发生时间、影响范围及严重程度；②组织有关人员尽快对发生医疗废物泄露、扩散的现场进行处理；③对被医疗废物污染的区域进行处理时，应当尽可能减少对就诊人员、医务人员、其他现场人员及环境的影响；④采取适当的安全处置措施，对泄漏物及受污染的区域、物品进行消毒或者其它无害化处置，必要时封锁污染区域，以防扩大污染；⑤对感染性废物污染区域进行消毒时，消毒工作从污染最轻区域向污染最严重区域进行，对可能被污染的所有使用过的工具也应当进行消毒；⑥工作人员应当做好卫生安全防护后进行工作。</w:t>
            </w:r>
          </w:p>
          <w:p>
            <w:pPr>
              <w:spacing w:beforeLines="0" w:afterLines="0"/>
              <w:ind w:firstLine="506"/>
              <w:jc w:val="center"/>
              <w:rPr>
                <w:rFonts w:hint="eastAsia" w:ascii="Times New Roman" w:hAnsi="Times New Roman" w:eastAsia="宋体" w:cs="Times New Roman"/>
                <w:highlight w:val="none"/>
                <w:lang w:eastAsia="zh-CN"/>
              </w:rPr>
            </w:pPr>
            <w:r>
              <w:rPr>
                <w:rFonts w:hint="eastAsia" w:ascii="Times New Roman" w:hAnsi="Times New Roman" w:cs="Times New Roman"/>
                <w:highlight w:val="none"/>
              </w:rPr>
              <w:t>综上所述：本项目风险处于可接受水平，风险管理措施有效、可靠，从风险角度而言可行</w:t>
            </w:r>
            <w:r>
              <w:rPr>
                <w:rFonts w:hint="eastAsia" w:cs="Times New Roman"/>
                <w:highlight w:val="none"/>
                <w:lang w:eastAsia="zh-CN"/>
              </w:rPr>
              <w:t>。</w:t>
            </w:r>
          </w:p>
          <w:p>
            <w:pPr>
              <w:spacing w:beforeLines="0" w:afterLines="0"/>
              <w:ind w:firstLine="506"/>
              <w:jc w:val="center"/>
              <w:rPr>
                <w:rFonts w:hint="default"/>
                <w:b/>
                <w:sz w:val="28"/>
                <w:highlight w:val="none"/>
              </w:rPr>
            </w:pPr>
            <w:r>
              <w:rPr>
                <w:rFonts w:hint="eastAsia" w:ascii="宋体" w:hAnsi="宋体" w:eastAsia="宋体"/>
                <w:b/>
                <w:spacing w:val="6"/>
                <w:sz w:val="24"/>
                <w:highlight w:val="none"/>
              </w:rPr>
              <w:t>表</w:t>
            </w:r>
            <w:r>
              <w:rPr>
                <w:rFonts w:hint="eastAsia"/>
                <w:b/>
                <w:spacing w:val="6"/>
                <w:sz w:val="24"/>
                <w:highlight w:val="none"/>
                <w:lang w:val="en-US" w:eastAsia="zh-CN"/>
              </w:rPr>
              <w:t>24</w:t>
            </w:r>
            <w:r>
              <w:rPr>
                <w:rFonts w:hint="default"/>
                <w:b/>
                <w:spacing w:val="6"/>
                <w:sz w:val="24"/>
                <w:highlight w:val="none"/>
              </w:rPr>
              <w:t xml:space="preserve">   </w:t>
            </w:r>
            <w:r>
              <w:rPr>
                <w:rFonts w:hint="eastAsia" w:ascii="宋体" w:hAnsi="宋体" w:eastAsia="宋体"/>
                <w:b/>
                <w:spacing w:val="6"/>
                <w:sz w:val="24"/>
                <w:highlight w:val="none"/>
              </w:rPr>
              <w:t>环境风险评价自查表</w:t>
            </w:r>
          </w:p>
          <w:tbl>
            <w:tblPr>
              <w:tblStyle w:val="36"/>
              <w:tblW w:w="891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6"/>
              <w:gridCol w:w="1312"/>
              <w:gridCol w:w="1049"/>
              <w:gridCol w:w="207"/>
              <w:gridCol w:w="526"/>
              <w:gridCol w:w="653"/>
              <w:gridCol w:w="211"/>
              <w:gridCol w:w="351"/>
              <w:gridCol w:w="185"/>
              <w:gridCol w:w="876"/>
              <w:gridCol w:w="709"/>
              <w:gridCol w:w="941"/>
              <w:gridCol w:w="700"/>
              <w:gridCol w:w="8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工作内容</w:t>
                  </w: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完成情况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风 险 调 查</w:t>
                  </w:r>
                </w:p>
              </w:tc>
              <w:tc>
                <w:tcPr>
                  <w:tcW w:w="73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危险物质</w:t>
                  </w: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名称</w:t>
                  </w:r>
                </w:p>
              </w:tc>
              <w:tc>
                <w:tcPr>
                  <w:tcW w:w="41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eastAsia="宋体" w:cs="Times New Roman"/>
                      <w:kern w:val="0"/>
                      <w:sz w:val="18"/>
                      <w:szCs w:val="18"/>
                      <w:highlight w:val="none"/>
                      <w:lang w:val="en-US" w:eastAsia="en-US" w:bidi="ar-SA"/>
                    </w:rPr>
                  </w:pPr>
                </w:p>
              </w:tc>
              <w:tc>
                <w:tcPr>
                  <w:tcW w:w="3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p>
              </w:tc>
              <w:tc>
                <w:tcPr>
                  <w:tcW w:w="418"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2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39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4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存在总量/t</w:t>
                  </w:r>
                </w:p>
              </w:tc>
              <w:tc>
                <w:tcPr>
                  <w:tcW w:w="41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eastAsia="宋体" w:cs="Times New Roman"/>
                      <w:kern w:val="0"/>
                      <w:sz w:val="18"/>
                      <w:szCs w:val="18"/>
                      <w:highlight w:val="none"/>
                      <w:lang w:val="en-US" w:eastAsia="zh-CN" w:bidi="ar-SA"/>
                    </w:rPr>
                  </w:pPr>
                </w:p>
              </w:tc>
              <w:tc>
                <w:tcPr>
                  <w:tcW w:w="3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eastAsia="宋体" w:cs="Times New Roman"/>
                      <w:sz w:val="18"/>
                      <w:szCs w:val="18"/>
                      <w:highlight w:val="none"/>
                      <w:lang w:eastAsia="zh-CN"/>
                    </w:rPr>
                  </w:pPr>
                </w:p>
              </w:tc>
              <w:tc>
                <w:tcPr>
                  <w:tcW w:w="418"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2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39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4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环境敏感性</w:t>
                  </w:r>
                </w:p>
              </w:tc>
              <w:tc>
                <w:tcPr>
                  <w:tcW w:w="588"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大气</w:t>
                  </w:r>
                </w:p>
              </w:tc>
              <w:tc>
                <w:tcPr>
                  <w:tcW w:w="1686" w:type="pct"/>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2610"/>
                    </w:tabs>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500</w:t>
                  </w:r>
                  <w:r>
                    <w:rPr>
                      <w:rFonts w:hint="default" w:ascii="Times New Roman" w:hAnsi="Times New Roman" w:cs="Times New Roman"/>
                      <w:spacing w:val="-1"/>
                      <w:sz w:val="18"/>
                      <w:szCs w:val="18"/>
                      <w:highlight w:val="none"/>
                    </w:rPr>
                    <w:t xml:space="preserve"> </w:t>
                  </w:r>
                  <w:r>
                    <w:rPr>
                      <w:rFonts w:hint="default" w:ascii="Times New Roman" w:hAnsi="Times New Roman" w:cs="Times New Roman"/>
                      <w:sz w:val="18"/>
                      <w:szCs w:val="18"/>
                      <w:highlight w:val="none"/>
                    </w:rPr>
                    <w:t>m</w:t>
                  </w:r>
                  <w:r>
                    <w:rPr>
                      <w:rFonts w:hint="default" w:ascii="Times New Roman" w:hAnsi="Times New Roman" w:cs="Times New Roman"/>
                      <w:spacing w:val="-3"/>
                      <w:sz w:val="18"/>
                      <w:szCs w:val="18"/>
                      <w:highlight w:val="none"/>
                    </w:rPr>
                    <w:t xml:space="preserve"> </w:t>
                  </w:r>
                  <w:r>
                    <w:rPr>
                      <w:rFonts w:hint="default" w:ascii="Times New Roman" w:hAnsi="Times New Roman" w:eastAsia="宋体" w:cs="Times New Roman"/>
                      <w:sz w:val="18"/>
                      <w:szCs w:val="18"/>
                      <w:highlight w:val="none"/>
                    </w:rPr>
                    <w:t>范围内人口数</w:t>
                  </w:r>
                  <w:r>
                    <w:rPr>
                      <w:rFonts w:hint="default" w:ascii="Times New Roman" w:hAnsi="Times New Roman" w:cs="Times New Roman"/>
                      <w:sz w:val="18"/>
                      <w:szCs w:val="18"/>
                      <w:highlight w:val="none"/>
                      <w:u w:val="single"/>
                    </w:rPr>
                    <w:t xml:space="preserve">    </w:t>
                  </w:r>
                  <w:r>
                    <w:rPr>
                      <w:rFonts w:hint="default" w:ascii="Times New Roman" w:hAnsi="Times New Roman" w:eastAsia="宋体" w:cs="Times New Roman"/>
                      <w:sz w:val="18"/>
                      <w:szCs w:val="18"/>
                      <w:highlight w:val="none"/>
                    </w:rPr>
                    <w:t>人</w:t>
                  </w:r>
                </w:p>
              </w:tc>
              <w:tc>
                <w:tcPr>
                  <w:tcW w:w="1784"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2602"/>
                    </w:tabs>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5</w:t>
                  </w:r>
                  <w:r>
                    <w:rPr>
                      <w:rFonts w:hint="default" w:ascii="Times New Roman" w:hAnsi="Times New Roman" w:cs="Times New Roman"/>
                      <w:spacing w:val="-2"/>
                      <w:sz w:val="18"/>
                      <w:szCs w:val="18"/>
                      <w:highlight w:val="none"/>
                    </w:rPr>
                    <w:t xml:space="preserve"> </w:t>
                  </w:r>
                  <w:r>
                    <w:rPr>
                      <w:rFonts w:hint="default" w:ascii="Times New Roman" w:hAnsi="Times New Roman" w:cs="Times New Roman"/>
                      <w:sz w:val="18"/>
                      <w:szCs w:val="18"/>
                      <w:highlight w:val="none"/>
                    </w:rPr>
                    <w:t>km</w:t>
                  </w:r>
                  <w:r>
                    <w:rPr>
                      <w:rFonts w:hint="default" w:ascii="Times New Roman" w:hAnsi="Times New Roman" w:cs="Times New Roman"/>
                      <w:spacing w:val="-3"/>
                      <w:sz w:val="18"/>
                      <w:szCs w:val="18"/>
                      <w:highlight w:val="none"/>
                    </w:rPr>
                    <w:t xml:space="preserve"> </w:t>
                  </w:r>
                  <w:r>
                    <w:rPr>
                      <w:rFonts w:hint="default" w:ascii="Times New Roman" w:hAnsi="Times New Roman" w:eastAsia="宋体" w:cs="Times New Roman"/>
                      <w:sz w:val="18"/>
                      <w:szCs w:val="18"/>
                      <w:highlight w:val="none"/>
                    </w:rPr>
                    <w:t>范围内人口数</w:t>
                  </w:r>
                  <w:r>
                    <w:rPr>
                      <w:rFonts w:hint="default" w:ascii="Times New Roman" w:hAnsi="Times New Roman" w:cs="Times New Roman"/>
                      <w:sz w:val="18"/>
                      <w:szCs w:val="18"/>
                      <w:highlight w:val="none"/>
                      <w:u w:val="single"/>
                    </w:rPr>
                    <w:t xml:space="preserve"> </w:t>
                  </w:r>
                  <w:r>
                    <w:rPr>
                      <w:rFonts w:hint="eastAsia" w:ascii="Times New Roman" w:hAnsi="Times New Roman" w:cs="Times New Roman"/>
                      <w:sz w:val="18"/>
                      <w:szCs w:val="18"/>
                      <w:highlight w:val="none"/>
                      <w:u w:val="single"/>
                      <w:lang w:val="en-US" w:eastAsia="zh-CN"/>
                    </w:rPr>
                    <w:t xml:space="preserve">  </w:t>
                  </w:r>
                  <w:r>
                    <w:rPr>
                      <w:rFonts w:hint="default" w:ascii="Times New Roman" w:hAnsi="Times New Roman" w:cs="Times New Roman"/>
                      <w:sz w:val="18"/>
                      <w:szCs w:val="18"/>
                      <w:highlight w:val="none"/>
                      <w:u w:val="single"/>
                    </w:rPr>
                    <w:t xml:space="preserve"> </w:t>
                  </w:r>
                  <w:r>
                    <w:rPr>
                      <w:rFonts w:hint="default" w:ascii="Times New Roman" w:hAnsi="Times New Roman" w:eastAsia="宋体" w:cs="Times New Roman"/>
                      <w:sz w:val="18"/>
                      <w:szCs w:val="18"/>
                      <w:highlight w:val="none"/>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2611" w:type="pct"/>
                  <w:gridSpan w:val="9"/>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每公里管段周边</w:t>
                  </w:r>
                  <w:r>
                    <w:rPr>
                      <w:rFonts w:hint="default" w:ascii="Times New Roman" w:hAnsi="Times New Roman" w:cs="Times New Roman"/>
                      <w:spacing w:val="-47"/>
                      <w:sz w:val="18"/>
                      <w:szCs w:val="18"/>
                      <w:highlight w:val="none"/>
                    </w:rPr>
                    <w:t xml:space="preserve"> </w:t>
                  </w:r>
                  <w:r>
                    <w:rPr>
                      <w:rFonts w:hint="default" w:ascii="Times New Roman" w:hAnsi="Times New Roman" w:cs="Times New Roman"/>
                      <w:sz w:val="18"/>
                      <w:szCs w:val="18"/>
                      <w:highlight w:val="none"/>
                    </w:rPr>
                    <w:t>200 m</w:t>
                  </w:r>
                  <w:r>
                    <w:rPr>
                      <w:rFonts w:hint="default" w:ascii="Times New Roman" w:hAnsi="Times New Roman" w:cs="Times New Roman"/>
                      <w:spacing w:val="-3"/>
                      <w:sz w:val="18"/>
                      <w:szCs w:val="18"/>
                      <w:highlight w:val="none"/>
                    </w:rPr>
                    <w:t xml:space="preserve"> </w:t>
                  </w:r>
                  <w:r>
                    <w:rPr>
                      <w:rFonts w:hint="default" w:ascii="Times New Roman" w:hAnsi="Times New Roman" w:eastAsia="宋体" w:cs="Times New Roman"/>
                      <w:sz w:val="18"/>
                      <w:szCs w:val="18"/>
                      <w:highlight w:val="none"/>
                    </w:rPr>
                    <w:t>范围内人口数（最大）</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885"/>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地表水</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地表水功能敏感性</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F1</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F2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F3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环境敏感目标分级</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S1</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S2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S3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地下水</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地下水功能敏感性</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G1</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G2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G3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包气带防污性能</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D1</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sym w:font="Wingdings 2" w:char="00A3"/>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D2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sym w:font="Wingdings 2" w:char="00A3"/>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D3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物质及工艺系统 危险性</w:t>
                  </w: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i/>
                      <w:sz w:val="18"/>
                      <w:szCs w:val="18"/>
                      <w:highlight w:val="none"/>
                    </w:rPr>
                    <w:t>Q</w:t>
                  </w:r>
                  <w:r>
                    <w:rPr>
                      <w:rFonts w:hint="default" w:ascii="Times New Roman" w:hAnsi="Times New Roman" w:cs="Times New Roman"/>
                      <w:i/>
                      <w:spacing w:val="-1"/>
                      <w:sz w:val="18"/>
                      <w:szCs w:val="18"/>
                      <w:highlight w:val="none"/>
                    </w:rPr>
                    <w:t xml:space="preserve"> </w:t>
                  </w:r>
                  <w:r>
                    <w:rPr>
                      <w:rFonts w:hint="default" w:ascii="Times New Roman" w:hAnsi="Times New Roman" w:eastAsia="宋体" w:cs="Times New Roman"/>
                      <w:sz w:val="18"/>
                      <w:szCs w:val="18"/>
                      <w:highlight w:val="none"/>
                    </w:rPr>
                    <w:t>值</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i/>
                      <w:spacing w:val="-1"/>
                      <w:sz w:val="18"/>
                      <w:szCs w:val="18"/>
                      <w:highlight w:val="none"/>
                    </w:rPr>
                    <w:t>Q</w:t>
                  </w:r>
                  <w:r>
                    <w:rPr>
                      <w:rFonts w:hint="default" w:ascii="Times New Roman" w:hAnsi="Times New Roman" w:eastAsia="宋体" w:cs="Times New Roman"/>
                      <w:spacing w:val="-1"/>
                      <w:sz w:val="18"/>
                      <w:szCs w:val="18"/>
                      <w:highlight w:val="none"/>
                    </w:rPr>
                    <w:t>＜1</w:t>
                  </w:r>
                  <w:r>
                    <w:rPr>
                      <w:rFonts w:hint="default" w:ascii="Times New Roman" w:hAnsi="Times New Roman" w:cs="Times New Roman"/>
                      <w:sz w:val="18"/>
                      <w:szCs w:val="18"/>
                      <w:highlight w:val="none"/>
                    </w:rPr>
                    <w:t xml:space="preserve">  </w:t>
                  </w:r>
                  <w:r>
                    <w:rPr>
                      <w:rFonts w:hint="default" w:ascii="Times New Roman" w:hAnsi="Times New Roman" w:cs="Times New Roman"/>
                      <w:sz w:val="18"/>
                      <w:szCs w:val="18"/>
                      <w:highlight w:val="none"/>
                    </w:rPr>
                    <w:sym w:font="Wingdings 2" w:char="0052"/>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1</w:t>
                  </w:r>
                  <w:r>
                    <w:rPr>
                      <w:rFonts w:hint="default" w:ascii="Times New Roman" w:hAnsi="Times New Roman" w:eastAsia="宋体" w:cs="Times New Roman"/>
                      <w:spacing w:val="-1"/>
                      <w:sz w:val="18"/>
                      <w:szCs w:val="18"/>
                      <w:highlight w:val="none"/>
                    </w:rPr>
                    <w:t>≤</w:t>
                  </w:r>
                  <w:r>
                    <w:rPr>
                      <w:rFonts w:hint="default" w:ascii="Times New Roman" w:hAnsi="Times New Roman" w:cs="Times New Roman"/>
                      <w:i/>
                      <w:spacing w:val="-1"/>
                      <w:sz w:val="18"/>
                      <w:szCs w:val="18"/>
                      <w:highlight w:val="none"/>
                    </w:rPr>
                    <w:t>Q</w:t>
                  </w:r>
                  <w:r>
                    <w:rPr>
                      <w:rFonts w:hint="default" w:ascii="Times New Roman" w:hAnsi="Times New Roman" w:eastAsia="宋体" w:cs="Times New Roman"/>
                      <w:spacing w:val="-1"/>
                      <w:sz w:val="18"/>
                      <w:szCs w:val="18"/>
                      <w:highlight w:val="none"/>
                    </w:rPr>
                    <w:t>＜10</w:t>
                  </w:r>
                  <w:r>
                    <w:rPr>
                      <w:rFonts w:hint="default" w:ascii="Times New Roman" w:hAnsi="Times New Roman" w:cs="Times New Roman"/>
                      <w:sz w:val="18"/>
                      <w:szCs w:val="18"/>
                      <w:highlight w:val="none"/>
                    </w:rPr>
                    <w:t xml:space="preserve">  □</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10</w:t>
                  </w:r>
                  <w:r>
                    <w:rPr>
                      <w:rFonts w:hint="default" w:ascii="Times New Roman" w:hAnsi="Times New Roman" w:eastAsia="宋体" w:cs="Times New Roman"/>
                      <w:spacing w:val="-1"/>
                      <w:sz w:val="18"/>
                      <w:szCs w:val="18"/>
                      <w:highlight w:val="none"/>
                    </w:rPr>
                    <w:t>≤</w:t>
                  </w:r>
                  <w:r>
                    <w:rPr>
                      <w:rFonts w:hint="default" w:ascii="Times New Roman" w:hAnsi="Times New Roman" w:cs="Times New Roman"/>
                      <w:i/>
                      <w:spacing w:val="-1"/>
                      <w:sz w:val="18"/>
                      <w:szCs w:val="18"/>
                      <w:highlight w:val="none"/>
                    </w:rPr>
                    <w:t>Q</w:t>
                  </w:r>
                  <w:r>
                    <w:rPr>
                      <w:rFonts w:hint="default" w:ascii="Times New Roman" w:hAnsi="Times New Roman" w:eastAsia="宋体" w:cs="Times New Roman"/>
                      <w:spacing w:val="-1"/>
                      <w:sz w:val="18"/>
                      <w:szCs w:val="18"/>
                      <w:highlight w:val="none"/>
                    </w:rPr>
                    <w:t>＜100</w:t>
                  </w:r>
                  <w:r>
                    <w:rPr>
                      <w:rFonts w:hint="default" w:ascii="Times New Roman" w:hAnsi="Times New Roman" w:cs="Times New Roman"/>
                      <w:sz w:val="18"/>
                      <w:szCs w:val="18"/>
                      <w:highlight w:val="none"/>
                    </w:rPr>
                    <w:t xml:space="preserve">  □</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i/>
                      <w:spacing w:val="-1"/>
                      <w:sz w:val="18"/>
                      <w:szCs w:val="18"/>
                      <w:highlight w:val="none"/>
                    </w:rPr>
                    <w:t>Q</w:t>
                  </w:r>
                  <w:r>
                    <w:rPr>
                      <w:rFonts w:hint="default" w:ascii="Times New Roman" w:hAnsi="Times New Roman" w:eastAsia="宋体" w:cs="Times New Roman"/>
                      <w:spacing w:val="-1"/>
                      <w:sz w:val="18"/>
                      <w:szCs w:val="18"/>
                      <w:highlight w:val="none"/>
                    </w:rPr>
                    <w:t>＞100</w:t>
                  </w:r>
                  <w:r>
                    <w:rPr>
                      <w:rFonts w:hint="default" w:ascii="Times New Roman" w:hAnsi="Times New Roman" w:cs="Times New Roman"/>
                      <w:sz w:val="18"/>
                      <w:szCs w:val="18"/>
                      <w:highlight w:val="non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M</w:t>
                  </w:r>
                  <w:r>
                    <w:rPr>
                      <w:rFonts w:hint="default" w:ascii="Times New Roman" w:hAnsi="Times New Roman" w:cs="Times New Roman"/>
                      <w:spacing w:val="-2"/>
                      <w:sz w:val="18"/>
                      <w:szCs w:val="18"/>
                      <w:highlight w:val="none"/>
                    </w:rPr>
                    <w:t xml:space="preserve"> </w:t>
                  </w:r>
                  <w:r>
                    <w:rPr>
                      <w:rFonts w:hint="default" w:ascii="Times New Roman" w:hAnsi="Times New Roman" w:eastAsia="宋体" w:cs="Times New Roman"/>
                      <w:sz w:val="18"/>
                      <w:szCs w:val="18"/>
                      <w:highlight w:val="none"/>
                    </w:rPr>
                    <w:t>值</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M1</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M2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M3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M4</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P</w:t>
                  </w:r>
                  <w:r>
                    <w:rPr>
                      <w:rFonts w:hint="default" w:ascii="Times New Roman" w:hAnsi="Times New Roman" w:cs="Times New Roman"/>
                      <w:spacing w:val="-2"/>
                      <w:sz w:val="18"/>
                      <w:szCs w:val="18"/>
                      <w:highlight w:val="none"/>
                    </w:rPr>
                    <w:t xml:space="preserve"> </w:t>
                  </w:r>
                  <w:r>
                    <w:rPr>
                      <w:rFonts w:hint="default" w:ascii="Times New Roman" w:hAnsi="Times New Roman" w:eastAsia="宋体" w:cs="Times New Roman"/>
                      <w:sz w:val="18"/>
                      <w:szCs w:val="18"/>
                      <w:highlight w:val="none"/>
                    </w:rPr>
                    <w:t>值</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P1</w:t>
                  </w:r>
                  <w:r>
                    <w:rPr>
                      <w:rFonts w:hint="default" w:ascii="Times New Roman" w:hAnsi="Times New Roman" w:cs="Times New Roman"/>
                      <w:sz w:val="18"/>
                      <w:szCs w:val="18"/>
                      <w:highlight w:val="none"/>
                    </w:rPr>
                    <w:t>□</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P2</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P3</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P4</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环境敏感 程度</w:t>
                  </w: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大气</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E1</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E2</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E3</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地表水</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E1</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E2</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E3</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58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地下水</w:t>
                  </w:r>
                </w:p>
              </w:tc>
              <w:tc>
                <w:tcPr>
                  <w:tcW w:w="895"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E1</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E2</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sym w:font="Wingdings 2" w:char="0052"/>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E3</w:t>
                  </w:r>
                  <w:r>
                    <w:rPr>
                      <w:rFonts w:hint="default" w:ascii="Times New Roman" w:hAnsi="Times New Roman" w:cs="Times New Roman"/>
                      <w:spacing w:val="43"/>
                      <w:sz w:val="18"/>
                      <w:szCs w:val="18"/>
                      <w:highlight w:val="none"/>
                    </w:rPr>
                    <w:t xml:space="preserve"> </w:t>
                  </w:r>
                  <w:r>
                    <w:rPr>
                      <w:rFonts w:hint="default" w:ascii="Times New Roman" w:hAnsi="Times New Roman" w:cs="Times New Roman"/>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环境风险潜势</w:t>
                  </w:r>
                </w:p>
              </w:tc>
              <w:tc>
                <w:tcPr>
                  <w:tcW w:w="70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Ⅳ</w:t>
                  </w:r>
                  <w:r>
                    <w:rPr>
                      <w:rFonts w:hint="default" w:ascii="Times New Roman" w:hAnsi="Times New Roman" w:cs="Times New Roman"/>
                      <w:position w:val="8"/>
                      <w:sz w:val="18"/>
                      <w:szCs w:val="18"/>
                      <w:highlight w:val="none"/>
                    </w:rPr>
                    <w:t xml:space="preserve">+ </w:t>
                  </w:r>
                  <w:r>
                    <w:rPr>
                      <w:rFonts w:hint="default" w:ascii="Times New Roman" w:hAnsi="Times New Roman" w:cs="Times New Roman"/>
                      <w:sz w:val="18"/>
                      <w:szCs w:val="18"/>
                      <w:highlight w:val="none"/>
                    </w:rPr>
                    <w:t>□</w:t>
                  </w:r>
                </w:p>
              </w:tc>
              <w:tc>
                <w:tcPr>
                  <w:tcW w:w="779"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Ⅳ□</w:t>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Ⅲ □</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Ⅱ □</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cs="Times New Roman"/>
                      <w:sz w:val="18"/>
                      <w:szCs w:val="18"/>
                      <w:highlight w:val="none"/>
                    </w:rPr>
                    <w:t>I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评价等级</w:t>
                  </w:r>
                </w:p>
              </w:tc>
              <w:tc>
                <w:tcPr>
                  <w:tcW w:w="1483" w:type="pct"/>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一级 </w:t>
                  </w:r>
                  <w:r>
                    <w:rPr>
                      <w:rFonts w:hint="default" w:ascii="Times New Roman" w:hAnsi="Times New Roman" w:cs="Times New Roman"/>
                      <w:sz w:val="18"/>
                      <w:szCs w:val="18"/>
                      <w:highlight w:val="none"/>
                    </w:rPr>
                    <w:sym w:font="Wingdings 2" w:char="00A3"/>
                  </w:r>
                </w:p>
              </w:tc>
              <w:tc>
                <w:tcPr>
                  <w:tcW w:w="791"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二级 □</w:t>
                  </w:r>
                </w:p>
              </w:tc>
              <w:tc>
                <w:tcPr>
                  <w:tcW w:w="92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三级 □</w:t>
                  </w:r>
                </w:p>
              </w:tc>
              <w:tc>
                <w:tcPr>
                  <w:tcW w:w="859"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简单分析 </w:t>
                  </w:r>
                  <w:r>
                    <w:rPr>
                      <w:rFonts w:hint="default" w:ascii="Times New Roman" w:hAnsi="Times New Roman" w:cs="Times New Roman"/>
                      <w:sz w:val="18"/>
                      <w:szCs w:val="18"/>
                      <w:highlight w:val="none"/>
                    </w:rPr>
                    <w:sym w:font="Wingdings 2" w:char="0052"/>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bidi w:val="0"/>
                    <w:spacing w:line="240" w:lineRule="auto"/>
                    <w:ind w:left="0" w:leftChars="0"/>
                    <w:jc w:val="center"/>
                    <w:rPr>
                      <w:rFonts w:hint="default" w:ascii="Times New Roman" w:hAnsi="Times New Roman" w:cs="Times New Roman"/>
                      <w:szCs w:val="18"/>
                      <w:highlight w:val="none"/>
                    </w:rPr>
                  </w:pPr>
                  <w:r>
                    <w:rPr>
                      <w:rFonts w:hint="default"/>
                      <w:sz w:val="21"/>
                      <w:szCs w:val="21"/>
                      <w:highlight w:val="none"/>
                    </w:rPr>
                    <w:t>风</w:t>
                  </w:r>
                  <w:r>
                    <w:rPr>
                      <w:rFonts w:hint="default"/>
                      <w:sz w:val="18"/>
                      <w:szCs w:val="18"/>
                      <w:highlight w:val="none"/>
                    </w:rPr>
                    <w:t xml:space="preserve"> 险 识 别</w:t>
                  </w:r>
                </w:p>
              </w:tc>
              <w:tc>
                <w:tcPr>
                  <w:tcW w:w="73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物质危险性</w:t>
                  </w:r>
                </w:p>
              </w:tc>
              <w:tc>
                <w:tcPr>
                  <w:tcW w:w="1680"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有毒有害 □</w:t>
                  </w:r>
                </w:p>
              </w:tc>
              <w:tc>
                <w:tcPr>
                  <w:tcW w:w="2379"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易燃易爆 </w:t>
                  </w:r>
                  <w:r>
                    <w:rPr>
                      <w:rFonts w:hint="default" w:ascii="Times New Roman" w:hAnsi="Times New Roman" w:cs="Times New Roman"/>
                      <w:sz w:val="18"/>
                      <w:szCs w:val="18"/>
                      <w:highlight w:val="none"/>
                    </w:rPr>
                    <w:sym w:font="Wingdings 2" w:char="00A3"/>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环境风险类型</w:t>
                  </w:r>
                </w:p>
              </w:tc>
              <w:tc>
                <w:tcPr>
                  <w:tcW w:w="1483" w:type="pct"/>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泄漏 </w:t>
                  </w:r>
                  <w:r>
                    <w:rPr>
                      <w:rFonts w:hint="default" w:ascii="Times New Roman" w:hAnsi="Times New Roman" w:cs="Times New Roman"/>
                      <w:sz w:val="18"/>
                      <w:szCs w:val="18"/>
                      <w:highlight w:val="none"/>
                    </w:rPr>
                    <w:sym w:font="Wingdings 2" w:char="0052"/>
                  </w:r>
                </w:p>
              </w:tc>
              <w:tc>
                <w:tcPr>
                  <w:tcW w:w="2575" w:type="pct"/>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火灾、爆炸引发伴生/次生污染物排放</w:t>
                  </w:r>
                  <w:r>
                    <w:rPr>
                      <w:rFonts w:hint="default" w:ascii="Times New Roman" w:hAnsi="Times New Roman" w:cs="Times New Roman"/>
                      <w:spacing w:val="-1"/>
                      <w:sz w:val="18"/>
                      <w:szCs w:val="18"/>
                      <w:highlight w:val="none"/>
                    </w:rPr>
                    <w:t xml:space="preserve"> </w:t>
                  </w:r>
                  <w:r>
                    <w:rPr>
                      <w:rFonts w:hint="default" w:ascii="Times New Roman" w:hAnsi="Times New Roman" w:cs="Times New Roman"/>
                      <w:sz w:val="18"/>
                      <w:szCs w:val="18"/>
                      <w:highlight w:val="none"/>
                    </w:rPr>
                    <w:sym w:font="Wingdings 2" w:char="00A3"/>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影响途径</w:t>
                  </w:r>
                </w:p>
              </w:tc>
              <w:tc>
                <w:tcPr>
                  <w:tcW w:w="1483" w:type="pct"/>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大气 </w:t>
                  </w:r>
                  <w:r>
                    <w:rPr>
                      <w:rFonts w:hint="default" w:ascii="Times New Roman" w:hAnsi="Times New Roman" w:cs="Times New Roman"/>
                      <w:sz w:val="18"/>
                      <w:szCs w:val="18"/>
                      <w:highlight w:val="none"/>
                    </w:rPr>
                    <w:sym w:font="Wingdings 2" w:char="00A3"/>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地表水 □</w:t>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地下水 </w:t>
                  </w:r>
                  <w:r>
                    <w:rPr>
                      <w:rFonts w:hint="default" w:ascii="Times New Roman" w:hAnsi="Times New Roman" w:cs="Times New Roman"/>
                      <w:sz w:val="18"/>
                      <w:szCs w:val="18"/>
                      <w:highlight w:val="none"/>
                    </w:rPr>
                    <w:sym w:font="Wingdings 2" w:char="0052"/>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事故情形分析</w:t>
                  </w:r>
                </w:p>
              </w:tc>
              <w:tc>
                <w:tcPr>
                  <w:tcW w:w="70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源强设定方法</w:t>
                  </w:r>
                </w:p>
              </w:tc>
              <w:tc>
                <w:tcPr>
                  <w:tcW w:w="779"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计算法 □</w:t>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经验估算法 □</w:t>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其他估算法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eastAsia" w:ascii="Times New Roman" w:hAnsi="Times New Roman" w:eastAsia="宋体" w:cs="Times New Roman"/>
                      <w:sz w:val="18"/>
                      <w:szCs w:val="18"/>
                      <w:highlight w:val="none"/>
                      <w:lang w:eastAsia="zh-CN"/>
                    </w:rPr>
                    <w:t>风</w:t>
                  </w:r>
                  <w:r>
                    <w:rPr>
                      <w:rFonts w:hint="default" w:ascii="Times New Roman" w:hAnsi="Times New Roman" w:eastAsia="宋体" w:cs="Times New Roman"/>
                      <w:sz w:val="18"/>
                      <w:szCs w:val="18"/>
                      <w:highlight w:val="none"/>
                    </w:rPr>
                    <w:t>险 预测 与评 价</w:t>
                  </w:r>
                </w:p>
              </w:tc>
              <w:tc>
                <w:tcPr>
                  <w:tcW w:w="73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大气</w:t>
                  </w:r>
                </w:p>
              </w:tc>
              <w:tc>
                <w:tcPr>
                  <w:tcW w:w="704"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预测模型</w:t>
                  </w:r>
                </w:p>
              </w:tc>
              <w:tc>
                <w:tcPr>
                  <w:tcW w:w="779"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1"/>
                      <w:sz w:val="18"/>
                      <w:szCs w:val="18"/>
                      <w:highlight w:val="none"/>
                    </w:rPr>
                    <w:t>SLAB</w:t>
                  </w:r>
                  <w:r>
                    <w:rPr>
                      <w:rFonts w:hint="default" w:ascii="Times New Roman" w:hAnsi="Times New Roman" w:cs="Times New Roman"/>
                      <w:spacing w:val="41"/>
                      <w:sz w:val="18"/>
                      <w:szCs w:val="18"/>
                      <w:highlight w:val="none"/>
                    </w:rPr>
                    <w:t xml:space="preserve"> </w:t>
                  </w:r>
                  <w:r>
                    <w:rPr>
                      <w:rFonts w:hint="default" w:ascii="Times New Roman" w:hAnsi="Times New Roman" w:cs="Times New Roman"/>
                      <w:sz w:val="18"/>
                      <w:szCs w:val="18"/>
                      <w:highlight w:val="none"/>
                    </w:rPr>
                    <w:t>□</w:t>
                  </w:r>
                </w:p>
              </w:tc>
              <w:tc>
                <w:tcPr>
                  <w:tcW w:w="1189" w:type="pct"/>
                  <w:gridSpan w:val="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cs="Times New Roman"/>
                      <w:spacing w:val="-2"/>
                      <w:sz w:val="18"/>
                      <w:szCs w:val="18"/>
                      <w:highlight w:val="none"/>
                    </w:rPr>
                    <w:t>AFTOX</w:t>
                  </w:r>
                  <w:r>
                    <w:rPr>
                      <w:rFonts w:hint="default" w:ascii="Times New Roman" w:hAnsi="Times New Roman" w:cs="Times New Roman"/>
                      <w:spacing w:val="44"/>
                      <w:sz w:val="18"/>
                      <w:szCs w:val="18"/>
                      <w:highlight w:val="none"/>
                    </w:rPr>
                    <w:t xml:space="preserve"> </w:t>
                  </w:r>
                  <w:r>
                    <w:rPr>
                      <w:rFonts w:hint="default" w:ascii="Times New Roman" w:hAnsi="Times New Roman" w:cs="Times New Roman"/>
                      <w:sz w:val="18"/>
                      <w:szCs w:val="18"/>
                      <w:highlight w:val="none"/>
                    </w:rPr>
                    <w:sym w:font="Wingdings 2" w:char="00A3"/>
                  </w:r>
                </w:p>
              </w:tc>
              <w:tc>
                <w:tcPr>
                  <w:tcW w:w="1386" w:type="pct"/>
                  <w:gridSpan w:val="3"/>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04" w:type="pct"/>
                  <w:gridSpan w:val="2"/>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预测结果</w:t>
                  </w:r>
                </w:p>
              </w:tc>
              <w:tc>
                <w:tcPr>
                  <w:tcW w:w="3355" w:type="pct"/>
                  <w:gridSpan w:val="10"/>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4611"/>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大气毒性终点浓度-1  最大影响范围 </w:t>
                  </w:r>
                  <w:r>
                    <w:rPr>
                      <w:rFonts w:hint="default" w:ascii="Times New Roman" w:hAnsi="Times New Roman" w:cs="Times New Roman"/>
                      <w:sz w:val="18"/>
                      <w:szCs w:val="18"/>
                      <w:highlight w:val="none"/>
                      <w:u w:val="single" w:color="000000"/>
                    </w:rPr>
                    <w:t xml:space="preserve">   </w:t>
                  </w:r>
                  <w:r>
                    <w:rPr>
                      <w:rFonts w:hint="default" w:ascii="Times New Roman" w:hAnsi="Times New Roman" w:cs="Times New Roman"/>
                      <w:sz w:val="18"/>
                      <w:szCs w:val="18"/>
                      <w:highlight w:val="none"/>
                    </w:rPr>
                    <w:t>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04" w:type="pct"/>
                  <w:gridSpan w:val="2"/>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3355" w:type="pct"/>
                  <w:gridSpan w:val="10"/>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4611"/>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 xml:space="preserve">大气毒性终点浓度-2  最大影响范围 </w:t>
                  </w:r>
                  <w:r>
                    <w:rPr>
                      <w:rFonts w:hint="default" w:ascii="Times New Roman" w:hAnsi="Times New Roman" w:cs="Times New Roman"/>
                      <w:sz w:val="18"/>
                      <w:szCs w:val="18"/>
                      <w:highlight w:val="none"/>
                      <w:u w:val="single" w:color="000000"/>
                    </w:rPr>
                    <w:t xml:space="preserve">    </w:t>
                  </w:r>
                  <w:r>
                    <w:rPr>
                      <w:rFonts w:hint="default" w:ascii="Times New Roman" w:hAnsi="Times New Roman" w:cs="Times New Roman"/>
                      <w:sz w:val="18"/>
                      <w:szCs w:val="18"/>
                      <w:highlight w:val="none"/>
                    </w:rPr>
                    <w:t>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地表水</w:t>
                  </w: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4167"/>
                      <w:tab w:val="left" w:pos="5517"/>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最近环境敏感目标</w:t>
                  </w:r>
                  <w:r>
                    <w:rPr>
                      <w:rFonts w:hint="default" w:ascii="Times New Roman" w:hAnsi="Times New Roman" w:cs="Times New Roman"/>
                      <w:sz w:val="18"/>
                      <w:szCs w:val="18"/>
                      <w:highlight w:val="none"/>
                      <w:u w:val="single"/>
                    </w:rPr>
                    <w:tab/>
                  </w:r>
                  <w:r>
                    <w:rPr>
                      <w:rFonts w:hint="default" w:ascii="Times New Roman" w:hAnsi="Times New Roman" w:eastAsia="宋体" w:cs="Times New Roman"/>
                      <w:sz w:val="18"/>
                      <w:szCs w:val="18"/>
                      <w:highlight w:val="none"/>
                    </w:rPr>
                    <w:t>，到达时间</w:t>
                  </w:r>
                  <w:r>
                    <w:rPr>
                      <w:rFonts w:hint="default" w:ascii="Times New Roman" w:hAnsi="Times New Roman" w:cs="Times New Roman"/>
                      <w:sz w:val="18"/>
                      <w:szCs w:val="18"/>
                      <w:highlight w:val="none"/>
                      <w:u w:val="single"/>
                    </w:rPr>
                    <w:tab/>
                  </w:r>
                  <w:r>
                    <w:rPr>
                      <w:rFonts w:hint="default" w:ascii="Times New Roman" w:hAnsi="Times New Roman" w:cs="Times New Roman"/>
                      <w:sz w:val="18"/>
                      <w:szCs w:val="18"/>
                      <w:highlight w:val="none"/>
                    </w:rPr>
                    <w:t>h</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地下水</w:t>
                  </w: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2254"/>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下游厂区边界到达时间</w:t>
                  </w:r>
                  <w:r>
                    <w:rPr>
                      <w:rFonts w:hint="default" w:ascii="Times New Roman" w:hAnsi="Times New Roman" w:cs="Times New Roman"/>
                      <w:sz w:val="18"/>
                      <w:szCs w:val="18"/>
                      <w:highlight w:val="none"/>
                      <w:u w:val="single"/>
                    </w:rPr>
                    <w:t xml:space="preserve">     </w:t>
                  </w:r>
                  <w:r>
                    <w:rPr>
                      <w:rFonts w:hint="default" w:ascii="Times New Roman" w:hAnsi="Times New Roman" w:cs="Times New Roman"/>
                      <w:sz w:val="18"/>
                      <w:szCs w:val="18"/>
                      <w:highlight w:val="none"/>
                    </w:rPr>
                    <w:t>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jc w:val="center"/>
              </w:trPr>
              <w:tc>
                <w:tcPr>
                  <w:tcW w:w="20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735" w:type="pct"/>
                  <w:vMerge w:val="continue"/>
                  <w:tcBorders>
                    <w:top w:val="single" w:color="000000" w:sz="4" w:space="0"/>
                    <w:left w:val="single" w:color="000000" w:sz="4" w:space="0"/>
                    <w:bottom w:val="single" w:color="000000" w:sz="4" w:space="0"/>
                    <w:right w:val="single" w:color="000000" w:sz="4" w:space="0"/>
                    <w:tl2br w:val="nil"/>
                    <w:tr2bl w:val="nil"/>
                  </w:tcBorders>
                  <w:noWrap w:val="0"/>
                  <w:vAlign w:val="center"/>
                </w:tcPr>
                <w:p>
                  <w:pPr>
                    <w:spacing w:beforeLines="0" w:afterLines="0" w:line="240" w:lineRule="auto"/>
                    <w:ind w:firstLine="0" w:firstLineChars="0"/>
                    <w:jc w:val="center"/>
                    <w:rPr>
                      <w:rFonts w:hint="default" w:ascii="Times New Roman" w:hAnsi="Times New Roman" w:cs="Times New Roman"/>
                      <w:sz w:val="18"/>
                      <w:szCs w:val="18"/>
                      <w:highlight w:val="none"/>
                    </w:rPr>
                  </w:pP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tabs>
                      <w:tab w:val="left" w:pos="4167"/>
                      <w:tab w:val="left" w:pos="5517"/>
                    </w:tabs>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最近环境敏感目标</w:t>
                  </w:r>
                  <w:r>
                    <w:rPr>
                      <w:rFonts w:hint="default" w:ascii="Times New Roman" w:hAnsi="Times New Roman" w:cs="Times New Roman"/>
                      <w:sz w:val="18"/>
                      <w:szCs w:val="18"/>
                      <w:highlight w:val="none"/>
                      <w:u w:val="single" w:color="000000"/>
                    </w:rPr>
                    <w:t xml:space="preserve">     </w:t>
                  </w:r>
                  <w:r>
                    <w:rPr>
                      <w:rFonts w:hint="default" w:ascii="Times New Roman" w:hAnsi="Times New Roman" w:eastAsia="宋体" w:cs="Times New Roman"/>
                      <w:sz w:val="18"/>
                      <w:szCs w:val="18"/>
                      <w:highlight w:val="none"/>
                    </w:rPr>
                    <w:t>，到达时间</w:t>
                  </w:r>
                  <w:r>
                    <w:rPr>
                      <w:rFonts w:hint="default" w:ascii="Times New Roman" w:hAnsi="Times New Roman" w:cs="Times New Roman"/>
                      <w:sz w:val="18"/>
                      <w:szCs w:val="18"/>
                      <w:highlight w:val="none"/>
                      <w:u w:val="single" w:color="000000"/>
                    </w:rPr>
                    <w:t xml:space="preserve">    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重点风险防范措施</w:t>
                  </w: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1" w:hRule="atLeast"/>
                <w:jc w:val="center"/>
              </w:trPr>
              <w:tc>
                <w:tcPr>
                  <w:tcW w:w="940" w:type="pct"/>
                  <w:gridSpan w:val="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ind w:left="0" w:leftChars="0" w:firstLine="0" w:firstLineChars="0"/>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评价结论与建议</w:t>
                  </w:r>
                </w:p>
              </w:tc>
              <w:tc>
                <w:tcPr>
                  <w:tcW w:w="4059" w:type="pct"/>
                  <w:gridSpan w:val="12"/>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通过采取防范措施，风险程度可以降到最低，达到人群可以接受的水平，因此本项目环境风险是可控的。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jc w:val="center"/>
              </w:trPr>
              <w:tc>
                <w:tcPr>
                  <w:tcW w:w="5000" w:type="pct"/>
                  <w:gridSpan w:val="14"/>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121"/>
                    <w:spacing w:beforeLines="0" w:afterLines="0" w:line="240" w:lineRule="auto"/>
                    <w:jc w:val="center"/>
                    <w:rPr>
                      <w:rFonts w:hint="default" w:ascii="Times New Roman" w:hAnsi="Times New Roman" w:cs="Times New Roman"/>
                      <w:sz w:val="18"/>
                      <w:szCs w:val="18"/>
                      <w:highlight w:val="none"/>
                    </w:rPr>
                  </w:pPr>
                  <w:r>
                    <w:rPr>
                      <w:rFonts w:hint="default" w:ascii="Times New Roman" w:hAnsi="Times New Roman" w:eastAsia="宋体" w:cs="Times New Roman"/>
                      <w:sz w:val="18"/>
                      <w:szCs w:val="18"/>
                      <w:highlight w:val="none"/>
                    </w:rPr>
                    <w:t>注：“□”为勾选项，“   ”为填写项。</w:t>
                  </w:r>
                </w:p>
              </w:tc>
            </w:tr>
            <w:bookmarkEnd w:id="3"/>
            <w:bookmarkEnd w:id="4"/>
          </w:tbl>
          <w:p>
            <w:pPr>
              <w:adjustRightInd w:val="0"/>
              <w:snapToGrid w:val="0"/>
              <w:spacing w:line="480" w:lineRule="exact"/>
              <w:ind w:firstLine="482" w:firstLineChars="200"/>
              <w:jc w:val="left"/>
              <w:rPr>
                <w:rFonts w:hint="eastAsia" w:hAnsi="宋体"/>
                <w:b/>
                <w:sz w:val="24"/>
                <w:szCs w:val="24"/>
                <w:highlight w:val="none"/>
              </w:rPr>
            </w:pPr>
            <w:r>
              <w:rPr>
                <w:rFonts w:hint="eastAsia" w:hAnsi="宋体"/>
                <w:b/>
                <w:sz w:val="24"/>
                <w:szCs w:val="24"/>
                <w:highlight w:val="none"/>
                <w:lang w:val="en-US" w:eastAsia="zh-CN"/>
              </w:rPr>
              <w:t>7</w:t>
            </w:r>
            <w:r>
              <w:rPr>
                <w:rFonts w:hint="eastAsia" w:hAnsi="宋体"/>
                <w:b/>
                <w:sz w:val="24"/>
                <w:szCs w:val="24"/>
                <w:highlight w:val="none"/>
              </w:rPr>
              <w:t>、总量控制</w:t>
            </w:r>
          </w:p>
          <w:p>
            <w:pPr>
              <w:spacing w:line="360" w:lineRule="auto"/>
              <w:ind w:firstLine="480" w:firstLineChars="200"/>
              <w:rPr>
                <w:rFonts w:hint="eastAsia" w:hAnsi="宋体"/>
                <w:sz w:val="24"/>
                <w:szCs w:val="24"/>
                <w:highlight w:val="none"/>
              </w:rPr>
            </w:pPr>
            <w:r>
              <w:rPr>
                <w:rFonts w:hint="eastAsia"/>
                <w:sz w:val="24"/>
                <w:highlight w:val="none"/>
              </w:rPr>
              <w:t>根据《国家</w:t>
            </w:r>
            <w:r>
              <w:rPr>
                <w:sz w:val="24"/>
                <w:highlight w:val="none"/>
              </w:rPr>
              <w:t>“</w:t>
            </w:r>
            <w:r>
              <w:rPr>
                <w:rFonts w:hint="eastAsia"/>
                <w:sz w:val="24"/>
                <w:highlight w:val="none"/>
              </w:rPr>
              <w:t>十三五</w:t>
            </w:r>
            <w:r>
              <w:rPr>
                <w:sz w:val="24"/>
                <w:highlight w:val="none"/>
              </w:rPr>
              <w:t>”</w:t>
            </w:r>
            <w:r>
              <w:rPr>
                <w:rFonts w:hint="eastAsia"/>
                <w:sz w:val="24"/>
                <w:highlight w:val="none"/>
              </w:rPr>
              <w:t>主要污染物总量控制规划》，总量控制因子包括化学需氧量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sz w:val="24"/>
                <w:highlight w:val="none"/>
              </w:rPr>
              <w:t>)</w:t>
            </w:r>
            <w:r>
              <w:rPr>
                <w:rFonts w:hint="eastAsia"/>
                <w:sz w:val="24"/>
                <w:highlight w:val="none"/>
              </w:rPr>
              <w:t>、氮氧化物</w:t>
            </w:r>
            <w:r>
              <w:rPr>
                <w:sz w:val="24"/>
                <w:highlight w:val="none"/>
              </w:rPr>
              <w:t>(NO</w:t>
            </w:r>
            <w:r>
              <w:rPr>
                <w:sz w:val="24"/>
                <w:highlight w:val="none"/>
                <w:vertAlign w:val="subscript"/>
              </w:rPr>
              <w:t>X</w:t>
            </w:r>
            <w:r>
              <w:rPr>
                <w:sz w:val="24"/>
                <w:highlight w:val="none"/>
              </w:rPr>
              <w:t>)</w:t>
            </w:r>
            <w:r>
              <w:rPr>
                <w:rFonts w:hint="eastAsia"/>
                <w:sz w:val="24"/>
                <w:highlight w:val="none"/>
              </w:rPr>
              <w:t>和</w:t>
            </w:r>
            <w:r>
              <w:rPr>
                <w:sz w:val="24"/>
                <w:highlight w:val="none"/>
              </w:rPr>
              <w:t>VOCs</w:t>
            </w:r>
            <w:r>
              <w:rPr>
                <w:rFonts w:hint="eastAsia"/>
                <w:sz w:val="24"/>
                <w:highlight w:val="none"/>
              </w:rPr>
              <w:t>。</w:t>
            </w:r>
            <w:r>
              <w:rPr>
                <w:rFonts w:hint="eastAsia"/>
                <w:sz w:val="24"/>
                <w:szCs w:val="22"/>
                <w:highlight w:val="none"/>
              </w:rPr>
              <w:t>迁安市健康体检管理中心新建项目废水经过污水处理站处理后排入市政污水管网。本</w:t>
            </w:r>
            <w:r>
              <w:rPr>
                <w:rFonts w:hint="eastAsia" w:hAnsi="宋体"/>
                <w:sz w:val="24"/>
                <w:szCs w:val="24"/>
                <w:highlight w:val="none"/>
              </w:rPr>
              <w:t>项目排水量为</w:t>
            </w:r>
            <w:r>
              <w:rPr>
                <w:rFonts w:hint="eastAsia"/>
                <w:sz w:val="24"/>
                <w:szCs w:val="24"/>
                <w:highlight w:val="none"/>
              </w:rPr>
              <w:t>4620</w:t>
            </w:r>
            <w:r>
              <w:rPr>
                <w:rFonts w:hAnsi="宋体"/>
                <w:sz w:val="24"/>
                <w:szCs w:val="24"/>
                <w:highlight w:val="none"/>
              </w:rPr>
              <w:t>m</w:t>
            </w:r>
            <w:r>
              <w:rPr>
                <w:rFonts w:hAnsi="宋体"/>
                <w:sz w:val="24"/>
                <w:szCs w:val="24"/>
                <w:highlight w:val="none"/>
                <w:vertAlign w:val="superscript"/>
              </w:rPr>
              <w:t>3</w:t>
            </w:r>
            <w:r>
              <w:rPr>
                <w:rFonts w:hAnsi="宋体"/>
                <w:sz w:val="24"/>
                <w:szCs w:val="24"/>
                <w:highlight w:val="none"/>
              </w:rPr>
              <w:t>/a</w:t>
            </w:r>
            <w:r>
              <w:rPr>
                <w:rFonts w:hint="eastAsia" w:hAnsi="宋体"/>
                <w:sz w:val="24"/>
                <w:szCs w:val="24"/>
                <w:highlight w:val="none"/>
              </w:rPr>
              <w:t>，污染物排放浓度为</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205</w:t>
            </w:r>
            <w:r>
              <w:rPr>
                <w:rFonts w:hAnsi="宋体"/>
                <w:sz w:val="24"/>
                <w:szCs w:val="24"/>
                <w:highlight w:val="none"/>
              </w:rPr>
              <w:t>mg/L</w:t>
            </w:r>
            <w:r>
              <w:rPr>
                <w:rFonts w:hint="eastAsia" w:hAnsi="宋体"/>
                <w:sz w:val="24"/>
                <w:szCs w:val="24"/>
                <w:highlight w:val="none"/>
              </w:rPr>
              <w:t>，氨氮：</w:t>
            </w:r>
            <w:r>
              <w:rPr>
                <w:rFonts w:hint="eastAsia" w:hAnsi="宋体"/>
                <w:sz w:val="24"/>
                <w:szCs w:val="24"/>
                <w:highlight w:val="none"/>
                <w:lang w:val="en-US" w:eastAsia="zh-CN"/>
              </w:rPr>
              <w:t>22.5</w:t>
            </w:r>
            <w:r>
              <w:rPr>
                <w:rFonts w:hAnsi="宋体"/>
                <w:sz w:val="24"/>
                <w:szCs w:val="24"/>
                <w:highlight w:val="none"/>
              </w:rPr>
              <w:t>mg/L</w:t>
            </w:r>
            <w:r>
              <w:rPr>
                <w:rFonts w:hint="eastAsia" w:hAnsi="宋体"/>
                <w:sz w:val="24"/>
                <w:szCs w:val="24"/>
                <w:highlight w:val="none"/>
              </w:rPr>
              <w:t>；TN：35mg/L，则：</w:t>
            </w:r>
          </w:p>
          <w:p>
            <w:pPr>
              <w:spacing w:line="480" w:lineRule="exact"/>
              <w:ind w:firstLine="480" w:firstLineChars="200"/>
              <w:rPr>
                <w:sz w:val="24"/>
                <w:highlight w:val="none"/>
              </w:rPr>
            </w:pPr>
            <w:r>
              <w:rPr>
                <w:sz w:val="24"/>
                <w:highlight w:val="none"/>
              </w:rPr>
              <w:t>COD</w:t>
            </w:r>
            <w:r>
              <w:rPr>
                <w:rFonts w:hint="eastAsia"/>
                <w:sz w:val="24"/>
                <w:highlight w:val="none"/>
              </w:rPr>
              <w:t>：</w:t>
            </w:r>
            <w:r>
              <w:rPr>
                <w:sz w:val="24"/>
                <w:highlight w:val="none"/>
              </w:rPr>
              <w:t>20</w:t>
            </w:r>
            <w:r>
              <w:rPr>
                <w:rFonts w:hint="eastAsia"/>
                <w:sz w:val="24"/>
                <w:highlight w:val="none"/>
                <w:lang w:val="en-US" w:eastAsia="zh-CN"/>
              </w:rPr>
              <w:t>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w:t>
            </w:r>
            <w:r>
              <w:rPr>
                <w:rFonts w:hint="eastAsia"/>
                <w:sz w:val="24"/>
                <w:highlight w:val="none"/>
                <w:lang w:val="en-US" w:eastAsia="zh-CN"/>
              </w:rPr>
              <w:t>0.95</w:t>
            </w:r>
            <w:r>
              <w:rPr>
                <w:sz w:val="24"/>
                <w:highlight w:val="none"/>
              </w:rPr>
              <w:t>t/a</w:t>
            </w:r>
            <w:r>
              <w:rPr>
                <w:rFonts w:hint="eastAsia"/>
                <w:sz w:val="24"/>
                <w:highlight w:val="none"/>
              </w:rPr>
              <w:t>；</w:t>
            </w:r>
          </w:p>
          <w:p>
            <w:pPr>
              <w:spacing w:line="480" w:lineRule="exact"/>
              <w:ind w:firstLine="480" w:firstLineChars="200"/>
              <w:rPr>
                <w:sz w:val="24"/>
                <w:highlight w:val="none"/>
              </w:rPr>
            </w:pP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sz w:val="24"/>
                <w:highlight w:val="none"/>
              </w:rPr>
              <w:t>：</w:t>
            </w:r>
            <w:r>
              <w:rPr>
                <w:rFonts w:hint="eastAsia"/>
                <w:sz w:val="24"/>
                <w:highlight w:val="none"/>
                <w:lang w:val="en-US" w:eastAsia="zh-CN"/>
              </w:rPr>
              <w:t>22.5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0</w:t>
            </w:r>
            <w:r>
              <w:rPr>
                <w:sz w:val="24"/>
                <w:highlight w:val="none"/>
              </w:rPr>
              <w:t>t/a</w:t>
            </w:r>
            <w:r>
              <w:rPr>
                <w:rFonts w:hint="eastAsia"/>
                <w:sz w:val="24"/>
                <w:highlight w:val="none"/>
              </w:rPr>
              <w:t>；</w:t>
            </w:r>
          </w:p>
          <w:p>
            <w:pPr>
              <w:spacing w:line="480" w:lineRule="exact"/>
              <w:ind w:firstLine="480" w:firstLineChars="200"/>
              <w:rPr>
                <w:sz w:val="24"/>
                <w:highlight w:val="none"/>
              </w:rPr>
            </w:pPr>
            <w:r>
              <w:rPr>
                <w:rFonts w:hint="eastAsia" w:hAnsi="宋体"/>
                <w:sz w:val="24"/>
                <w:szCs w:val="24"/>
                <w:highlight w:val="none"/>
              </w:rPr>
              <w:t>TN：</w:t>
            </w:r>
            <w:r>
              <w:rPr>
                <w:rFonts w:hint="eastAsia"/>
                <w:sz w:val="24"/>
                <w:highlight w:val="none"/>
                <w:lang w:val="en-US" w:eastAsia="zh-CN"/>
              </w:rPr>
              <w:t>35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6</w:t>
            </w:r>
            <w:r>
              <w:rPr>
                <w:sz w:val="24"/>
                <w:highlight w:val="none"/>
              </w:rPr>
              <w:t>t/a</w:t>
            </w:r>
            <w:r>
              <w:rPr>
                <w:rFonts w:hint="eastAsia"/>
                <w:sz w:val="24"/>
                <w:highlight w:val="none"/>
              </w:rPr>
              <w:t>；</w:t>
            </w:r>
          </w:p>
          <w:p>
            <w:pPr>
              <w:snapToGrid w:val="0"/>
              <w:spacing w:line="480" w:lineRule="exact"/>
              <w:ind w:firstLine="480" w:firstLineChars="200"/>
              <w:rPr>
                <w:sz w:val="24"/>
                <w:szCs w:val="24"/>
                <w:highlight w:val="none"/>
              </w:rPr>
            </w:pPr>
            <w:r>
              <w:rPr>
                <w:rFonts w:hint="eastAsia" w:hAnsi="宋体"/>
                <w:sz w:val="24"/>
                <w:szCs w:val="24"/>
                <w:highlight w:val="none"/>
              </w:rPr>
              <w:t>则项目污染物排放总量控制指标为：</w:t>
            </w:r>
          </w:p>
          <w:p>
            <w:pPr>
              <w:snapToGrid w:val="0"/>
              <w:spacing w:line="480" w:lineRule="exact"/>
              <w:ind w:firstLine="480" w:firstLineChars="200"/>
              <w:rPr>
                <w:rFonts w:hAnsi="宋体"/>
                <w:sz w:val="24"/>
                <w:highlight w:val="none"/>
              </w:rPr>
            </w:pPr>
            <w:r>
              <w:rPr>
                <w:rFonts w:hint="eastAsia" w:hAnsi="宋体"/>
                <w:sz w:val="24"/>
                <w:highlight w:val="none"/>
              </w:rPr>
              <w:t>废气：</w:t>
            </w:r>
            <w:r>
              <w:rPr>
                <w:rFonts w:hAnsi="宋体"/>
                <w:sz w:val="24"/>
                <w:szCs w:val="24"/>
                <w:highlight w:val="none"/>
              </w:rPr>
              <w:t>SO</w:t>
            </w:r>
            <w:r>
              <w:rPr>
                <w:rFonts w:hAnsi="宋体"/>
                <w:sz w:val="24"/>
                <w:szCs w:val="24"/>
                <w:highlight w:val="none"/>
                <w:vertAlign w:val="subscript"/>
              </w:rPr>
              <w:t>2</w:t>
            </w:r>
            <w:r>
              <w:rPr>
                <w:rFonts w:hint="eastAsia" w:hAnsi="宋体"/>
                <w:sz w:val="24"/>
                <w:szCs w:val="24"/>
                <w:highlight w:val="none"/>
              </w:rPr>
              <w:t>：</w:t>
            </w:r>
            <w:r>
              <w:rPr>
                <w:rFonts w:hAnsi="宋体"/>
                <w:sz w:val="24"/>
                <w:szCs w:val="24"/>
                <w:highlight w:val="none"/>
              </w:rPr>
              <w:t>0t/a</w:t>
            </w:r>
            <w:r>
              <w:rPr>
                <w:rFonts w:hint="eastAsia" w:hAnsi="宋体"/>
                <w:sz w:val="24"/>
                <w:szCs w:val="24"/>
                <w:highlight w:val="none"/>
              </w:rPr>
              <w:t>；</w:t>
            </w:r>
            <w:r>
              <w:rPr>
                <w:rFonts w:hAnsi="宋体"/>
                <w:sz w:val="24"/>
                <w:szCs w:val="24"/>
                <w:highlight w:val="none"/>
              </w:rPr>
              <w:t>NO</w:t>
            </w:r>
            <w:r>
              <w:rPr>
                <w:rFonts w:hAnsi="宋体"/>
                <w:sz w:val="24"/>
                <w:szCs w:val="24"/>
                <w:highlight w:val="none"/>
                <w:vertAlign w:val="subscript"/>
              </w:rPr>
              <w:t>x</w:t>
            </w:r>
            <w:r>
              <w:rPr>
                <w:rFonts w:hint="eastAsia" w:hAnsi="宋体"/>
                <w:sz w:val="24"/>
                <w:szCs w:val="24"/>
                <w:highlight w:val="none"/>
              </w:rPr>
              <w:t>：</w:t>
            </w:r>
            <w:r>
              <w:rPr>
                <w:rFonts w:hAnsi="宋体"/>
                <w:sz w:val="24"/>
                <w:szCs w:val="24"/>
                <w:highlight w:val="none"/>
              </w:rPr>
              <w:t>0t/a</w:t>
            </w:r>
          </w:p>
          <w:p>
            <w:pPr>
              <w:snapToGrid w:val="0"/>
              <w:spacing w:line="480" w:lineRule="exact"/>
              <w:ind w:firstLine="480" w:firstLineChars="200"/>
              <w:rPr>
                <w:rFonts w:hAnsi="宋体"/>
                <w:sz w:val="24"/>
                <w:szCs w:val="24"/>
                <w:highlight w:val="none"/>
              </w:rPr>
            </w:pPr>
            <w:r>
              <w:rPr>
                <w:rFonts w:hint="eastAsia" w:hAnsi="宋体"/>
                <w:sz w:val="24"/>
                <w:highlight w:val="none"/>
              </w:rPr>
              <w:t>废水：</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0.95</w:t>
            </w:r>
            <w:r>
              <w:rPr>
                <w:rFonts w:hAnsi="宋体"/>
                <w:sz w:val="24"/>
                <w:szCs w:val="24"/>
                <w:highlight w:val="none"/>
              </w:rPr>
              <w:t>t/a</w:t>
            </w:r>
            <w:r>
              <w:rPr>
                <w:rFonts w:hint="eastAsia" w:hAnsi="宋体"/>
                <w:sz w:val="24"/>
                <w:szCs w:val="24"/>
                <w:highlight w:val="none"/>
              </w:rPr>
              <w:t>；</w:t>
            </w: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hAnsi="宋体"/>
                <w:sz w:val="24"/>
                <w:szCs w:val="24"/>
                <w:highlight w:val="none"/>
              </w:rPr>
              <w:t>：</w:t>
            </w:r>
            <w:r>
              <w:rPr>
                <w:sz w:val="24"/>
                <w:highlight w:val="none"/>
              </w:rPr>
              <w:t>0.</w:t>
            </w:r>
            <w:r>
              <w:rPr>
                <w:rFonts w:hint="eastAsia"/>
                <w:sz w:val="24"/>
                <w:highlight w:val="none"/>
              </w:rPr>
              <w:t>1</w:t>
            </w:r>
            <w:r>
              <w:rPr>
                <w:rFonts w:hint="eastAsia"/>
                <w:sz w:val="24"/>
                <w:highlight w:val="none"/>
                <w:lang w:val="en-US" w:eastAsia="zh-CN"/>
              </w:rPr>
              <w:t>0</w:t>
            </w:r>
            <w:r>
              <w:rPr>
                <w:rFonts w:hAnsi="宋体"/>
                <w:sz w:val="24"/>
                <w:szCs w:val="24"/>
                <w:highlight w:val="none"/>
              </w:rPr>
              <w:t>t/a</w:t>
            </w:r>
            <w:r>
              <w:rPr>
                <w:rFonts w:hint="eastAsia" w:hAnsi="宋体"/>
                <w:sz w:val="24"/>
                <w:szCs w:val="24"/>
                <w:highlight w:val="none"/>
              </w:rPr>
              <w:t>；TN：</w:t>
            </w:r>
            <w:r>
              <w:rPr>
                <w:sz w:val="24"/>
                <w:highlight w:val="none"/>
              </w:rPr>
              <w:t>0.</w:t>
            </w:r>
            <w:r>
              <w:rPr>
                <w:rFonts w:hint="eastAsia"/>
                <w:sz w:val="24"/>
                <w:highlight w:val="none"/>
              </w:rPr>
              <w:t>1</w:t>
            </w:r>
            <w:r>
              <w:rPr>
                <w:rFonts w:hint="eastAsia"/>
                <w:sz w:val="24"/>
                <w:highlight w:val="none"/>
                <w:lang w:val="en-US" w:eastAsia="zh-CN"/>
              </w:rPr>
              <w:t>6</w:t>
            </w:r>
            <w:r>
              <w:rPr>
                <w:rFonts w:hint="eastAsia" w:hAnsi="宋体"/>
                <w:sz w:val="24"/>
                <w:szCs w:val="24"/>
                <w:highlight w:val="none"/>
              </w:rPr>
              <w:t>t/a。</w:t>
            </w:r>
          </w:p>
          <w:p>
            <w:pPr>
              <w:spacing w:line="360" w:lineRule="auto"/>
              <w:ind w:firstLine="480" w:firstLineChars="200"/>
              <w:rPr>
                <w:sz w:val="24"/>
                <w:highlight w:val="none"/>
              </w:rPr>
            </w:pPr>
            <w:r>
              <w:rPr>
                <w:rFonts w:hint="eastAsia"/>
                <w:sz w:val="24"/>
                <w:highlight w:val="none"/>
              </w:rPr>
              <w:t>按照《国家</w:t>
            </w:r>
            <w:r>
              <w:rPr>
                <w:sz w:val="24"/>
                <w:highlight w:val="none"/>
              </w:rPr>
              <w:t>“</w:t>
            </w:r>
            <w:r>
              <w:rPr>
                <w:rFonts w:hint="eastAsia"/>
                <w:sz w:val="24"/>
                <w:highlight w:val="none"/>
              </w:rPr>
              <w:t>十二五</w:t>
            </w:r>
            <w:r>
              <w:rPr>
                <w:sz w:val="24"/>
                <w:highlight w:val="none"/>
              </w:rPr>
              <w:t>”</w:t>
            </w:r>
            <w:r>
              <w:rPr>
                <w:rFonts w:hint="eastAsia"/>
                <w:sz w:val="24"/>
                <w:highlight w:val="none"/>
              </w:rPr>
              <w:t>主要污染物总量控制规划》，污染物排放总量控制因子为化学需氧量（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rFonts w:hint="eastAsia"/>
                <w:sz w:val="24"/>
                <w:highlight w:val="none"/>
              </w:rPr>
              <w:t>）和氮氧化物（</w:t>
            </w:r>
            <w:r>
              <w:rPr>
                <w:sz w:val="24"/>
                <w:highlight w:val="none"/>
              </w:rPr>
              <w:t>NO</w:t>
            </w:r>
            <w:r>
              <w:rPr>
                <w:sz w:val="24"/>
                <w:highlight w:val="none"/>
                <w:vertAlign w:val="subscript"/>
              </w:rPr>
              <w:t>X</w:t>
            </w:r>
            <w:r>
              <w:rPr>
                <w:rFonts w:hint="eastAsia"/>
                <w:sz w:val="24"/>
                <w:highlight w:val="none"/>
              </w:rPr>
              <w:t>）。另根据国家《</w:t>
            </w:r>
            <w:r>
              <w:rPr>
                <w:sz w:val="24"/>
                <w:highlight w:val="none"/>
              </w:rPr>
              <w:t>“</w:t>
            </w:r>
            <w:r>
              <w:rPr>
                <w:rFonts w:hint="eastAsia"/>
                <w:sz w:val="24"/>
                <w:highlight w:val="none"/>
              </w:rPr>
              <w:t>十三五</w:t>
            </w:r>
            <w:r>
              <w:rPr>
                <w:sz w:val="24"/>
                <w:highlight w:val="none"/>
              </w:rPr>
              <w:t>”</w:t>
            </w:r>
            <w:r>
              <w:rPr>
                <w:rFonts w:hint="eastAsia"/>
                <w:sz w:val="24"/>
                <w:highlight w:val="none"/>
              </w:rPr>
              <w:t>生态环境保护规划》，河北省唐山市区域应增加</w:t>
            </w:r>
            <w:r>
              <w:rPr>
                <w:sz w:val="24"/>
                <w:highlight w:val="none"/>
              </w:rPr>
              <w:t>TN</w:t>
            </w:r>
            <w:r>
              <w:rPr>
                <w:rFonts w:hint="eastAsia"/>
                <w:sz w:val="24"/>
                <w:highlight w:val="none"/>
              </w:rPr>
              <w:t>、颗粒物的总量控制。</w:t>
            </w:r>
          </w:p>
          <w:p>
            <w:pPr>
              <w:spacing w:line="480" w:lineRule="exact"/>
              <w:ind w:firstLine="480" w:firstLineChars="200"/>
              <w:rPr>
                <w:rFonts w:hint="eastAsia"/>
                <w:sz w:val="24"/>
                <w:szCs w:val="24"/>
                <w:highlight w:val="none"/>
              </w:rPr>
            </w:pPr>
            <w:r>
              <w:rPr>
                <w:rFonts w:hint="eastAsia"/>
                <w:color w:val="000000"/>
                <w:sz w:val="24"/>
                <w:highlight w:val="none"/>
              </w:rPr>
              <w:t>根据环境保护部《关于印发</w:t>
            </w:r>
            <w:r>
              <w:rPr>
                <w:color w:val="000000"/>
                <w:sz w:val="24"/>
                <w:highlight w:val="none"/>
              </w:rPr>
              <w:t>&lt;</w:t>
            </w:r>
            <w:r>
              <w:rPr>
                <w:rFonts w:hint="eastAsia"/>
                <w:color w:val="000000"/>
                <w:sz w:val="24"/>
                <w:highlight w:val="none"/>
              </w:rPr>
              <w:t>建设项目主要污染物排放总量指标审核及管理暂行办法</w:t>
            </w:r>
            <w:r>
              <w:rPr>
                <w:color w:val="000000"/>
                <w:sz w:val="24"/>
                <w:highlight w:val="none"/>
              </w:rPr>
              <w:t>&gt;</w:t>
            </w:r>
            <w:r>
              <w:rPr>
                <w:rFonts w:hint="eastAsia"/>
                <w:color w:val="000000"/>
                <w:sz w:val="24"/>
                <w:highlight w:val="none"/>
              </w:rPr>
              <w:t>的通知》（环发</w:t>
            </w:r>
            <w:r>
              <w:rPr>
                <w:color w:val="000000"/>
                <w:sz w:val="24"/>
                <w:highlight w:val="none"/>
              </w:rPr>
              <w:t>[2014]197</w:t>
            </w:r>
            <w:r>
              <w:rPr>
                <w:rFonts w:hint="eastAsia"/>
                <w:color w:val="000000"/>
                <w:sz w:val="24"/>
                <w:highlight w:val="none"/>
              </w:rPr>
              <w:t>号），总量控制指标按国家或地方污染物排放标准核定，项目污水排入</w:t>
            </w:r>
            <w:r>
              <w:rPr>
                <w:rFonts w:hint="eastAsia"/>
                <w:color w:val="000000"/>
                <w:kern w:val="0"/>
                <w:sz w:val="24"/>
                <w:highlight w:val="none"/>
                <w:lang w:bidi="ar"/>
              </w:rPr>
              <w:t>迁安市污水处理厂</w:t>
            </w:r>
            <w:r>
              <w:rPr>
                <w:rFonts w:hint="eastAsia"/>
                <w:color w:val="000000"/>
                <w:sz w:val="24"/>
                <w:highlight w:val="none"/>
              </w:rPr>
              <w:t>，按污水处理厂排水标准核算项目总量，项目</w:t>
            </w:r>
            <w:r>
              <w:rPr>
                <w:rFonts w:hint="eastAsia" w:hAnsi="宋体"/>
                <w:color w:val="000000"/>
                <w:sz w:val="24"/>
                <w:szCs w:val="24"/>
                <w:highlight w:val="none"/>
              </w:rPr>
              <w:t>污水排放总量为4620m</w:t>
            </w:r>
            <w:r>
              <w:rPr>
                <w:rFonts w:hint="eastAsia" w:hAnsi="宋体"/>
                <w:color w:val="000000"/>
                <w:sz w:val="24"/>
                <w:szCs w:val="24"/>
                <w:highlight w:val="none"/>
                <w:vertAlign w:val="superscript"/>
              </w:rPr>
              <w:t>3</w:t>
            </w:r>
            <w:r>
              <w:rPr>
                <w:rFonts w:hint="eastAsia" w:hAnsi="宋体"/>
                <w:color w:val="000000"/>
                <w:sz w:val="24"/>
                <w:szCs w:val="24"/>
                <w:highlight w:val="none"/>
              </w:rPr>
              <w:t>/a，</w:t>
            </w:r>
            <w:r>
              <w:rPr>
                <w:rFonts w:hint="eastAsia"/>
                <w:color w:val="000000"/>
                <w:sz w:val="24"/>
                <w:highlight w:val="none"/>
              </w:rPr>
              <w:t>排水标准为：</w:t>
            </w:r>
            <w:r>
              <w:rPr>
                <w:color w:val="000000"/>
                <w:sz w:val="24"/>
                <w:highlight w:val="none"/>
              </w:rPr>
              <w:t>COD</w:t>
            </w:r>
            <w:r>
              <w:rPr>
                <w:rFonts w:hint="eastAsia"/>
                <w:color w:val="000000"/>
                <w:sz w:val="24"/>
                <w:highlight w:val="none"/>
              </w:rPr>
              <w:t>：</w:t>
            </w:r>
            <w:r>
              <w:rPr>
                <w:color w:val="000000"/>
                <w:sz w:val="24"/>
                <w:highlight w:val="none"/>
              </w:rPr>
              <w:t>50mg/L</w:t>
            </w:r>
            <w:r>
              <w:rPr>
                <w:rFonts w:hint="eastAsia"/>
                <w:color w:val="000000"/>
                <w:sz w:val="24"/>
                <w:highlight w:val="none"/>
              </w:rPr>
              <w:t>、总氮：</w:t>
            </w:r>
            <w:r>
              <w:rPr>
                <w:color w:val="000000"/>
                <w:sz w:val="24"/>
                <w:highlight w:val="none"/>
              </w:rPr>
              <w:t>15mg/L</w:t>
            </w:r>
            <w:r>
              <w:rPr>
                <w:rFonts w:hint="eastAsia"/>
                <w:color w:val="000000"/>
                <w:sz w:val="24"/>
                <w:highlight w:val="none"/>
              </w:rPr>
              <w:t>、</w:t>
            </w:r>
            <w:r>
              <w:rPr>
                <w:sz w:val="24"/>
                <w:szCs w:val="24"/>
                <w:highlight w:val="none"/>
              </w:rPr>
              <w:t>氨氮：5（8）mg/L（括号外数值为水温＞12℃时的控制指标，括号内数值为水温≤12℃时的控制指标</w:t>
            </w:r>
            <w:r>
              <w:rPr>
                <w:rFonts w:hint="eastAsia"/>
                <w:sz w:val="24"/>
                <w:szCs w:val="24"/>
                <w:highlight w:val="none"/>
              </w:rPr>
              <w:t>，</w:t>
            </w:r>
            <w:r>
              <w:rPr>
                <w:bCs/>
                <w:sz w:val="24"/>
                <w:szCs w:val="24"/>
                <w:highlight w:val="none"/>
              </w:rPr>
              <w:t>项目所在地区水温＞12℃的时间为8个月，水温≤12℃时间为4个月）</w:t>
            </w:r>
          </w:p>
          <w:p>
            <w:pPr>
              <w:spacing w:line="360" w:lineRule="auto"/>
              <w:ind w:firstLine="480" w:firstLineChars="200"/>
              <w:rPr>
                <w:color w:val="000000"/>
                <w:sz w:val="24"/>
                <w:highlight w:val="none"/>
              </w:rPr>
            </w:pPr>
            <w:r>
              <w:rPr>
                <w:rFonts w:hint="eastAsia"/>
                <w:color w:val="000000"/>
                <w:sz w:val="24"/>
                <w:highlight w:val="none"/>
              </w:rPr>
              <w:t>该项目污染物排放总量为：</w:t>
            </w:r>
          </w:p>
          <w:p>
            <w:pPr>
              <w:spacing w:line="360" w:lineRule="auto"/>
              <w:ind w:firstLine="480" w:firstLineChars="200"/>
              <w:rPr>
                <w:color w:val="000000"/>
                <w:sz w:val="24"/>
                <w:highlight w:val="none"/>
              </w:rPr>
            </w:pPr>
            <w:r>
              <w:rPr>
                <w:color w:val="000000"/>
                <w:sz w:val="24"/>
                <w:highlight w:val="none"/>
              </w:rPr>
              <w:t>COD</w:t>
            </w:r>
            <w:r>
              <w:rPr>
                <w:rFonts w:hint="eastAsia"/>
                <w:color w:val="000000"/>
                <w:sz w:val="24"/>
                <w:highlight w:val="none"/>
              </w:rPr>
              <w:t>：</w:t>
            </w:r>
            <w:r>
              <w:rPr>
                <w:rFonts w:hint="eastAsia" w:hAnsi="宋体"/>
                <w:color w:val="000000"/>
                <w:sz w:val="24"/>
                <w:szCs w:val="24"/>
                <w:highlight w:val="none"/>
              </w:rPr>
              <w:t>4620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×50mg/L×10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0.23</w:t>
            </w:r>
            <w:r>
              <w:rPr>
                <w:rFonts w:hint="eastAsia"/>
                <w:color w:val="000000"/>
                <w:sz w:val="24"/>
                <w:highlight w:val="none"/>
                <w:lang w:val="en-US" w:eastAsia="zh-CN"/>
              </w:rPr>
              <w:t>1</w:t>
            </w:r>
            <w:r>
              <w:rPr>
                <w:color w:val="000000"/>
                <w:sz w:val="24"/>
                <w:highlight w:val="none"/>
              </w:rPr>
              <w:t>t/a</w:t>
            </w:r>
            <w:r>
              <w:rPr>
                <w:rFonts w:hint="eastAsia"/>
                <w:color w:val="000000"/>
                <w:sz w:val="24"/>
                <w:highlight w:val="none"/>
              </w:rPr>
              <w:t>；</w:t>
            </w:r>
          </w:p>
          <w:p>
            <w:pPr>
              <w:spacing w:line="360" w:lineRule="auto"/>
              <w:ind w:firstLine="480" w:firstLineChars="200"/>
              <w:rPr>
                <w:color w:val="000000"/>
                <w:sz w:val="24"/>
                <w:highlight w:val="none"/>
              </w:rPr>
            </w:pPr>
            <w:r>
              <w:rPr>
                <w:color w:val="000000"/>
                <w:sz w:val="24"/>
                <w:highlight w:val="none"/>
              </w:rPr>
              <w:t>NH</w:t>
            </w:r>
            <w:r>
              <w:rPr>
                <w:color w:val="000000"/>
                <w:sz w:val="24"/>
                <w:highlight w:val="none"/>
                <w:vertAlign w:val="subscript"/>
              </w:rPr>
              <w:t>3</w:t>
            </w:r>
            <w:r>
              <w:rPr>
                <w:color w:val="000000"/>
                <w:sz w:val="24"/>
                <w:highlight w:val="none"/>
              </w:rPr>
              <w:t>-N</w:t>
            </w:r>
            <w:r>
              <w:rPr>
                <w:rFonts w:hint="eastAsia"/>
                <w:color w:val="000000"/>
                <w:sz w:val="24"/>
                <w:highlight w:val="none"/>
              </w:rPr>
              <w:t>：（</w:t>
            </w:r>
            <w:r>
              <w:rPr>
                <w:rFonts w:hint="eastAsia" w:hAnsi="宋体"/>
                <w:color w:val="000000"/>
                <w:sz w:val="24"/>
                <w:szCs w:val="24"/>
                <w:highlight w:val="none"/>
              </w:rPr>
              <w:t>3080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×5mg/L</w:t>
            </w:r>
            <w:r>
              <w:rPr>
                <w:rFonts w:hint="eastAsia"/>
                <w:color w:val="000000"/>
                <w:sz w:val="24"/>
                <w:highlight w:val="none"/>
              </w:rPr>
              <w:t>+1540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w:t>
            </w:r>
            <w:r>
              <w:rPr>
                <w:rFonts w:hint="eastAsia"/>
                <w:color w:val="000000"/>
                <w:sz w:val="24"/>
                <w:highlight w:val="none"/>
              </w:rPr>
              <w:t>8</w:t>
            </w:r>
            <w:r>
              <w:rPr>
                <w:color w:val="000000"/>
                <w:sz w:val="24"/>
                <w:highlight w:val="none"/>
              </w:rPr>
              <w:t>mg/L</w:t>
            </w:r>
            <w:r>
              <w:rPr>
                <w:rFonts w:hint="eastAsia"/>
                <w:color w:val="000000"/>
                <w:sz w:val="24"/>
                <w:highlight w:val="none"/>
              </w:rPr>
              <w:t>）</w:t>
            </w:r>
            <w:r>
              <w:rPr>
                <w:color w:val="000000"/>
                <w:sz w:val="24"/>
                <w:highlight w:val="none"/>
              </w:rPr>
              <w:t>×10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0.0</w:t>
            </w:r>
            <w:r>
              <w:rPr>
                <w:rFonts w:hint="eastAsia"/>
                <w:color w:val="000000"/>
                <w:sz w:val="24"/>
                <w:highlight w:val="none"/>
                <w:lang w:val="en-US" w:eastAsia="zh-CN"/>
              </w:rPr>
              <w:t>28</w:t>
            </w:r>
            <w:r>
              <w:rPr>
                <w:color w:val="000000"/>
                <w:sz w:val="24"/>
                <w:highlight w:val="none"/>
              </w:rPr>
              <w:t>t/a</w:t>
            </w:r>
            <w:r>
              <w:rPr>
                <w:rFonts w:hint="eastAsia"/>
                <w:color w:val="000000"/>
                <w:sz w:val="24"/>
                <w:highlight w:val="none"/>
              </w:rPr>
              <w:t>；</w:t>
            </w:r>
          </w:p>
          <w:p>
            <w:pPr>
              <w:spacing w:line="480" w:lineRule="exact"/>
              <w:ind w:firstLine="480" w:firstLineChars="200"/>
              <w:rPr>
                <w:rFonts w:hint="eastAsia"/>
                <w:color w:val="000000"/>
                <w:sz w:val="24"/>
                <w:szCs w:val="22"/>
                <w:highlight w:val="none"/>
              </w:rPr>
            </w:pPr>
            <w:r>
              <w:rPr>
                <w:rFonts w:hint="eastAsia"/>
                <w:color w:val="000000"/>
                <w:sz w:val="24"/>
                <w:szCs w:val="22"/>
                <w:highlight w:val="none"/>
              </w:rPr>
              <w:t>TN：4620m</w:t>
            </w:r>
            <w:r>
              <w:rPr>
                <w:rFonts w:hint="eastAsia"/>
                <w:color w:val="000000"/>
                <w:sz w:val="24"/>
                <w:szCs w:val="22"/>
                <w:highlight w:val="none"/>
                <w:vertAlign w:val="superscript"/>
              </w:rPr>
              <w:t>3</w:t>
            </w:r>
            <w:r>
              <w:rPr>
                <w:rFonts w:hint="eastAsia"/>
                <w:color w:val="000000"/>
                <w:sz w:val="24"/>
                <w:szCs w:val="22"/>
                <w:highlight w:val="none"/>
              </w:rPr>
              <w:t>/a×15mg/L×10</w:t>
            </w:r>
            <w:r>
              <w:rPr>
                <w:rFonts w:hint="eastAsia"/>
                <w:color w:val="000000"/>
                <w:sz w:val="24"/>
                <w:szCs w:val="22"/>
                <w:highlight w:val="none"/>
                <w:vertAlign w:val="superscript"/>
              </w:rPr>
              <w:t>-6</w:t>
            </w:r>
            <w:r>
              <w:rPr>
                <w:rFonts w:hint="eastAsia"/>
                <w:color w:val="000000"/>
                <w:sz w:val="24"/>
                <w:szCs w:val="22"/>
                <w:highlight w:val="none"/>
              </w:rPr>
              <w:t>=0.0</w:t>
            </w:r>
            <w:r>
              <w:rPr>
                <w:rFonts w:hint="eastAsia"/>
                <w:color w:val="000000"/>
                <w:sz w:val="24"/>
                <w:szCs w:val="22"/>
                <w:highlight w:val="none"/>
                <w:lang w:val="en-US" w:eastAsia="zh-CN"/>
              </w:rPr>
              <w:t>69</w:t>
            </w:r>
            <w:r>
              <w:rPr>
                <w:rFonts w:hint="eastAsia"/>
                <w:color w:val="000000"/>
                <w:sz w:val="24"/>
                <w:szCs w:val="22"/>
                <w:highlight w:val="none"/>
              </w:rPr>
              <w:t>t/a。</w:t>
            </w:r>
          </w:p>
          <w:p>
            <w:pPr>
              <w:spacing w:line="480" w:lineRule="exact"/>
              <w:ind w:firstLine="480" w:firstLineChars="200"/>
              <w:rPr>
                <w:rFonts w:hint="eastAsia"/>
                <w:color w:val="000000"/>
                <w:sz w:val="24"/>
                <w:szCs w:val="22"/>
                <w:highlight w:val="none"/>
              </w:rPr>
            </w:pPr>
            <w:r>
              <w:rPr>
                <w:rFonts w:hint="eastAsia"/>
                <w:color w:val="000000"/>
                <w:sz w:val="24"/>
                <w:szCs w:val="22"/>
                <w:highlight w:val="none"/>
              </w:rPr>
              <w:t>综上所述，本次评价核定总量控制指标为：SO</w:t>
            </w:r>
            <w:r>
              <w:rPr>
                <w:rFonts w:hint="eastAsia"/>
                <w:color w:val="000000"/>
                <w:sz w:val="24"/>
                <w:szCs w:val="22"/>
                <w:highlight w:val="none"/>
                <w:vertAlign w:val="subscript"/>
              </w:rPr>
              <w:t>2</w:t>
            </w:r>
            <w:r>
              <w:rPr>
                <w:rFonts w:hint="eastAsia"/>
                <w:color w:val="000000"/>
                <w:sz w:val="24"/>
                <w:szCs w:val="22"/>
                <w:highlight w:val="none"/>
              </w:rPr>
              <w:t>：0t/a，NO</w:t>
            </w:r>
            <w:r>
              <w:rPr>
                <w:rFonts w:hint="eastAsia"/>
                <w:color w:val="000000"/>
                <w:sz w:val="24"/>
                <w:szCs w:val="22"/>
                <w:highlight w:val="none"/>
                <w:vertAlign w:val="subscript"/>
              </w:rPr>
              <w:t>X</w:t>
            </w:r>
            <w:r>
              <w:rPr>
                <w:rFonts w:hint="eastAsia"/>
                <w:color w:val="000000"/>
                <w:sz w:val="24"/>
                <w:szCs w:val="22"/>
                <w:highlight w:val="none"/>
              </w:rPr>
              <w:t>：0t/a，颗粒物：0t/a，COD：0.23</w:t>
            </w:r>
            <w:r>
              <w:rPr>
                <w:rFonts w:hint="eastAsia"/>
                <w:color w:val="000000"/>
                <w:sz w:val="24"/>
                <w:szCs w:val="22"/>
                <w:highlight w:val="none"/>
                <w:lang w:val="en-US" w:eastAsia="zh-CN"/>
              </w:rPr>
              <w:t>1</w:t>
            </w:r>
            <w:r>
              <w:rPr>
                <w:rFonts w:hint="eastAsia"/>
                <w:color w:val="000000"/>
                <w:sz w:val="24"/>
                <w:szCs w:val="22"/>
                <w:highlight w:val="none"/>
              </w:rPr>
              <w:t>t/a，NH</w:t>
            </w:r>
            <w:r>
              <w:rPr>
                <w:rFonts w:hint="eastAsia"/>
                <w:color w:val="000000"/>
                <w:sz w:val="24"/>
                <w:szCs w:val="22"/>
                <w:highlight w:val="none"/>
                <w:vertAlign w:val="subscript"/>
              </w:rPr>
              <w:t>3</w:t>
            </w:r>
            <w:r>
              <w:rPr>
                <w:rFonts w:hint="eastAsia"/>
                <w:color w:val="000000"/>
                <w:sz w:val="24"/>
                <w:szCs w:val="22"/>
                <w:highlight w:val="none"/>
              </w:rPr>
              <w:t>-N：0.0</w:t>
            </w:r>
            <w:r>
              <w:rPr>
                <w:rFonts w:hint="eastAsia"/>
                <w:color w:val="000000"/>
                <w:sz w:val="24"/>
                <w:szCs w:val="22"/>
                <w:highlight w:val="none"/>
                <w:lang w:val="en-US" w:eastAsia="zh-CN"/>
              </w:rPr>
              <w:t>28</w:t>
            </w:r>
            <w:r>
              <w:rPr>
                <w:rFonts w:hint="eastAsia"/>
                <w:color w:val="000000"/>
                <w:sz w:val="24"/>
                <w:szCs w:val="22"/>
                <w:highlight w:val="none"/>
              </w:rPr>
              <w:t>t/a，TN：0.0</w:t>
            </w:r>
            <w:r>
              <w:rPr>
                <w:rFonts w:hint="eastAsia"/>
                <w:color w:val="000000"/>
                <w:sz w:val="24"/>
                <w:szCs w:val="22"/>
                <w:highlight w:val="none"/>
                <w:lang w:val="en-US" w:eastAsia="zh-CN"/>
              </w:rPr>
              <w:t>69</w:t>
            </w:r>
            <w:r>
              <w:rPr>
                <w:rFonts w:hint="eastAsia"/>
                <w:color w:val="000000"/>
                <w:sz w:val="24"/>
                <w:szCs w:val="22"/>
                <w:highlight w:val="none"/>
              </w:rPr>
              <w:t>t/a。</w:t>
            </w:r>
          </w:p>
          <w:p>
            <w:pPr>
              <w:pStyle w:val="21"/>
              <w:spacing w:line="480" w:lineRule="exact"/>
              <w:ind w:left="0" w:leftChars="0" w:right="1470" w:firstLine="482" w:firstLineChars="200"/>
              <w:jc w:val="left"/>
              <w:rPr>
                <w:b/>
                <w:color w:val="000000"/>
                <w:sz w:val="24"/>
                <w:szCs w:val="22"/>
                <w:highlight w:val="none"/>
              </w:rPr>
            </w:pPr>
            <w:r>
              <w:rPr>
                <w:rFonts w:hint="eastAsia"/>
                <w:b/>
                <w:color w:val="000000"/>
                <w:sz w:val="24"/>
                <w:szCs w:val="22"/>
                <w:highlight w:val="none"/>
                <w:lang w:val="en-US" w:eastAsia="zh-CN"/>
              </w:rPr>
              <w:t>8</w:t>
            </w:r>
            <w:r>
              <w:rPr>
                <w:rFonts w:hint="eastAsia"/>
                <w:b/>
                <w:color w:val="000000"/>
                <w:sz w:val="24"/>
                <w:szCs w:val="22"/>
                <w:highlight w:val="none"/>
              </w:rPr>
              <w:t>、环境管理与监测计划</w:t>
            </w:r>
          </w:p>
          <w:p>
            <w:pPr>
              <w:spacing w:line="480" w:lineRule="exact"/>
              <w:ind w:firstLine="480" w:firstLineChars="200"/>
              <w:rPr>
                <w:snapToGrid w:val="0"/>
                <w:color w:val="000000"/>
                <w:sz w:val="24"/>
                <w:szCs w:val="24"/>
                <w:highlight w:val="none"/>
              </w:rPr>
            </w:pPr>
            <w:r>
              <w:rPr>
                <w:rFonts w:hint="eastAsia"/>
                <w:snapToGrid w:val="0"/>
                <w:color w:val="000000"/>
                <w:sz w:val="24"/>
                <w:highlight w:val="none"/>
              </w:rPr>
              <w:t>环境管理体系是企业生产管理体系的重要组成部分，建立环境管理体系可使企业在发展生产的同时提高清洁生产水平，控制污染物排放，减小对环境的影响，为企业创造良好的社会效益、经济效益和环境效益。公司设置专门的环保机构，负责项目的环境管理与环境监测工作</w:t>
            </w:r>
            <w:bookmarkStart w:id="5" w:name="_Toc264103496"/>
            <w:r>
              <w:rPr>
                <w:rFonts w:hint="eastAsia"/>
                <w:snapToGrid w:val="0"/>
                <w:color w:val="000000"/>
                <w:sz w:val="24"/>
                <w:highlight w:val="none"/>
              </w:rPr>
              <w:t>。</w:t>
            </w:r>
          </w:p>
          <w:bookmarkEnd w:id="5"/>
          <w:p>
            <w:pPr>
              <w:keepNext/>
              <w:keepLines/>
              <w:autoSpaceDE w:val="0"/>
              <w:autoSpaceDN w:val="0"/>
              <w:adjustRightInd w:val="0"/>
              <w:spacing w:line="480" w:lineRule="exact"/>
              <w:ind w:firstLine="480" w:firstLineChars="200"/>
              <w:rPr>
                <w:bCs/>
                <w:color w:val="000000"/>
                <w:kern w:val="0"/>
                <w:sz w:val="24"/>
                <w:highlight w:val="none"/>
              </w:rPr>
            </w:pPr>
            <w:bookmarkStart w:id="6" w:name="_Toc264103497"/>
            <w:r>
              <w:rPr>
                <w:rFonts w:hint="eastAsia"/>
                <w:bCs/>
                <w:color w:val="000000"/>
                <w:kern w:val="0"/>
                <w:sz w:val="24"/>
                <w:highlight w:val="none"/>
              </w:rPr>
              <w:t>（</w:t>
            </w:r>
            <w:r>
              <w:rPr>
                <w:bCs/>
                <w:color w:val="000000"/>
                <w:kern w:val="0"/>
                <w:sz w:val="24"/>
                <w:highlight w:val="none"/>
              </w:rPr>
              <w:t>1</w:t>
            </w:r>
            <w:r>
              <w:rPr>
                <w:rFonts w:hint="eastAsia"/>
                <w:bCs/>
                <w:color w:val="000000"/>
                <w:kern w:val="0"/>
                <w:sz w:val="24"/>
                <w:highlight w:val="none"/>
              </w:rPr>
              <w:t>）日常环境保护管理</w:t>
            </w:r>
            <w:bookmarkEnd w:id="6"/>
          </w:p>
          <w:p>
            <w:pPr>
              <w:spacing w:line="480" w:lineRule="exact"/>
              <w:ind w:firstLine="480" w:firstLineChars="200"/>
              <w:rPr>
                <w:color w:val="000000"/>
                <w:sz w:val="24"/>
                <w:highlight w:val="none"/>
              </w:rPr>
            </w:pPr>
            <w:r>
              <w:rPr>
                <w:rFonts w:hint="eastAsia" w:ascii="宋体" w:hAnsi="宋体" w:cs="宋体"/>
                <w:color w:val="000000"/>
                <w:sz w:val="24"/>
                <w:highlight w:val="none"/>
              </w:rPr>
              <w:t>①</w:t>
            </w:r>
            <w:r>
              <w:rPr>
                <w:rFonts w:hint="eastAsia"/>
                <w:color w:val="000000"/>
                <w:sz w:val="24"/>
                <w:highlight w:val="none"/>
              </w:rPr>
              <w:t>根据国家环保政策、标准及环境监测要求，制定该项目运行期环保管理规章制度、各种污染物排放控制指标。</w:t>
            </w:r>
          </w:p>
          <w:p>
            <w:pPr>
              <w:spacing w:line="480" w:lineRule="exact"/>
              <w:ind w:firstLine="480" w:firstLineChars="200"/>
              <w:rPr>
                <w:color w:val="000000"/>
                <w:sz w:val="24"/>
                <w:highlight w:val="none"/>
              </w:rPr>
            </w:pPr>
            <w:r>
              <w:rPr>
                <w:rFonts w:hint="eastAsia" w:ascii="宋体" w:hAnsi="宋体" w:cs="宋体"/>
                <w:color w:val="000000"/>
                <w:sz w:val="24"/>
                <w:highlight w:val="none"/>
              </w:rPr>
              <w:t>②</w:t>
            </w:r>
            <w:r>
              <w:rPr>
                <w:rFonts w:hint="eastAsia"/>
                <w:color w:val="000000"/>
                <w:sz w:val="24"/>
                <w:highlight w:val="none"/>
              </w:rPr>
              <w:t>负责该项目内所有环保设施的日常运行管理，保障各环保设施的正常运行，负责该项目运行期环境监测工作，及时掌握该项目污染状况，整理监测数据，建立污染源档案。</w:t>
            </w:r>
          </w:p>
          <w:p>
            <w:pPr>
              <w:spacing w:line="480" w:lineRule="exact"/>
              <w:ind w:firstLine="480" w:firstLineChars="200"/>
              <w:rPr>
                <w:color w:val="000000"/>
                <w:sz w:val="24"/>
                <w:highlight w:val="none"/>
              </w:rPr>
            </w:pPr>
            <w:r>
              <w:rPr>
                <w:rFonts w:hint="eastAsia" w:ascii="宋体" w:hAnsi="宋体" w:cs="宋体"/>
                <w:color w:val="000000"/>
                <w:sz w:val="24"/>
                <w:highlight w:val="none"/>
              </w:rPr>
              <w:t>③</w:t>
            </w:r>
            <w:r>
              <w:rPr>
                <w:rFonts w:hint="eastAsia"/>
                <w:color w:val="000000"/>
                <w:sz w:val="24"/>
                <w:highlight w:val="none"/>
              </w:rPr>
              <w:t>对环保设施的改进提出积极的建议。</w:t>
            </w:r>
          </w:p>
          <w:p>
            <w:pPr>
              <w:spacing w:line="480" w:lineRule="exact"/>
              <w:ind w:firstLine="480" w:firstLineChars="200"/>
              <w:rPr>
                <w:color w:val="000000"/>
                <w:sz w:val="24"/>
                <w:highlight w:val="none"/>
              </w:rPr>
            </w:pPr>
            <w:r>
              <w:rPr>
                <w:rFonts w:hint="eastAsia" w:ascii="宋体" w:hAnsi="宋体" w:cs="宋体"/>
                <w:color w:val="000000"/>
                <w:sz w:val="24"/>
                <w:highlight w:val="none"/>
              </w:rPr>
              <w:t>④</w:t>
            </w:r>
            <w:r>
              <w:rPr>
                <w:rFonts w:hint="eastAsia"/>
                <w:color w:val="000000"/>
                <w:sz w:val="24"/>
                <w:highlight w:val="none"/>
              </w:rPr>
              <w:t>建立健全环境档案管理与保密制度、污染防治设施设计技术改进及运行资料、污染源调查技术档案、环境监测及评价资料、项目平面图和给排水管网图等。</w:t>
            </w:r>
          </w:p>
          <w:p>
            <w:pPr>
              <w:keepNext/>
              <w:keepLines/>
              <w:spacing w:line="480" w:lineRule="exact"/>
              <w:ind w:firstLine="480" w:firstLineChars="200"/>
              <w:rPr>
                <w:color w:val="000000"/>
                <w:sz w:val="24"/>
                <w:highlight w:val="none"/>
              </w:rPr>
            </w:pPr>
            <w:bookmarkStart w:id="7" w:name="_Toc360600523"/>
            <w:bookmarkStart w:id="8" w:name="_Toc26083"/>
            <w:bookmarkStart w:id="9" w:name="_Toc480540294"/>
            <w:bookmarkStart w:id="10" w:name="_Toc520882006"/>
            <w:bookmarkStart w:id="11" w:name="_Toc421781113"/>
            <w:bookmarkStart w:id="12" w:name="_Toc326222955"/>
            <w:r>
              <w:rPr>
                <w:rFonts w:hint="eastAsia"/>
                <w:color w:val="000000"/>
                <w:sz w:val="24"/>
                <w:highlight w:val="none"/>
              </w:rPr>
              <w:t>（</w:t>
            </w:r>
            <w:r>
              <w:rPr>
                <w:color w:val="000000"/>
                <w:sz w:val="24"/>
                <w:highlight w:val="none"/>
              </w:rPr>
              <w:t>2</w:t>
            </w:r>
            <w:r>
              <w:rPr>
                <w:rFonts w:hint="eastAsia"/>
                <w:color w:val="000000"/>
                <w:sz w:val="24"/>
                <w:highlight w:val="none"/>
              </w:rPr>
              <w:t>）环境监测计划</w:t>
            </w:r>
            <w:bookmarkEnd w:id="7"/>
            <w:bookmarkEnd w:id="8"/>
            <w:bookmarkEnd w:id="9"/>
            <w:bookmarkEnd w:id="10"/>
            <w:bookmarkEnd w:id="11"/>
            <w:bookmarkEnd w:id="12"/>
          </w:p>
          <w:p>
            <w:pPr>
              <w:spacing w:line="480" w:lineRule="exact"/>
              <w:ind w:firstLine="480" w:firstLineChars="200"/>
              <w:rPr>
                <w:color w:val="000000"/>
                <w:sz w:val="24"/>
                <w:highlight w:val="none"/>
              </w:rPr>
            </w:pPr>
            <w:r>
              <w:rPr>
                <w:rFonts w:hint="eastAsia"/>
                <w:color w:val="000000"/>
                <w:sz w:val="24"/>
                <w:highlight w:val="none"/>
              </w:rPr>
              <w:t>环境监测计划是指项目在建设期、运行期对项目主要污染对象进行的环境样品、化验、数据处理以及编制报告，为环境管理部门强化环境管理，编制环保计划，制定污染防治对象，提供科学依据。根据该项目生产特点和主要污染物排放情况，提出如下监测要求：</w:t>
            </w:r>
          </w:p>
          <w:p>
            <w:pPr>
              <w:spacing w:line="480" w:lineRule="exact"/>
              <w:ind w:firstLine="480" w:firstLineChars="200"/>
              <w:rPr>
                <w:color w:val="000000"/>
                <w:sz w:val="24"/>
                <w:highlight w:val="none"/>
              </w:rPr>
            </w:pPr>
            <w:r>
              <w:rPr>
                <w:rFonts w:hint="eastAsia" w:ascii="宋体" w:hAnsi="宋体" w:cs="宋体"/>
                <w:color w:val="000000"/>
                <w:sz w:val="24"/>
                <w:highlight w:val="none"/>
              </w:rPr>
              <w:t>①</w:t>
            </w:r>
            <w:r>
              <w:rPr>
                <w:rFonts w:hint="eastAsia"/>
                <w:color w:val="000000"/>
                <w:sz w:val="24"/>
                <w:highlight w:val="none"/>
              </w:rPr>
              <w:t>厂方应委托有资质单位定期对产生的废水、厂界噪声进行监测；</w:t>
            </w:r>
          </w:p>
          <w:p>
            <w:pPr>
              <w:spacing w:line="480" w:lineRule="exact"/>
              <w:ind w:firstLine="480" w:firstLineChars="200"/>
              <w:rPr>
                <w:color w:val="000000"/>
                <w:sz w:val="24"/>
                <w:highlight w:val="none"/>
              </w:rPr>
            </w:pPr>
            <w:r>
              <w:rPr>
                <w:rFonts w:hint="eastAsia" w:ascii="宋体" w:hAnsi="宋体" w:cs="宋体"/>
                <w:color w:val="000000"/>
                <w:sz w:val="24"/>
                <w:highlight w:val="none"/>
              </w:rPr>
              <w:t>②</w:t>
            </w:r>
            <w:r>
              <w:rPr>
                <w:rFonts w:hint="eastAsia"/>
                <w:color w:val="000000"/>
                <w:sz w:val="24"/>
                <w:highlight w:val="none"/>
              </w:rPr>
              <w:t>定期向环境管理部门上报监测结果；</w:t>
            </w:r>
          </w:p>
          <w:p>
            <w:pPr>
              <w:spacing w:line="480" w:lineRule="exact"/>
              <w:ind w:firstLine="480" w:firstLineChars="200"/>
              <w:rPr>
                <w:color w:val="000000"/>
                <w:sz w:val="24"/>
                <w:highlight w:val="none"/>
              </w:rPr>
            </w:pPr>
            <w:r>
              <w:rPr>
                <w:rFonts w:hint="eastAsia" w:ascii="宋体" w:hAnsi="宋体" w:cs="宋体"/>
                <w:color w:val="000000"/>
                <w:sz w:val="24"/>
                <w:highlight w:val="none"/>
              </w:rPr>
              <w:t>③</w:t>
            </w:r>
            <w:r>
              <w:rPr>
                <w:rFonts w:hint="eastAsia"/>
                <w:color w:val="000000"/>
                <w:sz w:val="24"/>
                <w:highlight w:val="none"/>
              </w:rPr>
              <w:t>监测中发现超标排放或其它异常情况，及时报告企业环保管理部门查找原因、解决处理，遇有特殊情况时应随时监测。</w:t>
            </w:r>
          </w:p>
          <w:p>
            <w:pPr>
              <w:spacing w:line="480" w:lineRule="exact"/>
              <w:ind w:firstLine="480" w:firstLineChars="200"/>
              <w:rPr>
                <w:color w:val="000000"/>
                <w:sz w:val="24"/>
                <w:highlight w:val="none"/>
              </w:rPr>
            </w:pPr>
            <w:r>
              <w:rPr>
                <w:rFonts w:hint="eastAsia"/>
                <w:color w:val="000000"/>
                <w:sz w:val="24"/>
                <w:highlight w:val="none"/>
              </w:rPr>
              <w:t>监测点位、监测项目和监测频率见表</w:t>
            </w:r>
            <w:r>
              <w:rPr>
                <w:rFonts w:hint="eastAsia"/>
                <w:color w:val="000000"/>
                <w:sz w:val="24"/>
                <w:highlight w:val="none"/>
                <w:lang w:val="en-US" w:eastAsia="zh-CN"/>
              </w:rPr>
              <w:t>25</w:t>
            </w:r>
            <w:r>
              <w:rPr>
                <w:rFonts w:hint="eastAsia"/>
                <w:color w:val="000000"/>
                <w:sz w:val="24"/>
                <w:highlight w:val="none"/>
              </w:rPr>
              <w:t>。</w:t>
            </w:r>
          </w:p>
          <w:p>
            <w:pPr>
              <w:pStyle w:val="89"/>
              <w:spacing w:line="480" w:lineRule="exact"/>
              <w:ind w:firstLine="482"/>
              <w:rPr>
                <w:highlight w:val="none"/>
              </w:rPr>
            </w:pPr>
            <w:bookmarkStart w:id="13" w:name="_Ref417998422"/>
            <w:r>
              <w:rPr>
                <w:rFonts w:hint="eastAsia"/>
                <w:highlight w:val="none"/>
              </w:rPr>
              <w:t>表</w:t>
            </w:r>
            <w:bookmarkEnd w:id="13"/>
            <w:r>
              <w:rPr>
                <w:rFonts w:hint="eastAsia"/>
                <w:highlight w:val="none"/>
                <w:lang w:val="en-US" w:eastAsia="zh-CN"/>
              </w:rPr>
              <w:t>25</w:t>
            </w:r>
            <w:r>
              <w:rPr>
                <w:highlight w:val="none"/>
              </w:rPr>
              <w:t xml:space="preserve">    </w:t>
            </w:r>
            <w:r>
              <w:rPr>
                <w:rFonts w:hint="eastAsia"/>
                <w:highlight w:val="none"/>
              </w:rPr>
              <w:t>环境监测计划一览表</w:t>
            </w: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2184"/>
              <w:gridCol w:w="1197"/>
              <w:gridCol w:w="3070"/>
              <w:gridCol w:w="12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640"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监测类别</w:t>
                  </w:r>
                </w:p>
              </w:tc>
              <w:tc>
                <w:tcPr>
                  <w:tcW w:w="1231"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监测点位</w:t>
                  </w:r>
                </w:p>
              </w:tc>
              <w:tc>
                <w:tcPr>
                  <w:tcW w:w="674"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点位个数</w:t>
                  </w:r>
                </w:p>
              </w:tc>
              <w:tc>
                <w:tcPr>
                  <w:tcW w:w="1730"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监测项目</w:t>
                  </w:r>
                </w:p>
              </w:tc>
              <w:tc>
                <w:tcPr>
                  <w:tcW w:w="722"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监测频率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0"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噪声</w:t>
                  </w:r>
                </w:p>
              </w:tc>
              <w:tc>
                <w:tcPr>
                  <w:tcW w:w="1231"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rPr>
                    <w:t>厂区边界</w:t>
                  </w:r>
                </w:p>
              </w:tc>
              <w:tc>
                <w:tcPr>
                  <w:tcW w:w="674"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4</w:t>
                  </w:r>
                </w:p>
              </w:tc>
              <w:tc>
                <w:tcPr>
                  <w:tcW w:w="1730"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Leq(A)</w:t>
                  </w:r>
                </w:p>
              </w:tc>
              <w:tc>
                <w:tcPr>
                  <w:tcW w:w="722"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w:t>
                  </w:r>
                  <w:r>
                    <w:rPr>
                      <w:rFonts w:hint="eastAsia"/>
                      <w:highlight w:val="none"/>
                    </w:rPr>
                    <w:t>次</w:t>
                  </w:r>
                  <w:r>
                    <w:rPr>
                      <w:highlight w:val="none"/>
                    </w:rPr>
                    <w:t>/</w:t>
                  </w:r>
                  <w:r>
                    <w:rPr>
                      <w:rFonts w:hint="eastAsia"/>
                      <w:highlight w:val="none"/>
                    </w:rPr>
                    <w:t>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0" w:type="pct"/>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rPr>
                  </w:pPr>
                  <w:r>
                    <w:rPr>
                      <w:highlight w:val="none"/>
                    </w:rPr>
                    <w:t>废水</w:t>
                  </w:r>
                </w:p>
              </w:tc>
              <w:tc>
                <w:tcPr>
                  <w:tcW w:w="1231" w:type="pct"/>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highlight w:val="none"/>
                    </w:rPr>
                  </w:pPr>
                  <w:r>
                    <w:rPr>
                      <w:rFonts w:hint="eastAsia"/>
                      <w:highlight w:val="none"/>
                      <w:lang w:eastAsia="zh-CN"/>
                    </w:rPr>
                    <w:t>人民医院</w:t>
                  </w:r>
                  <w:r>
                    <w:rPr>
                      <w:highlight w:val="none"/>
                    </w:rPr>
                    <w:t>污水排放口</w:t>
                  </w:r>
                </w:p>
              </w:tc>
              <w:tc>
                <w:tcPr>
                  <w:tcW w:w="674"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w:t>
                  </w:r>
                </w:p>
              </w:tc>
              <w:tc>
                <w:tcPr>
                  <w:tcW w:w="1730"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rFonts w:hint="eastAsia"/>
                      <w:highlight w:val="none"/>
                      <w:lang w:val="en-US" w:eastAsia="zh-CN"/>
                    </w:rPr>
                    <w:t>pH、</w:t>
                  </w:r>
                  <w:r>
                    <w:rPr>
                      <w:sz w:val="21"/>
                      <w:szCs w:val="21"/>
                      <w:highlight w:val="none"/>
                    </w:rPr>
                    <w:t>BOD</w:t>
                  </w:r>
                  <w:r>
                    <w:rPr>
                      <w:rFonts w:hint="eastAsia"/>
                      <w:sz w:val="21"/>
                      <w:szCs w:val="21"/>
                      <w:highlight w:val="none"/>
                      <w:lang w:eastAsia="zh-CN"/>
                    </w:rPr>
                    <w:t>、</w:t>
                  </w:r>
                  <w:r>
                    <w:rPr>
                      <w:highlight w:val="none"/>
                    </w:rPr>
                    <w:t>COD、SS、氨氮、粪大肠菌群等</w:t>
                  </w:r>
                </w:p>
              </w:tc>
              <w:tc>
                <w:tcPr>
                  <w:tcW w:w="722" w:type="pct"/>
                  <w:tcBorders>
                    <w:top w:val="single" w:color="auto" w:sz="4" w:space="0"/>
                    <w:left w:val="single" w:color="auto" w:sz="4" w:space="0"/>
                    <w:bottom w:val="single" w:color="auto" w:sz="4" w:space="0"/>
                    <w:right w:val="single" w:color="auto" w:sz="4" w:space="0"/>
                  </w:tcBorders>
                  <w:noWrap w:val="0"/>
                  <w:vAlign w:val="center"/>
                </w:tcPr>
                <w:p>
                  <w:pPr>
                    <w:bidi w:val="0"/>
                    <w:jc w:val="center"/>
                    <w:rPr>
                      <w:highlight w:val="none"/>
                    </w:rPr>
                  </w:pPr>
                  <w:r>
                    <w:rPr>
                      <w:highlight w:val="none"/>
                    </w:rPr>
                    <w:t>1次/年</w:t>
                  </w:r>
                </w:p>
              </w:tc>
            </w:tr>
          </w:tbl>
          <w:p>
            <w:pPr>
              <w:pStyle w:val="21"/>
              <w:spacing w:line="480" w:lineRule="exact"/>
              <w:ind w:left="0" w:leftChars="0" w:right="1470" w:firstLine="482" w:firstLineChars="200"/>
              <w:jc w:val="left"/>
              <w:rPr>
                <w:b/>
                <w:color w:val="000000"/>
                <w:sz w:val="24"/>
                <w:szCs w:val="22"/>
                <w:highlight w:val="none"/>
              </w:rPr>
            </w:pPr>
            <w:r>
              <w:rPr>
                <w:rFonts w:hint="eastAsia"/>
                <w:b/>
                <w:color w:val="000000"/>
                <w:sz w:val="24"/>
                <w:szCs w:val="22"/>
                <w:highlight w:val="none"/>
                <w:lang w:val="en-US" w:eastAsia="zh-CN"/>
              </w:rPr>
              <w:t>9</w:t>
            </w:r>
            <w:r>
              <w:rPr>
                <w:rFonts w:hint="eastAsia"/>
                <w:b/>
                <w:color w:val="000000"/>
                <w:sz w:val="24"/>
                <w:szCs w:val="22"/>
                <w:highlight w:val="none"/>
              </w:rPr>
              <w:t>、排污口规范化</w:t>
            </w:r>
          </w:p>
          <w:p>
            <w:pPr>
              <w:pStyle w:val="21"/>
              <w:spacing w:line="480" w:lineRule="exact"/>
              <w:ind w:left="0" w:leftChars="0" w:right="0" w:rightChars="0" w:firstLine="480" w:firstLineChars="200"/>
              <w:rPr>
                <w:rFonts w:ascii="宋体" w:hAnsi="宋体" w:cs="宋体"/>
                <w:kern w:val="0"/>
                <w:sz w:val="24"/>
                <w:highlight w:val="none"/>
              </w:rPr>
            </w:pPr>
            <w:r>
              <w:rPr>
                <w:rFonts w:hint="eastAsia"/>
                <w:color w:val="000000"/>
                <w:sz w:val="24"/>
                <w:szCs w:val="22"/>
                <w:highlight w:val="none"/>
              </w:rPr>
              <w:t>（</w:t>
            </w:r>
            <w:r>
              <w:rPr>
                <w:color w:val="000000"/>
                <w:sz w:val="24"/>
                <w:szCs w:val="22"/>
                <w:highlight w:val="none"/>
              </w:rPr>
              <w:t>1</w:t>
            </w:r>
            <w:r>
              <w:rPr>
                <w:rFonts w:hint="eastAsia"/>
                <w:color w:val="000000"/>
                <w:sz w:val="24"/>
                <w:szCs w:val="22"/>
                <w:highlight w:val="none"/>
              </w:rPr>
              <w:t>）按照</w:t>
            </w:r>
            <w:r>
              <w:rPr>
                <w:rFonts w:hint="eastAsia" w:ascii="宋体" w:hAnsi="宋体" w:cs="宋体"/>
                <w:kern w:val="0"/>
                <w:sz w:val="24"/>
                <w:highlight w:val="none"/>
              </w:rPr>
              <w:t>《排污口规范化整治技术要求（试行）》（环监</w:t>
            </w:r>
            <w:r>
              <w:rPr>
                <w:kern w:val="0"/>
                <w:sz w:val="24"/>
                <w:highlight w:val="none"/>
              </w:rPr>
              <w:t>［1996</w:t>
            </w:r>
            <w:r>
              <w:rPr>
                <w:rFonts w:hAnsi="宋体"/>
                <w:kern w:val="0"/>
                <w:sz w:val="24"/>
                <w:highlight w:val="none"/>
              </w:rPr>
              <w:t>］</w:t>
            </w:r>
            <w:r>
              <w:rPr>
                <w:kern w:val="0"/>
                <w:sz w:val="24"/>
                <w:highlight w:val="none"/>
              </w:rPr>
              <w:t>470</w:t>
            </w:r>
            <w:r>
              <w:rPr>
                <w:rFonts w:hint="eastAsia" w:ascii="宋体" w:hAnsi="宋体" w:cs="宋体"/>
                <w:kern w:val="0"/>
                <w:sz w:val="24"/>
                <w:highlight w:val="none"/>
              </w:rPr>
              <w:t>号）、《关于开展排放口规范化整治工作的通知》等文件中有关规定设置规范化排污口。</w:t>
            </w:r>
          </w:p>
          <w:p>
            <w:pPr>
              <w:pStyle w:val="21"/>
              <w:spacing w:line="480" w:lineRule="exact"/>
              <w:ind w:left="0" w:leftChars="0" w:right="0" w:rightChars="0" w:firstLine="480" w:firstLineChars="200"/>
              <w:rPr>
                <w:rFonts w:hint="eastAsia"/>
                <w:color w:val="000000"/>
                <w:sz w:val="21"/>
                <w:szCs w:val="21"/>
                <w:highlight w:val="none"/>
              </w:rPr>
            </w:pPr>
            <w:r>
              <w:rPr>
                <w:rFonts w:hint="eastAsia" w:ascii="宋体" w:hAnsi="宋体" w:cs="宋体"/>
                <w:kern w:val="0"/>
                <w:sz w:val="24"/>
                <w:highlight w:val="none"/>
              </w:rPr>
              <w:t>（2）按照国家标准《环境保护图形标志》（</w:t>
            </w:r>
            <w:r>
              <w:rPr>
                <w:kern w:val="0"/>
                <w:sz w:val="24"/>
                <w:highlight w:val="none"/>
              </w:rPr>
              <w:t>GB15562.1-1995</w:t>
            </w:r>
            <w:r>
              <w:rPr>
                <w:rFonts w:hint="eastAsia" w:ascii="宋体" w:hAnsi="宋体" w:cs="宋体"/>
                <w:kern w:val="0"/>
                <w:sz w:val="24"/>
                <w:highlight w:val="none"/>
              </w:rPr>
              <w:t>）的规定，设置与之相适应的环境保护图形标志牌。</w:t>
            </w:r>
          </w:p>
          <w:p>
            <w:pPr>
              <w:pStyle w:val="21"/>
              <w:spacing w:line="480" w:lineRule="exact"/>
              <w:ind w:left="0" w:leftChars="0" w:right="1470" w:firstLine="482" w:firstLineChars="200"/>
              <w:jc w:val="left"/>
              <w:rPr>
                <w:b/>
                <w:color w:val="000000"/>
                <w:sz w:val="24"/>
                <w:szCs w:val="22"/>
                <w:highlight w:val="none"/>
              </w:rPr>
            </w:pPr>
            <w:r>
              <w:rPr>
                <w:rFonts w:hint="eastAsia"/>
                <w:b/>
                <w:color w:val="000000"/>
                <w:sz w:val="24"/>
                <w:szCs w:val="22"/>
                <w:highlight w:val="none"/>
                <w:lang w:val="en-US" w:eastAsia="zh-CN"/>
              </w:rPr>
              <w:t>10</w:t>
            </w:r>
            <w:r>
              <w:rPr>
                <w:rFonts w:hint="eastAsia"/>
                <w:b/>
                <w:color w:val="000000"/>
                <w:sz w:val="24"/>
                <w:szCs w:val="22"/>
                <w:highlight w:val="none"/>
              </w:rPr>
              <w:t>、污染物排放清单</w:t>
            </w:r>
          </w:p>
          <w:p>
            <w:pPr>
              <w:spacing w:line="480" w:lineRule="exact"/>
              <w:ind w:firstLine="480" w:firstLineChars="200"/>
              <w:jc w:val="left"/>
              <w:rPr>
                <w:rFonts w:hint="eastAsia"/>
                <w:b/>
                <w:color w:val="000000"/>
                <w:sz w:val="24"/>
                <w:highlight w:val="none"/>
              </w:rPr>
            </w:pPr>
            <w:r>
              <w:rPr>
                <w:rFonts w:hint="eastAsia"/>
                <w:color w:val="000000"/>
                <w:sz w:val="24"/>
                <w:highlight w:val="none"/>
              </w:rPr>
              <w:t>项目污染物排放清单见表2</w:t>
            </w:r>
            <w:r>
              <w:rPr>
                <w:rFonts w:hint="eastAsia"/>
                <w:color w:val="000000"/>
                <w:sz w:val="24"/>
                <w:highlight w:val="none"/>
                <w:lang w:val="en-US" w:eastAsia="zh-CN"/>
              </w:rPr>
              <w:t>6</w:t>
            </w:r>
            <w:r>
              <w:rPr>
                <w:rFonts w:hint="eastAsia"/>
                <w:color w:val="000000"/>
                <w:sz w:val="24"/>
                <w:highlight w:val="none"/>
              </w:rPr>
              <w:t>。</w:t>
            </w:r>
          </w:p>
          <w:p>
            <w:pPr>
              <w:tabs>
                <w:tab w:val="left" w:pos="1923"/>
                <w:tab w:val="center" w:pos="4505"/>
              </w:tabs>
              <w:spacing w:line="480" w:lineRule="exact"/>
              <w:jc w:val="center"/>
              <w:rPr>
                <w:b/>
                <w:color w:val="000000"/>
                <w:sz w:val="24"/>
                <w:highlight w:val="none"/>
              </w:rPr>
            </w:pPr>
            <w:r>
              <w:rPr>
                <w:rFonts w:hint="eastAsia"/>
                <w:b/>
                <w:color w:val="000000"/>
                <w:sz w:val="24"/>
                <w:highlight w:val="none"/>
              </w:rPr>
              <w:t>表2</w:t>
            </w:r>
            <w:r>
              <w:rPr>
                <w:rFonts w:hint="eastAsia"/>
                <w:b/>
                <w:color w:val="000000"/>
                <w:sz w:val="24"/>
                <w:highlight w:val="none"/>
                <w:lang w:val="en-US" w:eastAsia="zh-CN"/>
              </w:rPr>
              <w:t>6</w:t>
            </w:r>
            <w:r>
              <w:rPr>
                <w:b/>
                <w:color w:val="000000"/>
                <w:sz w:val="24"/>
                <w:highlight w:val="none"/>
              </w:rPr>
              <w:t xml:space="preserve">    </w:t>
            </w:r>
            <w:r>
              <w:rPr>
                <w:rFonts w:hint="eastAsia"/>
                <w:b/>
                <w:color w:val="000000"/>
                <w:sz w:val="24"/>
                <w:highlight w:val="none"/>
              </w:rPr>
              <w:t>项目污染物排放清单一览表</w:t>
            </w:r>
          </w:p>
          <w:tbl>
            <w:tblPr>
              <w:tblStyle w:val="36"/>
              <w:tblW w:w="8918"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373"/>
              <w:gridCol w:w="697"/>
              <w:gridCol w:w="1037"/>
              <w:gridCol w:w="1461"/>
              <w:gridCol w:w="542"/>
              <w:gridCol w:w="965"/>
              <w:gridCol w:w="292"/>
              <w:gridCol w:w="415"/>
              <w:gridCol w:w="313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69" w:hRule="atLeast"/>
                <w:jc w:val="center"/>
              </w:trPr>
              <w:tc>
                <w:tcPr>
                  <w:tcW w:w="209" w:type="pct"/>
                  <w:vMerge w:val="restart"/>
                  <w:tcBorders>
                    <w:top w:val="single" w:color="auto" w:sz="4" w:space="0"/>
                    <w:left w:val="single" w:color="auto" w:sz="4" w:space="0"/>
                    <w:right w:val="single" w:color="auto" w:sz="6" w:space="0"/>
                  </w:tcBorders>
                  <w:noWrap w:val="0"/>
                  <w:vAlign w:val="center"/>
                </w:tcPr>
                <w:p>
                  <w:pPr>
                    <w:spacing w:line="360" w:lineRule="exact"/>
                    <w:jc w:val="center"/>
                    <w:rPr>
                      <w:color w:val="000000"/>
                      <w:szCs w:val="21"/>
                      <w:highlight w:val="none"/>
                    </w:rPr>
                  </w:pPr>
                  <w:r>
                    <w:rPr>
                      <w:rFonts w:hint="eastAsia"/>
                      <w:color w:val="000000"/>
                      <w:szCs w:val="21"/>
                      <w:highlight w:val="none"/>
                    </w:rPr>
                    <w:t>污染源</w:t>
                  </w:r>
                </w:p>
              </w:tc>
              <w:tc>
                <w:tcPr>
                  <w:tcW w:w="972" w:type="pct"/>
                  <w:gridSpan w:val="2"/>
                  <w:vMerge w:val="restart"/>
                  <w:tcBorders>
                    <w:top w:val="single" w:color="auto" w:sz="4" w:space="0"/>
                    <w:left w:val="single" w:color="auto" w:sz="6" w:space="0"/>
                    <w:bottom w:val="single" w:color="auto" w:sz="6"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污染物源及污染物</w:t>
                  </w:r>
                </w:p>
              </w:tc>
              <w:tc>
                <w:tcPr>
                  <w:tcW w:w="1123" w:type="pct"/>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环保措施</w:t>
                  </w:r>
                </w:p>
              </w:tc>
              <w:tc>
                <w:tcPr>
                  <w:tcW w:w="937" w:type="pct"/>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排污口信息</w:t>
                  </w:r>
                </w:p>
              </w:tc>
              <w:tc>
                <w:tcPr>
                  <w:tcW w:w="1758" w:type="pct"/>
                  <w:vMerge w:val="restart"/>
                  <w:tcBorders>
                    <w:top w:val="single" w:color="auto" w:sz="4" w:space="0"/>
                    <w:left w:val="single" w:color="auto" w:sz="4" w:space="0"/>
                    <w:bottom w:val="single" w:color="auto" w:sz="6" w:space="0"/>
                    <w:right w:val="single" w:color="auto" w:sz="6" w:space="0"/>
                  </w:tcBorders>
                  <w:noWrap w:val="0"/>
                  <w:vAlign w:val="center"/>
                </w:tcPr>
                <w:p>
                  <w:pPr>
                    <w:spacing w:line="360" w:lineRule="exact"/>
                    <w:jc w:val="center"/>
                    <w:rPr>
                      <w:color w:val="000000"/>
                      <w:szCs w:val="21"/>
                      <w:highlight w:val="none"/>
                    </w:rPr>
                  </w:pPr>
                  <w:r>
                    <w:rPr>
                      <w:rFonts w:hint="eastAsia"/>
                      <w:color w:val="000000"/>
                      <w:szCs w:val="21"/>
                      <w:highlight w:val="none"/>
                    </w:rPr>
                    <w:t>执行标准</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71" w:hRule="atLeast"/>
                <w:jc w:val="center"/>
              </w:trPr>
              <w:tc>
                <w:tcPr>
                  <w:tcW w:w="209" w:type="pct"/>
                  <w:vMerge w:val="continue"/>
                  <w:tcBorders>
                    <w:left w:val="single" w:color="auto" w:sz="4" w:space="0"/>
                    <w:bottom w:val="single" w:color="auto" w:sz="4" w:space="0"/>
                    <w:right w:val="single" w:color="auto" w:sz="6" w:space="0"/>
                  </w:tcBorders>
                  <w:noWrap w:val="0"/>
                  <w:vAlign w:val="center"/>
                </w:tcPr>
                <w:p>
                  <w:pPr>
                    <w:widowControl/>
                    <w:jc w:val="center"/>
                    <w:rPr>
                      <w:color w:val="000000"/>
                      <w:szCs w:val="21"/>
                      <w:highlight w:val="none"/>
                    </w:rPr>
                  </w:pPr>
                </w:p>
              </w:tc>
              <w:tc>
                <w:tcPr>
                  <w:tcW w:w="972" w:type="pct"/>
                  <w:gridSpan w:val="2"/>
                  <w:vMerge w:val="continue"/>
                  <w:tcBorders>
                    <w:top w:val="single" w:color="auto" w:sz="4" w:space="0"/>
                    <w:left w:val="single" w:color="auto" w:sz="6" w:space="0"/>
                    <w:bottom w:val="single" w:color="auto" w:sz="6" w:space="0"/>
                    <w:right w:val="single" w:color="auto" w:sz="4" w:space="0"/>
                  </w:tcBorders>
                  <w:noWrap w:val="0"/>
                  <w:vAlign w:val="center"/>
                </w:tcPr>
                <w:p>
                  <w:pPr>
                    <w:widowControl/>
                    <w:jc w:val="center"/>
                    <w:rPr>
                      <w:color w:val="000000"/>
                      <w:szCs w:val="21"/>
                      <w:highlight w:val="none"/>
                    </w:rPr>
                  </w:pPr>
                </w:p>
              </w:tc>
              <w:tc>
                <w:tcPr>
                  <w:tcW w:w="819" w:type="pct"/>
                  <w:tcBorders>
                    <w:top w:val="single" w:color="auto" w:sz="4" w:space="0"/>
                    <w:left w:val="single" w:color="auto" w:sz="4" w:space="0"/>
                    <w:bottom w:val="single" w:color="auto" w:sz="6" w:space="0"/>
                    <w:right w:val="single" w:color="auto" w:sz="6" w:space="0"/>
                  </w:tcBorders>
                  <w:noWrap w:val="0"/>
                  <w:vAlign w:val="center"/>
                </w:tcPr>
                <w:p>
                  <w:pPr>
                    <w:spacing w:line="360" w:lineRule="exact"/>
                    <w:jc w:val="center"/>
                    <w:rPr>
                      <w:color w:val="000000"/>
                      <w:szCs w:val="21"/>
                      <w:highlight w:val="none"/>
                    </w:rPr>
                  </w:pPr>
                  <w:r>
                    <w:rPr>
                      <w:rFonts w:hint="eastAsia"/>
                      <w:color w:val="000000"/>
                      <w:szCs w:val="21"/>
                      <w:highlight w:val="none"/>
                    </w:rPr>
                    <w:t>环保措施</w:t>
                  </w:r>
                </w:p>
              </w:tc>
              <w:tc>
                <w:tcPr>
                  <w:tcW w:w="303" w:type="pct"/>
                  <w:tcBorders>
                    <w:top w:val="single" w:color="auto" w:sz="4" w:space="0"/>
                    <w:left w:val="single" w:color="auto" w:sz="6" w:space="0"/>
                    <w:bottom w:val="single" w:color="auto" w:sz="6"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数量</w:t>
                  </w:r>
                </w:p>
              </w:tc>
              <w:tc>
                <w:tcPr>
                  <w:tcW w:w="541" w:type="pct"/>
                  <w:tcBorders>
                    <w:top w:val="single" w:color="auto" w:sz="4"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排放参数</w:t>
                  </w:r>
                </w:p>
              </w:tc>
              <w:tc>
                <w:tcPr>
                  <w:tcW w:w="396" w:type="pct"/>
                  <w:gridSpan w:val="2"/>
                  <w:tcBorders>
                    <w:top w:val="single" w:color="auto" w:sz="4"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排气筒</w:t>
                  </w:r>
                </w:p>
              </w:tc>
              <w:tc>
                <w:tcPr>
                  <w:tcW w:w="1758" w:type="pct"/>
                  <w:vMerge w:val="continue"/>
                  <w:tcBorders>
                    <w:top w:val="single" w:color="auto" w:sz="4" w:space="0"/>
                    <w:left w:val="single" w:color="auto" w:sz="4" w:space="0"/>
                    <w:bottom w:val="single" w:color="auto" w:sz="6" w:space="0"/>
                    <w:right w:val="single" w:color="auto" w:sz="6" w:space="0"/>
                  </w:tcBorders>
                  <w:noWrap w:val="0"/>
                  <w:vAlign w:val="center"/>
                </w:tcPr>
                <w:p>
                  <w:pPr>
                    <w:widowControl/>
                    <w:jc w:val="center"/>
                    <w:rPr>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1" w:hRule="atLeast"/>
                <w:jc w:val="center"/>
              </w:trPr>
              <w:tc>
                <w:tcPr>
                  <w:tcW w:w="209" w:type="pct"/>
                  <w:vMerge w:val="restart"/>
                  <w:tcBorders>
                    <w:left w:val="single" w:color="auto" w:sz="4" w:space="0"/>
                    <w:right w:val="single" w:color="auto" w:sz="6" w:space="0"/>
                  </w:tcBorders>
                  <w:noWrap w:val="0"/>
                  <w:vAlign w:val="center"/>
                </w:tcPr>
                <w:p>
                  <w:pPr>
                    <w:widowControl/>
                    <w:jc w:val="center"/>
                    <w:rPr>
                      <w:rFonts w:hint="eastAsia" w:eastAsia="宋体"/>
                      <w:color w:val="000000"/>
                      <w:szCs w:val="21"/>
                      <w:highlight w:val="none"/>
                      <w:lang w:eastAsia="zh-CN"/>
                    </w:rPr>
                  </w:pPr>
                  <w:r>
                    <w:rPr>
                      <w:rFonts w:hint="eastAsia"/>
                      <w:color w:val="000000"/>
                      <w:szCs w:val="21"/>
                      <w:highlight w:val="none"/>
                      <w:lang w:eastAsia="zh-CN"/>
                    </w:rPr>
                    <w:t>污水</w:t>
                  </w:r>
                </w:p>
              </w:tc>
              <w:tc>
                <w:tcPr>
                  <w:tcW w:w="390"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rFonts w:hint="eastAsia"/>
                      <w:szCs w:val="21"/>
                      <w:highlight w:val="none"/>
                      <w:lang w:eastAsia="zh-CN"/>
                    </w:rPr>
                  </w:pPr>
                  <w:r>
                    <w:rPr>
                      <w:rFonts w:hint="eastAsia"/>
                      <w:szCs w:val="21"/>
                      <w:highlight w:val="none"/>
                      <w:lang w:eastAsia="zh-CN"/>
                    </w:rPr>
                    <w:t>生活</w:t>
                  </w:r>
                </w:p>
                <w:p>
                  <w:pPr>
                    <w:spacing w:line="360" w:lineRule="exact"/>
                    <w:jc w:val="center"/>
                    <w:rPr>
                      <w:rFonts w:hint="eastAsia"/>
                      <w:szCs w:val="21"/>
                      <w:highlight w:val="none"/>
                    </w:rPr>
                  </w:pPr>
                  <w:r>
                    <w:rPr>
                      <w:rFonts w:hint="eastAsia"/>
                      <w:szCs w:val="21"/>
                      <w:highlight w:val="none"/>
                    </w:rPr>
                    <w:t>废水</w:t>
                  </w:r>
                </w:p>
              </w:tc>
              <w:tc>
                <w:tcPr>
                  <w:tcW w:w="581" w:type="pct"/>
                  <w:tcBorders>
                    <w:top w:val="single" w:color="auto" w:sz="6" w:space="0"/>
                    <w:left w:val="single" w:color="auto" w:sz="6" w:space="0"/>
                    <w:bottom w:val="single" w:color="auto" w:sz="6" w:space="0"/>
                    <w:right w:val="single" w:color="auto" w:sz="4" w:space="0"/>
                  </w:tcBorders>
                  <w:noWrap w:val="0"/>
                  <w:vAlign w:val="center"/>
                </w:tcPr>
                <w:p>
                  <w:pPr>
                    <w:widowControl/>
                    <w:jc w:val="center"/>
                    <w:rPr>
                      <w:szCs w:val="21"/>
                      <w:highlight w:val="none"/>
                    </w:rPr>
                  </w:pPr>
                  <w:r>
                    <w:rPr>
                      <w:highlight w:val="none"/>
                    </w:rPr>
                    <w:t>COD</w:t>
                  </w:r>
                  <w:r>
                    <w:rPr>
                      <w:rFonts w:hint="eastAsia"/>
                      <w:highlight w:val="none"/>
                    </w:rPr>
                    <w:t>、</w:t>
                  </w:r>
                  <w:r>
                    <w:rPr>
                      <w:sz w:val="21"/>
                      <w:szCs w:val="21"/>
                      <w:highlight w:val="none"/>
                    </w:rPr>
                    <w:t>BOD</w:t>
                  </w:r>
                  <w:r>
                    <w:rPr>
                      <w:sz w:val="21"/>
                      <w:szCs w:val="21"/>
                      <w:highlight w:val="none"/>
                      <w:vertAlign w:val="subscript"/>
                    </w:rPr>
                    <w:t>5</w:t>
                  </w:r>
                  <w:r>
                    <w:rPr>
                      <w:rFonts w:hint="eastAsia"/>
                      <w:highlight w:val="none"/>
                    </w:rPr>
                    <w:t>、</w:t>
                  </w:r>
                  <w:r>
                    <w:rPr>
                      <w:highlight w:val="none"/>
                    </w:rPr>
                    <w:t>SS</w:t>
                  </w:r>
                  <w:r>
                    <w:rPr>
                      <w:rFonts w:hint="eastAsia"/>
                      <w:highlight w:val="none"/>
                    </w:rPr>
                    <w:t>、氨氮、粪大肠菌群、</w:t>
                  </w:r>
                  <w:r>
                    <w:rPr>
                      <w:rFonts w:hint="eastAsia"/>
                      <w:highlight w:val="none"/>
                      <w:lang w:eastAsia="zh-CN"/>
                    </w:rPr>
                    <w:t>阴离子表面活性剂</w:t>
                  </w:r>
                </w:p>
              </w:tc>
              <w:tc>
                <w:tcPr>
                  <w:tcW w:w="819" w:type="pct"/>
                  <w:tcBorders>
                    <w:top w:val="single" w:color="auto" w:sz="6" w:space="0"/>
                    <w:left w:val="single" w:color="auto" w:sz="4" w:space="0"/>
                    <w:bottom w:val="single" w:color="auto" w:sz="6" w:space="0"/>
                    <w:right w:val="single" w:color="auto" w:sz="6" w:space="0"/>
                  </w:tcBorders>
                  <w:noWrap w:val="0"/>
                  <w:vAlign w:val="center"/>
                </w:tcPr>
                <w:p>
                  <w:pPr>
                    <w:widowControl/>
                    <w:jc w:val="center"/>
                    <w:rPr>
                      <w:szCs w:val="21"/>
                      <w:highlight w:val="none"/>
                    </w:rPr>
                  </w:pPr>
                  <w:r>
                    <w:rPr>
                      <w:rFonts w:hint="eastAsia"/>
                      <w:szCs w:val="21"/>
                      <w:highlight w:val="none"/>
                      <w:lang w:eastAsia="zh-CN"/>
                    </w:rPr>
                    <w:t>废水经化粪池处理后</w:t>
                  </w:r>
                  <w:r>
                    <w:rPr>
                      <w:rFonts w:hint="eastAsia"/>
                      <w:szCs w:val="21"/>
                      <w:highlight w:val="none"/>
                    </w:rPr>
                    <w:t>排入院区污水处理厂</w:t>
                  </w:r>
                  <w:r>
                    <w:rPr>
                      <w:rFonts w:hint="eastAsia"/>
                      <w:szCs w:val="21"/>
                      <w:highlight w:val="none"/>
                      <w:lang w:eastAsia="zh-CN"/>
                    </w:rPr>
                    <w:t>，</w:t>
                  </w:r>
                  <w:r>
                    <w:rPr>
                      <w:rFonts w:hint="eastAsia"/>
                      <w:szCs w:val="21"/>
                      <w:highlight w:val="none"/>
                    </w:rPr>
                    <w:t>处理达标后排入市政污水管网</w:t>
                  </w:r>
                </w:p>
              </w:tc>
              <w:tc>
                <w:tcPr>
                  <w:tcW w:w="303" w:type="pct"/>
                  <w:tcBorders>
                    <w:top w:val="single" w:color="auto" w:sz="6" w:space="0"/>
                    <w:left w:val="single" w:color="auto" w:sz="6" w:space="0"/>
                    <w:bottom w:val="single" w:color="auto" w:sz="6" w:space="0"/>
                    <w:right w:val="single" w:color="auto" w:sz="4" w:space="0"/>
                  </w:tcBorders>
                  <w:noWrap w:val="0"/>
                  <w:vAlign w:val="center"/>
                </w:tcPr>
                <w:p>
                  <w:pPr>
                    <w:widowControl/>
                    <w:jc w:val="center"/>
                    <w:rPr>
                      <w:color w:val="000000"/>
                      <w:szCs w:val="21"/>
                      <w:highlight w:val="none"/>
                    </w:rPr>
                  </w:pPr>
                  <w:r>
                    <w:rPr>
                      <w:color w:val="000000"/>
                      <w:szCs w:val="21"/>
                      <w:highlight w:val="none"/>
                    </w:rPr>
                    <w:t>-</w:t>
                  </w:r>
                </w:p>
              </w:tc>
              <w:tc>
                <w:tcPr>
                  <w:tcW w:w="541" w:type="pct"/>
                  <w:vMerge w:val="restart"/>
                  <w:tcBorders>
                    <w:top w:val="single" w:color="auto" w:sz="6" w:space="0"/>
                    <w:left w:val="single" w:color="auto" w:sz="4" w:space="0"/>
                    <w:right w:val="single" w:color="auto" w:sz="4" w:space="0"/>
                  </w:tcBorders>
                  <w:noWrap w:val="0"/>
                  <w:vAlign w:val="center"/>
                </w:tcPr>
                <w:p>
                  <w:pPr>
                    <w:widowControl/>
                    <w:jc w:val="center"/>
                    <w:rPr>
                      <w:color w:val="000000"/>
                      <w:szCs w:val="21"/>
                      <w:highlight w:val="none"/>
                    </w:rPr>
                  </w:pPr>
                  <w:r>
                    <w:rPr>
                      <w:rFonts w:hint="eastAsia"/>
                      <w:szCs w:val="21"/>
                      <w:highlight w:val="none"/>
                    </w:rPr>
                    <w:t>14</w:t>
                  </w:r>
                  <w:r>
                    <w:rPr>
                      <w:szCs w:val="21"/>
                      <w:highlight w:val="none"/>
                    </w:rPr>
                    <w:t>m</w:t>
                  </w:r>
                  <w:r>
                    <w:rPr>
                      <w:szCs w:val="21"/>
                      <w:highlight w:val="none"/>
                      <w:vertAlign w:val="superscript"/>
                    </w:rPr>
                    <w:t>3</w:t>
                  </w:r>
                  <w:r>
                    <w:rPr>
                      <w:szCs w:val="21"/>
                      <w:highlight w:val="none"/>
                    </w:rPr>
                    <w:t>/d</w:t>
                  </w: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vMerge w:val="restart"/>
                  <w:tcBorders>
                    <w:top w:val="single" w:color="auto" w:sz="6" w:space="0"/>
                    <w:left w:val="single" w:color="auto" w:sz="4" w:space="0"/>
                    <w:right w:val="single" w:color="auto" w:sz="6" w:space="0"/>
                  </w:tcBorders>
                  <w:noWrap w:val="0"/>
                  <w:vAlign w:val="center"/>
                </w:tcPr>
                <w:p>
                  <w:pPr>
                    <w:widowControl/>
                    <w:jc w:val="center"/>
                    <w:rPr>
                      <w:rFonts w:hint="eastAsia" w:eastAsia="宋体"/>
                      <w:color w:val="000000"/>
                      <w:szCs w:val="21"/>
                      <w:highlight w:val="none"/>
                      <w:lang w:eastAsia="zh-CN"/>
                    </w:rPr>
                  </w:pPr>
                  <w:r>
                    <w:rPr>
                      <w:rFonts w:hint="eastAsia"/>
                      <w:szCs w:val="21"/>
                      <w:highlight w:val="none"/>
                    </w:rPr>
                    <w:t>《医疗机构水污染物排放标准》（</w:t>
                  </w:r>
                  <w:r>
                    <w:rPr>
                      <w:szCs w:val="21"/>
                      <w:highlight w:val="none"/>
                    </w:rPr>
                    <w:t>GB18466-2005</w:t>
                  </w:r>
                  <w:r>
                    <w:rPr>
                      <w:rFonts w:hint="eastAsia"/>
                      <w:szCs w:val="21"/>
                      <w:highlight w:val="none"/>
                    </w:rPr>
                    <w:t>）</w:t>
                  </w:r>
                  <w:r>
                    <w:rPr>
                      <w:rFonts w:hint="eastAsia"/>
                      <w:highlight w:val="none"/>
                      <w:lang w:eastAsia="zh-CN"/>
                    </w:rPr>
                    <w:t>和迁安市污水处理厂收水标准</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1" w:hRule="atLeast"/>
                <w:jc w:val="center"/>
              </w:trPr>
              <w:tc>
                <w:tcPr>
                  <w:tcW w:w="209" w:type="pct"/>
                  <w:vMerge w:val="continue"/>
                  <w:tcBorders>
                    <w:left w:val="single" w:color="auto" w:sz="4" w:space="0"/>
                    <w:bottom w:val="single" w:color="auto" w:sz="6" w:space="0"/>
                    <w:right w:val="single" w:color="auto" w:sz="6" w:space="0"/>
                  </w:tcBorders>
                  <w:noWrap w:val="0"/>
                  <w:vAlign w:val="center"/>
                </w:tcPr>
                <w:p>
                  <w:pPr>
                    <w:widowControl/>
                    <w:jc w:val="center"/>
                    <w:rPr>
                      <w:color w:val="000000"/>
                      <w:szCs w:val="21"/>
                      <w:highlight w:val="none"/>
                    </w:rPr>
                  </w:pPr>
                </w:p>
              </w:tc>
              <w:tc>
                <w:tcPr>
                  <w:tcW w:w="390"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rFonts w:hint="eastAsia"/>
                      <w:szCs w:val="21"/>
                      <w:highlight w:val="none"/>
                      <w:lang w:eastAsia="zh-CN"/>
                    </w:rPr>
                  </w:pPr>
                  <w:r>
                    <w:rPr>
                      <w:rFonts w:hint="eastAsia"/>
                      <w:szCs w:val="21"/>
                      <w:highlight w:val="none"/>
                      <w:lang w:eastAsia="zh-CN"/>
                    </w:rPr>
                    <w:t>医疗</w:t>
                  </w:r>
                </w:p>
                <w:p>
                  <w:pPr>
                    <w:spacing w:line="360" w:lineRule="exact"/>
                    <w:jc w:val="center"/>
                    <w:rPr>
                      <w:rFonts w:hint="eastAsia" w:eastAsia="宋体"/>
                      <w:szCs w:val="21"/>
                      <w:highlight w:val="none"/>
                      <w:lang w:eastAsia="zh-CN"/>
                    </w:rPr>
                  </w:pPr>
                  <w:r>
                    <w:rPr>
                      <w:rFonts w:hint="eastAsia"/>
                      <w:szCs w:val="21"/>
                      <w:highlight w:val="none"/>
                      <w:lang w:eastAsia="zh-CN"/>
                    </w:rPr>
                    <w:t>废水</w:t>
                  </w:r>
                </w:p>
              </w:tc>
              <w:tc>
                <w:tcPr>
                  <w:tcW w:w="581" w:type="pct"/>
                  <w:tcBorders>
                    <w:top w:val="single" w:color="auto" w:sz="6" w:space="0"/>
                    <w:left w:val="single" w:color="auto" w:sz="6" w:space="0"/>
                    <w:bottom w:val="single" w:color="auto" w:sz="6" w:space="0"/>
                    <w:right w:val="single" w:color="auto" w:sz="4" w:space="0"/>
                  </w:tcBorders>
                  <w:noWrap w:val="0"/>
                  <w:vAlign w:val="center"/>
                </w:tcPr>
                <w:p>
                  <w:pPr>
                    <w:widowControl/>
                    <w:jc w:val="center"/>
                    <w:rPr>
                      <w:rFonts w:hint="eastAsia" w:eastAsia="宋体"/>
                      <w:highlight w:val="none"/>
                      <w:lang w:eastAsia="zh-CN"/>
                    </w:rPr>
                  </w:pPr>
                  <w:r>
                    <w:rPr>
                      <w:sz w:val="21"/>
                      <w:szCs w:val="21"/>
                      <w:highlight w:val="none"/>
                    </w:rPr>
                    <w:t>COD、BOD</w:t>
                  </w:r>
                  <w:r>
                    <w:rPr>
                      <w:sz w:val="21"/>
                      <w:szCs w:val="21"/>
                      <w:highlight w:val="none"/>
                      <w:vertAlign w:val="subscript"/>
                    </w:rPr>
                    <w:t>5</w:t>
                  </w:r>
                  <w:r>
                    <w:rPr>
                      <w:sz w:val="21"/>
                      <w:szCs w:val="21"/>
                      <w:highlight w:val="none"/>
                    </w:rPr>
                    <w:t>、SS、氨氮</w:t>
                  </w:r>
                  <w:r>
                    <w:rPr>
                      <w:rFonts w:hint="eastAsia"/>
                      <w:sz w:val="21"/>
                      <w:szCs w:val="21"/>
                      <w:highlight w:val="none"/>
                      <w:lang w:eastAsia="zh-CN"/>
                    </w:rPr>
                    <w:t>、</w:t>
                  </w:r>
                  <w:r>
                    <w:rPr>
                      <w:rFonts w:hint="eastAsia"/>
                      <w:highlight w:val="none"/>
                    </w:rPr>
                    <w:t>粪大肠菌群</w:t>
                  </w:r>
                </w:p>
              </w:tc>
              <w:tc>
                <w:tcPr>
                  <w:tcW w:w="819" w:type="pct"/>
                  <w:tcBorders>
                    <w:top w:val="single" w:color="auto" w:sz="6" w:space="0"/>
                    <w:left w:val="single" w:color="auto" w:sz="4" w:space="0"/>
                    <w:bottom w:val="single" w:color="auto" w:sz="6" w:space="0"/>
                    <w:right w:val="single" w:color="auto" w:sz="6" w:space="0"/>
                  </w:tcBorders>
                  <w:noWrap w:val="0"/>
                  <w:vAlign w:val="center"/>
                </w:tcPr>
                <w:p>
                  <w:pPr>
                    <w:widowControl/>
                    <w:jc w:val="center"/>
                    <w:rPr>
                      <w:rFonts w:hint="eastAsia"/>
                      <w:szCs w:val="21"/>
                      <w:highlight w:val="none"/>
                      <w:lang w:eastAsia="zh-CN"/>
                    </w:rPr>
                  </w:pPr>
                  <w:r>
                    <w:rPr>
                      <w:rFonts w:hint="eastAsia"/>
                      <w:szCs w:val="21"/>
                      <w:highlight w:val="none"/>
                      <w:lang w:eastAsia="zh-CN"/>
                    </w:rPr>
                    <w:t>废水</w:t>
                  </w:r>
                  <w:r>
                    <w:rPr>
                      <w:rFonts w:hint="eastAsia"/>
                      <w:szCs w:val="21"/>
                      <w:highlight w:val="none"/>
                    </w:rPr>
                    <w:t>排入院区污水处理厂</w:t>
                  </w:r>
                  <w:r>
                    <w:rPr>
                      <w:rFonts w:hint="eastAsia"/>
                      <w:szCs w:val="21"/>
                      <w:highlight w:val="none"/>
                      <w:lang w:eastAsia="zh-CN"/>
                    </w:rPr>
                    <w:t>，</w:t>
                  </w:r>
                  <w:r>
                    <w:rPr>
                      <w:rFonts w:hint="eastAsia"/>
                      <w:szCs w:val="21"/>
                      <w:highlight w:val="none"/>
                    </w:rPr>
                    <w:t>处理达标后排入市政污水管网</w:t>
                  </w:r>
                </w:p>
              </w:tc>
              <w:tc>
                <w:tcPr>
                  <w:tcW w:w="303" w:type="pct"/>
                  <w:tcBorders>
                    <w:top w:val="single" w:color="auto" w:sz="6" w:space="0"/>
                    <w:left w:val="single" w:color="auto" w:sz="6" w:space="0"/>
                    <w:bottom w:val="single" w:color="auto" w:sz="6" w:space="0"/>
                    <w:right w:val="single" w:color="auto" w:sz="4" w:space="0"/>
                  </w:tcBorders>
                  <w:noWrap w:val="0"/>
                  <w:vAlign w:val="center"/>
                </w:tcPr>
                <w:p>
                  <w:pPr>
                    <w:widowControl/>
                    <w:jc w:val="center"/>
                    <w:rPr>
                      <w:color w:val="000000"/>
                      <w:szCs w:val="21"/>
                      <w:highlight w:val="none"/>
                    </w:rPr>
                  </w:pPr>
                  <w:r>
                    <w:rPr>
                      <w:color w:val="000000"/>
                      <w:szCs w:val="21"/>
                      <w:highlight w:val="none"/>
                    </w:rPr>
                    <w:t>-</w:t>
                  </w:r>
                </w:p>
              </w:tc>
              <w:tc>
                <w:tcPr>
                  <w:tcW w:w="541" w:type="pct"/>
                  <w:vMerge w:val="continue"/>
                  <w:tcBorders>
                    <w:left w:val="single" w:color="auto" w:sz="4" w:space="0"/>
                    <w:bottom w:val="single" w:color="auto" w:sz="6" w:space="0"/>
                    <w:right w:val="single" w:color="auto" w:sz="4" w:space="0"/>
                  </w:tcBorders>
                  <w:noWrap w:val="0"/>
                  <w:vAlign w:val="center"/>
                </w:tcPr>
                <w:p>
                  <w:pPr>
                    <w:widowControl/>
                    <w:jc w:val="center"/>
                    <w:rPr>
                      <w:rFonts w:hint="eastAsia"/>
                      <w:szCs w:val="21"/>
                      <w:highlight w:val="none"/>
                    </w:rPr>
                  </w:pP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vMerge w:val="continue"/>
                  <w:tcBorders>
                    <w:left w:val="single" w:color="auto" w:sz="4" w:space="0"/>
                    <w:bottom w:val="single" w:color="auto" w:sz="6" w:space="0"/>
                    <w:right w:val="single" w:color="auto" w:sz="6" w:space="0"/>
                  </w:tcBorders>
                  <w:noWrap w:val="0"/>
                  <w:vAlign w:val="center"/>
                </w:tcPr>
                <w:p>
                  <w:pPr>
                    <w:widowControl/>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28" w:hRule="atLeast"/>
                <w:jc w:val="center"/>
              </w:trPr>
              <w:tc>
                <w:tcPr>
                  <w:tcW w:w="209"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color w:val="000000"/>
                      <w:szCs w:val="21"/>
                      <w:highlight w:val="none"/>
                    </w:rPr>
                  </w:pPr>
                  <w:r>
                    <w:rPr>
                      <w:rFonts w:hint="eastAsia"/>
                      <w:color w:val="000000"/>
                      <w:szCs w:val="21"/>
                      <w:highlight w:val="none"/>
                    </w:rPr>
                    <w:t>噪声</w:t>
                  </w:r>
                </w:p>
              </w:tc>
              <w:tc>
                <w:tcPr>
                  <w:tcW w:w="390"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rFonts w:hint="eastAsia"/>
                      <w:szCs w:val="21"/>
                      <w:highlight w:val="none"/>
                    </w:rPr>
                  </w:pPr>
                  <w:r>
                    <w:rPr>
                      <w:rFonts w:hint="eastAsia"/>
                      <w:szCs w:val="21"/>
                      <w:highlight w:val="none"/>
                    </w:rPr>
                    <w:t>空调</w:t>
                  </w:r>
                </w:p>
                <w:p>
                  <w:pPr>
                    <w:spacing w:line="360" w:lineRule="exact"/>
                    <w:jc w:val="center"/>
                    <w:rPr>
                      <w:szCs w:val="21"/>
                      <w:highlight w:val="none"/>
                    </w:rPr>
                  </w:pPr>
                  <w:r>
                    <w:rPr>
                      <w:rFonts w:hint="eastAsia"/>
                      <w:szCs w:val="21"/>
                      <w:highlight w:val="none"/>
                    </w:rPr>
                    <w:t>风机</w:t>
                  </w:r>
                </w:p>
              </w:tc>
              <w:tc>
                <w:tcPr>
                  <w:tcW w:w="581"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szCs w:val="21"/>
                      <w:highlight w:val="none"/>
                    </w:rPr>
                  </w:pPr>
                  <w:r>
                    <w:rPr>
                      <w:szCs w:val="21"/>
                      <w:highlight w:val="none"/>
                    </w:rPr>
                    <w:t>A</w:t>
                  </w:r>
                  <w:r>
                    <w:rPr>
                      <w:rFonts w:hint="eastAsia"/>
                      <w:szCs w:val="21"/>
                      <w:highlight w:val="none"/>
                    </w:rPr>
                    <w:t>声级</w:t>
                  </w:r>
                </w:p>
              </w:tc>
              <w:tc>
                <w:tcPr>
                  <w:tcW w:w="819"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rFonts w:hint="eastAsia"/>
                      <w:szCs w:val="21"/>
                      <w:highlight w:val="none"/>
                    </w:rPr>
                  </w:pPr>
                  <w:r>
                    <w:rPr>
                      <w:szCs w:val="21"/>
                      <w:highlight w:val="none"/>
                    </w:rPr>
                    <w:t>采用</w:t>
                  </w:r>
                  <w:r>
                    <w:rPr>
                      <w:rFonts w:hint="eastAsia"/>
                      <w:szCs w:val="21"/>
                      <w:highlight w:val="none"/>
                    </w:rPr>
                    <w:t>低</w:t>
                  </w:r>
                  <w:r>
                    <w:rPr>
                      <w:szCs w:val="21"/>
                      <w:highlight w:val="none"/>
                    </w:rPr>
                    <w:t>噪声设备+</w:t>
                  </w:r>
                  <w:r>
                    <w:rPr>
                      <w:rFonts w:hint="eastAsia"/>
                      <w:szCs w:val="21"/>
                      <w:highlight w:val="none"/>
                    </w:rPr>
                    <w:t>隔声罩</w:t>
                  </w:r>
                </w:p>
              </w:tc>
              <w:tc>
                <w:tcPr>
                  <w:tcW w:w="303"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541"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kern w:val="24"/>
                      <w:sz w:val="21"/>
                      <w:szCs w:val="21"/>
                      <w:highlight w:val="none"/>
                      <w:lang w:val="en-US" w:eastAsia="zh-CN" w:bidi="ar-SA"/>
                    </w:rPr>
                  </w:pPr>
                  <w:r>
                    <w:rPr>
                      <w:rFonts w:hint="eastAsia"/>
                      <w:spacing w:val="-6"/>
                      <w:szCs w:val="21"/>
                      <w:highlight w:val="none"/>
                    </w:rPr>
                    <w:t>东、北</w:t>
                  </w:r>
                  <w:r>
                    <w:rPr>
                      <w:rFonts w:hint="eastAsia"/>
                      <w:spacing w:val="-6"/>
                      <w:szCs w:val="21"/>
                      <w:highlight w:val="none"/>
                      <w:lang w:eastAsia="zh-CN"/>
                    </w:rPr>
                    <w:t>、南</w:t>
                  </w:r>
                  <w:r>
                    <w:rPr>
                      <w:rFonts w:hint="eastAsia"/>
                      <w:spacing w:val="-6"/>
                      <w:szCs w:val="21"/>
                      <w:highlight w:val="none"/>
                    </w:rPr>
                    <w:t>厂界达到《工业企业环境噪声排放标准》</w:t>
                  </w:r>
                  <w:r>
                    <w:rPr>
                      <w:spacing w:val="-6"/>
                      <w:szCs w:val="21"/>
                      <w:highlight w:val="none"/>
                    </w:rPr>
                    <w:t>(GB12348</w:t>
                  </w:r>
                  <w:r>
                    <w:rPr>
                      <w:rFonts w:hint="eastAsia"/>
                      <w:spacing w:val="-6"/>
                      <w:szCs w:val="21"/>
                      <w:highlight w:val="none"/>
                    </w:rPr>
                    <w:t>－</w:t>
                  </w:r>
                  <w:r>
                    <w:rPr>
                      <w:spacing w:val="-6"/>
                      <w:szCs w:val="21"/>
                      <w:highlight w:val="none"/>
                    </w:rPr>
                    <w:t>2008 )</w:t>
                  </w:r>
                  <w:r>
                    <w:rPr>
                      <w:rFonts w:hint="eastAsia"/>
                      <w:spacing w:val="-6"/>
                      <w:szCs w:val="21"/>
                      <w:highlight w:val="none"/>
                      <w:lang w:val="en-US" w:eastAsia="zh-CN"/>
                    </w:rPr>
                    <w:t>1</w:t>
                  </w:r>
                  <w:r>
                    <w:rPr>
                      <w:rFonts w:hint="eastAsia"/>
                      <w:spacing w:val="-6"/>
                      <w:szCs w:val="21"/>
                      <w:highlight w:val="none"/>
                    </w:rPr>
                    <w:t>类标准限值；西厂界达到《工业企业环境噪声排放标准》</w:t>
                  </w:r>
                  <w:r>
                    <w:rPr>
                      <w:spacing w:val="-6"/>
                      <w:szCs w:val="21"/>
                      <w:highlight w:val="none"/>
                    </w:rPr>
                    <w:t>(GB12348</w:t>
                  </w:r>
                  <w:r>
                    <w:rPr>
                      <w:rFonts w:hint="eastAsia"/>
                      <w:spacing w:val="-6"/>
                      <w:szCs w:val="21"/>
                      <w:highlight w:val="none"/>
                    </w:rPr>
                    <w:t>－</w:t>
                  </w:r>
                  <w:r>
                    <w:rPr>
                      <w:spacing w:val="-6"/>
                      <w:szCs w:val="21"/>
                      <w:highlight w:val="none"/>
                    </w:rPr>
                    <w:t>2008 )</w:t>
                  </w:r>
                  <w:r>
                    <w:rPr>
                      <w:rFonts w:hint="eastAsia"/>
                      <w:spacing w:val="-6"/>
                      <w:szCs w:val="21"/>
                      <w:highlight w:val="none"/>
                    </w:rPr>
                    <w:t>4类标准限值</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335" w:hRule="atLeast"/>
                <w:jc w:val="center"/>
              </w:trPr>
              <w:tc>
                <w:tcPr>
                  <w:tcW w:w="209" w:type="pct"/>
                  <w:vMerge w:val="restart"/>
                  <w:tcBorders>
                    <w:top w:val="single" w:color="auto" w:sz="6" w:space="0"/>
                    <w:left w:val="single" w:color="auto" w:sz="4" w:space="0"/>
                    <w:right w:val="single" w:color="auto" w:sz="6" w:space="0"/>
                  </w:tcBorders>
                  <w:noWrap w:val="0"/>
                  <w:vAlign w:val="center"/>
                </w:tcPr>
                <w:p>
                  <w:pPr>
                    <w:spacing w:line="360" w:lineRule="exact"/>
                    <w:jc w:val="center"/>
                    <w:rPr>
                      <w:color w:val="000000"/>
                      <w:szCs w:val="21"/>
                      <w:highlight w:val="none"/>
                    </w:rPr>
                  </w:pPr>
                  <w:r>
                    <w:rPr>
                      <w:rFonts w:hint="eastAsia"/>
                      <w:color w:val="000000"/>
                      <w:szCs w:val="21"/>
                      <w:highlight w:val="none"/>
                    </w:rPr>
                    <w:t>固废</w:t>
                  </w:r>
                </w:p>
              </w:tc>
              <w:tc>
                <w:tcPr>
                  <w:tcW w:w="390"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rFonts w:hint="eastAsia"/>
                      <w:szCs w:val="21"/>
                      <w:highlight w:val="none"/>
                    </w:rPr>
                  </w:pPr>
                  <w:r>
                    <w:rPr>
                      <w:rFonts w:hint="eastAsia"/>
                      <w:szCs w:val="21"/>
                      <w:highlight w:val="none"/>
                    </w:rPr>
                    <w:t>一般</w:t>
                  </w:r>
                </w:p>
                <w:p>
                  <w:pPr>
                    <w:spacing w:line="360" w:lineRule="exact"/>
                    <w:jc w:val="center"/>
                    <w:rPr>
                      <w:szCs w:val="21"/>
                      <w:highlight w:val="none"/>
                    </w:rPr>
                  </w:pPr>
                  <w:r>
                    <w:rPr>
                      <w:rFonts w:hint="eastAsia"/>
                      <w:szCs w:val="21"/>
                      <w:highlight w:val="none"/>
                    </w:rPr>
                    <w:t>固废</w:t>
                  </w:r>
                </w:p>
              </w:tc>
              <w:tc>
                <w:tcPr>
                  <w:tcW w:w="581" w:type="pct"/>
                  <w:tcBorders>
                    <w:top w:val="single" w:color="auto" w:sz="6" w:space="0"/>
                    <w:left w:val="single" w:color="auto" w:sz="6" w:space="0"/>
                    <w:right w:val="single" w:color="auto" w:sz="4" w:space="0"/>
                  </w:tcBorders>
                  <w:noWrap w:val="0"/>
                  <w:vAlign w:val="center"/>
                </w:tcPr>
                <w:p>
                  <w:pPr>
                    <w:spacing w:line="360" w:lineRule="exact"/>
                    <w:jc w:val="center"/>
                    <w:rPr>
                      <w:szCs w:val="21"/>
                      <w:highlight w:val="none"/>
                    </w:rPr>
                  </w:pPr>
                  <w:r>
                    <w:rPr>
                      <w:rFonts w:hint="eastAsia"/>
                      <w:szCs w:val="21"/>
                      <w:highlight w:val="none"/>
                    </w:rPr>
                    <w:t>生活垃圾</w:t>
                  </w:r>
                </w:p>
              </w:tc>
              <w:tc>
                <w:tcPr>
                  <w:tcW w:w="819"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szCs w:val="21"/>
                      <w:highlight w:val="none"/>
                    </w:rPr>
                  </w:pPr>
                  <w:r>
                    <w:rPr>
                      <w:rFonts w:hint="eastAsia"/>
                      <w:szCs w:val="21"/>
                      <w:highlight w:val="none"/>
                    </w:rPr>
                    <w:t>收集后交环卫部门处理</w:t>
                  </w:r>
                </w:p>
              </w:tc>
              <w:tc>
                <w:tcPr>
                  <w:tcW w:w="303"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color w:val="000000"/>
                      <w:szCs w:val="21"/>
                      <w:highlight w:val="none"/>
                    </w:rPr>
                  </w:pPr>
                  <w:r>
                    <w:rPr>
                      <w:rFonts w:hint="eastAsia"/>
                      <w:color w:val="000000"/>
                      <w:szCs w:val="21"/>
                      <w:highlight w:val="none"/>
                    </w:rPr>
                    <w:t>-</w:t>
                  </w:r>
                </w:p>
              </w:tc>
              <w:tc>
                <w:tcPr>
                  <w:tcW w:w="541" w:type="pct"/>
                  <w:tcBorders>
                    <w:top w:val="single" w:color="auto" w:sz="6" w:space="0"/>
                    <w:left w:val="single" w:color="auto" w:sz="4" w:space="0"/>
                    <w:right w:val="single" w:color="auto" w:sz="4" w:space="0"/>
                  </w:tcBorders>
                  <w:noWrap w:val="0"/>
                  <w:vAlign w:val="center"/>
                </w:tcPr>
                <w:p>
                  <w:pPr>
                    <w:spacing w:line="360" w:lineRule="exact"/>
                    <w:jc w:val="center"/>
                    <w:rPr>
                      <w:szCs w:val="21"/>
                      <w:highlight w:val="none"/>
                    </w:rPr>
                  </w:pPr>
                  <w:r>
                    <w:rPr>
                      <w:rFonts w:hint="eastAsia"/>
                      <w:szCs w:val="21"/>
                      <w:highlight w:val="none"/>
                    </w:rPr>
                    <w:t>22.44t/a</w:t>
                  </w: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color w:val="000000"/>
                      <w:szCs w:val="21"/>
                      <w:highlight w:val="none"/>
                    </w:rPr>
                  </w:pPr>
                  <w:r>
                    <w:rPr>
                      <w:color w:val="000000"/>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664" w:hRule="atLeast"/>
                <w:jc w:val="center"/>
              </w:trPr>
              <w:tc>
                <w:tcPr>
                  <w:tcW w:w="209" w:type="pct"/>
                  <w:vMerge w:val="continue"/>
                  <w:tcBorders>
                    <w:left w:val="single" w:color="auto" w:sz="4" w:space="0"/>
                    <w:right w:val="single" w:color="auto" w:sz="6" w:space="0"/>
                  </w:tcBorders>
                  <w:noWrap w:val="0"/>
                  <w:vAlign w:val="center"/>
                </w:tcPr>
                <w:p>
                  <w:pPr>
                    <w:widowControl/>
                    <w:jc w:val="center"/>
                    <w:rPr>
                      <w:color w:val="000000"/>
                      <w:szCs w:val="21"/>
                      <w:highlight w:val="none"/>
                    </w:rPr>
                  </w:pPr>
                </w:p>
              </w:tc>
              <w:tc>
                <w:tcPr>
                  <w:tcW w:w="390" w:type="pct"/>
                  <w:vMerge w:val="restart"/>
                  <w:tcBorders>
                    <w:top w:val="single" w:color="auto" w:sz="6" w:space="0"/>
                    <w:left w:val="single" w:color="auto" w:sz="6" w:space="0"/>
                    <w:right w:val="single" w:color="auto" w:sz="4" w:space="0"/>
                  </w:tcBorders>
                  <w:noWrap w:val="0"/>
                  <w:vAlign w:val="center"/>
                </w:tcPr>
                <w:p>
                  <w:pPr>
                    <w:spacing w:line="360" w:lineRule="exact"/>
                    <w:jc w:val="center"/>
                    <w:rPr>
                      <w:rFonts w:hint="eastAsia"/>
                      <w:szCs w:val="21"/>
                      <w:highlight w:val="none"/>
                    </w:rPr>
                  </w:pPr>
                  <w:r>
                    <w:rPr>
                      <w:rFonts w:hint="eastAsia"/>
                      <w:szCs w:val="21"/>
                      <w:highlight w:val="none"/>
                    </w:rPr>
                    <w:t>危险</w:t>
                  </w:r>
                </w:p>
                <w:p>
                  <w:pPr>
                    <w:spacing w:line="360" w:lineRule="exact"/>
                    <w:jc w:val="center"/>
                    <w:rPr>
                      <w:szCs w:val="21"/>
                      <w:highlight w:val="none"/>
                    </w:rPr>
                  </w:pPr>
                  <w:r>
                    <w:rPr>
                      <w:rFonts w:hint="eastAsia"/>
                      <w:szCs w:val="21"/>
                      <w:highlight w:val="none"/>
                    </w:rPr>
                    <w:t>废物</w:t>
                  </w:r>
                </w:p>
              </w:tc>
              <w:tc>
                <w:tcPr>
                  <w:tcW w:w="581"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szCs w:val="21"/>
                      <w:highlight w:val="none"/>
                    </w:rPr>
                  </w:pPr>
                  <w:r>
                    <w:rPr>
                      <w:rFonts w:hint="eastAsia"/>
                      <w:szCs w:val="21"/>
                      <w:highlight w:val="none"/>
                    </w:rPr>
                    <w:t>医疗废物</w:t>
                  </w:r>
                </w:p>
              </w:tc>
              <w:tc>
                <w:tcPr>
                  <w:tcW w:w="819"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szCs w:val="21"/>
                      <w:highlight w:val="none"/>
                    </w:rPr>
                  </w:pPr>
                  <w:r>
                    <w:rPr>
                      <w:rFonts w:hint="eastAsia"/>
                      <w:bCs/>
                      <w:szCs w:val="21"/>
                      <w:highlight w:val="none"/>
                    </w:rPr>
                    <w:t>暂存于</w:t>
                  </w:r>
                  <w:r>
                    <w:rPr>
                      <w:rFonts w:hint="eastAsia"/>
                      <w:szCs w:val="21"/>
                      <w:highlight w:val="none"/>
                    </w:rPr>
                    <w:t>医疗废物暂存</w:t>
                  </w:r>
                  <w:r>
                    <w:rPr>
                      <w:rFonts w:hint="eastAsia"/>
                      <w:bCs/>
                      <w:szCs w:val="21"/>
                      <w:highlight w:val="none"/>
                    </w:rPr>
                    <w:t>间，交有资质单位处置</w:t>
                  </w:r>
                </w:p>
              </w:tc>
              <w:tc>
                <w:tcPr>
                  <w:tcW w:w="303" w:type="pct"/>
                  <w:tcBorders>
                    <w:top w:val="single" w:color="auto" w:sz="6" w:space="0"/>
                    <w:left w:val="single" w:color="auto" w:sz="6" w:space="0"/>
                    <w:bottom w:val="single" w:color="auto" w:sz="6" w:space="0"/>
                    <w:right w:val="single" w:color="auto" w:sz="4" w:space="0"/>
                  </w:tcBorders>
                  <w:noWrap w:val="0"/>
                  <w:vAlign w:val="center"/>
                </w:tcPr>
                <w:p>
                  <w:pPr>
                    <w:spacing w:line="360" w:lineRule="exact"/>
                    <w:jc w:val="center"/>
                    <w:rPr>
                      <w:rFonts w:hint="eastAsia" w:eastAsia="宋体"/>
                      <w:color w:val="000000"/>
                      <w:szCs w:val="21"/>
                      <w:highlight w:val="none"/>
                      <w:lang w:eastAsia="zh-CN"/>
                    </w:rPr>
                  </w:pPr>
                  <w:r>
                    <w:rPr>
                      <w:rFonts w:hint="eastAsia"/>
                      <w:color w:val="000000"/>
                      <w:szCs w:val="21"/>
                      <w:highlight w:val="none"/>
                      <w:lang w:val="en-US" w:eastAsia="zh-CN"/>
                    </w:rPr>
                    <w:t>-</w:t>
                  </w:r>
                </w:p>
              </w:tc>
              <w:tc>
                <w:tcPr>
                  <w:tcW w:w="541"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szCs w:val="21"/>
                      <w:highlight w:val="none"/>
                    </w:rPr>
                  </w:pPr>
                  <w:r>
                    <w:rPr>
                      <w:rFonts w:hint="eastAsia"/>
                      <w:szCs w:val="21"/>
                      <w:highlight w:val="none"/>
                    </w:rPr>
                    <w:t>25.08</w:t>
                  </w:r>
                  <w:r>
                    <w:rPr>
                      <w:szCs w:val="21"/>
                      <w:highlight w:val="none"/>
                    </w:rPr>
                    <w:t>t/a</w:t>
                  </w: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vMerge w:val="restart"/>
                  <w:tcBorders>
                    <w:top w:val="single" w:color="auto" w:sz="6" w:space="0"/>
                    <w:left w:val="single" w:color="auto" w:sz="4" w:space="0"/>
                    <w:right w:val="single" w:color="auto" w:sz="6" w:space="0"/>
                  </w:tcBorders>
                  <w:noWrap w:val="0"/>
                  <w:vAlign w:val="center"/>
                </w:tcPr>
                <w:p>
                  <w:pPr>
                    <w:spacing w:line="360" w:lineRule="exact"/>
                    <w:jc w:val="center"/>
                    <w:rPr>
                      <w:szCs w:val="21"/>
                      <w:highlight w:val="none"/>
                    </w:rPr>
                  </w:pPr>
                  <w:r>
                    <w:rPr>
                      <w:rFonts w:hint="eastAsia"/>
                      <w:szCs w:val="21"/>
                      <w:highlight w:val="none"/>
                    </w:rPr>
                    <w:t>《危险废物贮存污染控制标准》（</w:t>
                  </w:r>
                  <w:r>
                    <w:rPr>
                      <w:szCs w:val="21"/>
                      <w:highlight w:val="none"/>
                    </w:rPr>
                    <w:t>GB18597-2001</w:t>
                  </w:r>
                  <w:r>
                    <w:rPr>
                      <w:rFonts w:hint="eastAsia"/>
                      <w:szCs w:val="21"/>
                      <w:highlight w:val="none"/>
                    </w:rPr>
                    <w:t>）及其修改单</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670" w:hRule="atLeast"/>
                <w:jc w:val="center"/>
              </w:trPr>
              <w:tc>
                <w:tcPr>
                  <w:tcW w:w="209" w:type="pct"/>
                  <w:vMerge w:val="continue"/>
                  <w:tcBorders>
                    <w:left w:val="single" w:color="auto" w:sz="4" w:space="0"/>
                    <w:bottom w:val="single" w:color="auto" w:sz="4" w:space="0"/>
                    <w:right w:val="single" w:color="auto" w:sz="6" w:space="0"/>
                  </w:tcBorders>
                  <w:noWrap w:val="0"/>
                  <w:vAlign w:val="center"/>
                </w:tcPr>
                <w:p>
                  <w:pPr>
                    <w:widowControl/>
                    <w:jc w:val="center"/>
                    <w:rPr>
                      <w:color w:val="000000"/>
                      <w:szCs w:val="21"/>
                      <w:highlight w:val="none"/>
                    </w:rPr>
                  </w:pPr>
                </w:p>
              </w:tc>
              <w:tc>
                <w:tcPr>
                  <w:tcW w:w="390" w:type="pct"/>
                  <w:vMerge w:val="continue"/>
                  <w:tcBorders>
                    <w:left w:val="single" w:color="auto" w:sz="6" w:space="0"/>
                    <w:bottom w:val="single" w:color="auto" w:sz="6" w:space="0"/>
                    <w:right w:val="single" w:color="auto" w:sz="4" w:space="0"/>
                  </w:tcBorders>
                  <w:noWrap w:val="0"/>
                  <w:vAlign w:val="center"/>
                </w:tcPr>
                <w:p>
                  <w:pPr>
                    <w:spacing w:line="360" w:lineRule="exact"/>
                    <w:jc w:val="center"/>
                    <w:rPr>
                      <w:rFonts w:hint="eastAsia"/>
                      <w:szCs w:val="21"/>
                      <w:highlight w:val="none"/>
                    </w:rPr>
                  </w:pPr>
                </w:p>
              </w:tc>
              <w:tc>
                <w:tcPr>
                  <w:tcW w:w="581" w:type="pct"/>
                  <w:tcBorders>
                    <w:top w:val="single" w:color="auto" w:sz="6" w:space="0"/>
                    <w:left w:val="single" w:color="auto" w:sz="6" w:space="0"/>
                    <w:right w:val="single" w:color="auto" w:sz="4" w:space="0"/>
                  </w:tcBorders>
                  <w:noWrap w:val="0"/>
                  <w:vAlign w:val="center"/>
                </w:tcPr>
                <w:p>
                  <w:pPr>
                    <w:spacing w:line="360" w:lineRule="exact"/>
                    <w:jc w:val="center"/>
                    <w:rPr>
                      <w:rFonts w:hint="eastAsia" w:eastAsia="宋体"/>
                      <w:szCs w:val="21"/>
                      <w:highlight w:val="none"/>
                      <w:lang w:eastAsia="zh-CN"/>
                    </w:rPr>
                  </w:pPr>
                  <w:r>
                    <w:rPr>
                      <w:rFonts w:hint="eastAsia"/>
                      <w:szCs w:val="21"/>
                      <w:highlight w:val="none"/>
                      <w:lang w:eastAsia="zh-CN"/>
                    </w:rPr>
                    <w:t>化粪池污泥</w:t>
                  </w:r>
                </w:p>
              </w:tc>
              <w:tc>
                <w:tcPr>
                  <w:tcW w:w="819" w:type="pct"/>
                  <w:tcBorders>
                    <w:top w:val="single" w:color="auto" w:sz="6" w:space="0"/>
                    <w:left w:val="single" w:color="auto" w:sz="4" w:space="0"/>
                    <w:bottom w:val="single" w:color="auto" w:sz="6" w:space="0"/>
                    <w:right w:val="single" w:color="auto" w:sz="6" w:space="0"/>
                  </w:tcBorders>
                  <w:noWrap w:val="0"/>
                  <w:vAlign w:val="center"/>
                </w:tcPr>
                <w:p>
                  <w:pPr>
                    <w:spacing w:line="360" w:lineRule="exact"/>
                    <w:jc w:val="center"/>
                    <w:rPr>
                      <w:rFonts w:hint="eastAsia"/>
                      <w:bCs/>
                      <w:szCs w:val="21"/>
                      <w:highlight w:val="none"/>
                    </w:rPr>
                  </w:pPr>
                  <w:r>
                    <w:rPr>
                      <w:rFonts w:hint="eastAsia"/>
                      <w:bCs/>
                      <w:szCs w:val="21"/>
                      <w:highlight w:val="none"/>
                    </w:rPr>
                    <w:t>定期清理、消毒处理后，</w:t>
                  </w:r>
                  <w:r>
                    <w:rPr>
                      <w:bCs/>
                      <w:szCs w:val="21"/>
                      <w:highlight w:val="none"/>
                    </w:rPr>
                    <w:t>交由</w:t>
                  </w:r>
                  <w:r>
                    <w:rPr>
                      <w:rFonts w:hint="eastAsia"/>
                      <w:bCs/>
                      <w:szCs w:val="21"/>
                      <w:highlight w:val="none"/>
                    </w:rPr>
                    <w:t>资质单位</w:t>
                  </w:r>
                  <w:r>
                    <w:rPr>
                      <w:bCs/>
                      <w:szCs w:val="21"/>
                      <w:highlight w:val="none"/>
                    </w:rPr>
                    <w:t>处理</w:t>
                  </w:r>
                </w:p>
              </w:tc>
              <w:tc>
                <w:tcPr>
                  <w:tcW w:w="303" w:type="pct"/>
                  <w:tcBorders>
                    <w:top w:val="single" w:color="auto" w:sz="6" w:space="0"/>
                    <w:left w:val="single" w:color="auto" w:sz="6" w:space="0"/>
                    <w:bottom w:val="single" w:color="auto" w:sz="6" w:space="0"/>
                    <w:right w:val="single" w:color="auto" w:sz="4" w:space="0"/>
                  </w:tcBorders>
                  <w:noWrap w:val="0"/>
                  <w:vAlign w:val="center"/>
                </w:tcPr>
                <w:p>
                  <w:pPr>
                    <w:tabs>
                      <w:tab w:val="left" w:pos="228"/>
                    </w:tabs>
                    <w:spacing w:line="360" w:lineRule="exact"/>
                    <w:jc w:val="left"/>
                    <w:rPr>
                      <w:rFonts w:hint="eastAsia" w:eastAsia="宋体"/>
                      <w:color w:val="000000"/>
                      <w:szCs w:val="21"/>
                      <w:highlight w:val="none"/>
                      <w:lang w:eastAsia="zh-CN"/>
                    </w:rPr>
                  </w:pPr>
                  <w:r>
                    <w:rPr>
                      <w:rFonts w:hint="eastAsia"/>
                      <w:color w:val="000000"/>
                      <w:szCs w:val="21"/>
                      <w:highlight w:val="none"/>
                      <w:lang w:eastAsia="zh-CN"/>
                    </w:rPr>
                    <w:tab/>
                  </w:r>
                  <w:r>
                    <w:rPr>
                      <w:color w:val="000000"/>
                      <w:szCs w:val="21"/>
                      <w:highlight w:val="none"/>
                    </w:rPr>
                    <w:t>-</w:t>
                  </w:r>
                </w:p>
              </w:tc>
              <w:tc>
                <w:tcPr>
                  <w:tcW w:w="541"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rFonts w:hint="default" w:eastAsia="宋体"/>
                      <w:szCs w:val="21"/>
                      <w:highlight w:val="none"/>
                      <w:lang w:val="en-US" w:eastAsia="zh-CN"/>
                    </w:rPr>
                  </w:pPr>
                  <w:r>
                    <w:rPr>
                      <w:rFonts w:hint="eastAsia"/>
                      <w:szCs w:val="21"/>
                      <w:highlight w:val="none"/>
                      <w:lang w:val="en-US" w:eastAsia="zh-CN"/>
                    </w:rPr>
                    <w:t>12.87</w:t>
                  </w:r>
                  <w:r>
                    <w:rPr>
                      <w:szCs w:val="21"/>
                      <w:highlight w:val="none"/>
                    </w:rPr>
                    <w:t>t/a</w:t>
                  </w:r>
                </w:p>
              </w:tc>
              <w:tc>
                <w:tcPr>
                  <w:tcW w:w="163"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232" w:type="pct"/>
                  <w:tcBorders>
                    <w:top w:val="single" w:color="auto" w:sz="6" w:space="0"/>
                    <w:left w:val="single" w:color="auto" w:sz="4" w:space="0"/>
                    <w:bottom w:val="single" w:color="auto" w:sz="6" w:space="0"/>
                    <w:right w:val="single" w:color="auto" w:sz="4" w:space="0"/>
                  </w:tcBorders>
                  <w:noWrap w:val="0"/>
                  <w:vAlign w:val="center"/>
                </w:tcPr>
                <w:p>
                  <w:pPr>
                    <w:spacing w:line="360" w:lineRule="exact"/>
                    <w:jc w:val="center"/>
                    <w:rPr>
                      <w:color w:val="000000"/>
                      <w:szCs w:val="21"/>
                      <w:highlight w:val="none"/>
                    </w:rPr>
                  </w:pPr>
                  <w:r>
                    <w:rPr>
                      <w:color w:val="000000"/>
                      <w:szCs w:val="21"/>
                      <w:highlight w:val="none"/>
                    </w:rPr>
                    <w:t>-</w:t>
                  </w:r>
                </w:p>
              </w:tc>
              <w:tc>
                <w:tcPr>
                  <w:tcW w:w="1758" w:type="pct"/>
                  <w:vMerge w:val="continue"/>
                  <w:tcBorders>
                    <w:left w:val="single" w:color="auto" w:sz="4" w:space="0"/>
                    <w:bottom w:val="single" w:color="auto" w:sz="6" w:space="0"/>
                    <w:right w:val="single" w:color="auto" w:sz="6" w:space="0"/>
                  </w:tcBorders>
                  <w:noWrap w:val="0"/>
                  <w:vAlign w:val="center"/>
                </w:tcPr>
                <w:p>
                  <w:pPr>
                    <w:spacing w:line="360" w:lineRule="exact"/>
                    <w:jc w:val="center"/>
                    <w:rPr>
                      <w:rFonts w:hint="eastAsia"/>
                      <w:szCs w:val="21"/>
                      <w:highlight w:val="none"/>
                    </w:rPr>
                  </w:pPr>
                </w:p>
              </w:tc>
            </w:tr>
          </w:tbl>
          <w:p>
            <w:pPr>
              <w:spacing w:line="480" w:lineRule="exact"/>
              <w:jc w:val="center"/>
              <w:rPr>
                <w:rFonts w:hint="default" w:ascii="Times New Roman" w:hAnsi="Times New Roman" w:cs="Times New Roman"/>
                <w:b/>
                <w:color w:val="000000"/>
                <w:sz w:val="24"/>
              </w:rPr>
            </w:pPr>
          </w:p>
          <w:p>
            <w:pPr>
              <w:spacing w:line="480" w:lineRule="exact"/>
              <w:jc w:val="center"/>
              <w:rPr>
                <w:rFonts w:hint="default" w:ascii="Times New Roman" w:hAnsi="Times New Roman" w:cs="Times New Roman"/>
                <w:b/>
                <w:color w:val="000000"/>
                <w:sz w:val="24"/>
              </w:rPr>
            </w:pPr>
          </w:p>
          <w:p>
            <w:pPr>
              <w:pStyle w:val="2"/>
              <w:rPr>
                <w:rFonts w:hint="default"/>
              </w:rPr>
            </w:pPr>
          </w:p>
          <w:p>
            <w:pPr>
              <w:spacing w:line="480" w:lineRule="exact"/>
              <w:jc w:val="center"/>
              <w:rPr>
                <w:rFonts w:hint="default" w:ascii="Times New Roman" w:hAnsi="Times New Roman" w:cs="Times New Roman"/>
                <w:b/>
                <w:color w:val="000000"/>
                <w:sz w:val="24"/>
              </w:rPr>
            </w:pPr>
          </w:p>
          <w:p>
            <w:pPr>
              <w:spacing w:line="480" w:lineRule="exact"/>
              <w:jc w:val="both"/>
              <w:rPr>
                <w:rFonts w:hint="default" w:ascii="Times New Roman" w:hAnsi="Times New Roman" w:cs="Times New Roman"/>
                <w:b/>
                <w:color w:val="000000"/>
                <w:sz w:val="24"/>
              </w:rPr>
            </w:pPr>
          </w:p>
          <w:p>
            <w:pPr>
              <w:spacing w:line="480" w:lineRule="exact"/>
              <w:jc w:val="center"/>
              <w:rPr>
                <w:rFonts w:hint="default" w:ascii="Times New Roman" w:hAnsi="Times New Roman" w:cs="Times New Roman"/>
                <w:b/>
                <w:color w:val="000000"/>
                <w:sz w:val="24"/>
              </w:rPr>
            </w:pPr>
            <w:r>
              <w:rPr>
                <w:rFonts w:hint="default" w:ascii="Times New Roman" w:hAnsi="Times New Roman" w:cs="Times New Roman"/>
                <w:b/>
                <w:color w:val="000000"/>
                <w:sz w:val="24"/>
              </w:rPr>
              <w:t>表</w:t>
            </w:r>
            <w:r>
              <w:rPr>
                <w:rFonts w:hint="eastAsia" w:ascii="Times New Roman" w:hAnsi="Times New Roman" w:cs="Times New Roman"/>
                <w:b/>
                <w:color w:val="000000"/>
                <w:sz w:val="24"/>
                <w:lang w:val="en-US" w:eastAsia="zh-CN"/>
              </w:rPr>
              <w:t>37</w:t>
            </w:r>
            <w:r>
              <w:rPr>
                <w:rFonts w:hint="default" w:ascii="Times New Roman" w:hAnsi="Times New Roman" w:cs="Times New Roman"/>
                <w:b/>
                <w:color w:val="000000"/>
                <w:sz w:val="24"/>
              </w:rPr>
              <w:t xml:space="preserve">    项目污染物环境管理要求一览表</w:t>
            </w:r>
          </w:p>
          <w:tbl>
            <w:tblPr>
              <w:tblStyle w:val="36"/>
              <w:tblW w:w="89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60"/>
              <w:gridCol w:w="566"/>
              <w:gridCol w:w="1113"/>
              <w:gridCol w:w="2200"/>
              <w:gridCol w:w="2565"/>
              <w:gridCol w:w="2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4" w:hRule="atLeast"/>
                <w:jc w:val="center"/>
              </w:trPr>
              <w:tc>
                <w:tcPr>
                  <w:tcW w:w="2039" w:type="dxa"/>
                  <w:gridSpan w:val="3"/>
                  <w:tcBorders>
                    <w:top w:val="single" w:color="auto" w:sz="4" w:space="0"/>
                    <w:left w:val="single" w:color="auto" w:sz="4" w:space="0"/>
                    <w:bottom w:val="single" w:color="auto" w:sz="4" w:space="0"/>
                    <w:right w:val="single" w:color="auto" w:sz="4" w:space="0"/>
                  </w:tcBorders>
                  <w:shd w:val="clear" w:color="auto" w:fill="FFFFFF"/>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szCs w:val="21"/>
                      <w:shd w:val="pct10" w:color="auto" w:fill="FFFFFF"/>
                    </w:rPr>
                  </w:pPr>
                  <w:r>
                    <w:rPr>
                      <w:rFonts w:hint="default" w:ascii="Times New Roman" w:hAnsi="Times New Roman" w:cs="Times New Roman"/>
                      <w:b/>
                      <w:bCs/>
                      <w:szCs w:val="21"/>
                    </w:rPr>
                    <w:t>类 别</w:t>
                  </w:r>
                </w:p>
              </w:tc>
              <w:tc>
                <w:tcPr>
                  <w:tcW w:w="220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spacing w:val="-20"/>
                      <w:szCs w:val="21"/>
                      <w:shd w:val="pct10" w:color="auto" w:fill="FFFFFF"/>
                    </w:rPr>
                  </w:pPr>
                  <w:r>
                    <w:rPr>
                      <w:rFonts w:hint="default" w:ascii="Times New Roman" w:hAnsi="Times New Roman" w:cs="Times New Roman"/>
                      <w:b/>
                      <w:bCs/>
                      <w:spacing w:val="-20"/>
                      <w:szCs w:val="21"/>
                    </w:rPr>
                    <w:t>规 格</w:t>
                  </w:r>
                </w:p>
              </w:tc>
              <w:tc>
                <w:tcPr>
                  <w:tcW w:w="25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szCs w:val="21"/>
                      <w:shd w:val="pct10" w:color="auto" w:fill="FFFFFF"/>
                    </w:rPr>
                  </w:pPr>
                  <w:r>
                    <w:rPr>
                      <w:rFonts w:hint="default" w:ascii="Times New Roman" w:hAnsi="Times New Roman" w:cs="Times New Roman"/>
                      <w:b/>
                      <w:bCs/>
                      <w:szCs w:val="21"/>
                    </w:rPr>
                    <w:t>标准</w:t>
                  </w:r>
                </w:p>
              </w:tc>
              <w:tc>
                <w:tcPr>
                  <w:tcW w:w="213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b/>
                      <w:bCs/>
                      <w:szCs w:val="21"/>
                      <w:shd w:val="pct10" w:color="auto" w:fill="FFFFFF"/>
                    </w:rPr>
                  </w:pPr>
                  <w:r>
                    <w:rPr>
                      <w:rFonts w:hint="default" w:ascii="Times New Roman" w:hAnsi="Times New Roman" w:cs="Times New Roman"/>
                      <w:b/>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593" w:hRule="atLeast"/>
                <w:jc w:val="center"/>
              </w:trPr>
              <w:tc>
                <w:tcPr>
                  <w:tcW w:w="360" w:type="dxa"/>
                  <w:vMerge w:val="restart"/>
                  <w:tcBorders>
                    <w:top w:val="single" w:color="auto" w:sz="4" w:space="0"/>
                    <w:left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default" w:ascii="Times New Roman" w:hAnsi="Times New Roman" w:cs="Times New Roman"/>
                      <w:szCs w:val="21"/>
                    </w:rPr>
                  </w:pPr>
                  <w:r>
                    <w:rPr>
                      <w:rFonts w:hint="default" w:ascii="Times New Roman" w:hAnsi="Times New Roman" w:cs="Times New Roman"/>
                      <w:szCs w:val="21"/>
                    </w:rPr>
                    <w:t>废水</w:t>
                  </w:r>
                </w:p>
              </w:tc>
              <w:tc>
                <w:tcPr>
                  <w:tcW w:w="167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jc w:val="center"/>
                    <w:textAlignment w:val="auto"/>
                    <w:rPr>
                      <w:rFonts w:hint="eastAsia" w:cs="Times New Roman"/>
                      <w:szCs w:val="21"/>
                      <w:lang w:eastAsia="zh-CN"/>
                    </w:rPr>
                  </w:pPr>
                  <w:r>
                    <w:rPr>
                      <w:rFonts w:hint="eastAsia" w:cs="Times New Roman"/>
                      <w:szCs w:val="21"/>
                      <w:lang w:eastAsia="zh-CN"/>
                    </w:rPr>
                    <w:t>生活废水</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ind w:firstLine="10" w:firstLineChars="5"/>
                    <w:jc w:val="center"/>
                    <w:textAlignment w:val="auto"/>
                    <w:rPr>
                      <w:rFonts w:hint="eastAsia"/>
                      <w:szCs w:val="21"/>
                      <w:highlight w:val="none"/>
                    </w:rPr>
                  </w:pPr>
                  <w:r>
                    <w:rPr>
                      <w:rFonts w:hint="eastAsia"/>
                      <w:kern w:val="0"/>
                      <w:highlight w:val="none"/>
                      <w:lang w:eastAsia="zh-CN"/>
                    </w:rPr>
                    <w:t>化粪池处理后依托</w:t>
                  </w:r>
                  <w:r>
                    <w:rPr>
                      <w:rFonts w:hint="eastAsia"/>
                      <w:kern w:val="0"/>
                      <w:highlight w:val="none"/>
                    </w:rPr>
                    <w:t>迁安市人民医院污水处理站，处理后排入市政污水管网</w:t>
                  </w:r>
                </w:p>
              </w:tc>
              <w:tc>
                <w:tcPr>
                  <w:tcW w:w="2565" w:type="dxa"/>
                  <w:vMerge w:val="restart"/>
                  <w:tcBorders>
                    <w:top w:val="single" w:color="auto" w:sz="4" w:space="0"/>
                    <w:left w:val="single" w:color="auto" w:sz="4" w:space="0"/>
                    <w:right w:val="single" w:color="auto" w:sz="4" w:space="0"/>
                  </w:tcBorders>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szCs w:val="21"/>
                    </w:rPr>
                  </w:pPr>
                  <w:r>
                    <w:rPr>
                      <w:rFonts w:hint="eastAsia"/>
                      <w:szCs w:val="21"/>
                      <w:highlight w:val="none"/>
                    </w:rPr>
                    <w:t>《医疗机构水污染物排放标准》（</w:t>
                  </w:r>
                  <w:r>
                    <w:rPr>
                      <w:szCs w:val="21"/>
                      <w:highlight w:val="none"/>
                    </w:rPr>
                    <w:t>GB18466-2005</w:t>
                  </w:r>
                  <w:r>
                    <w:rPr>
                      <w:rFonts w:hint="eastAsia"/>
                      <w:szCs w:val="21"/>
                      <w:highlight w:val="none"/>
                    </w:rPr>
                    <w:t>）</w:t>
                  </w:r>
                  <w:r>
                    <w:rPr>
                      <w:rFonts w:hint="eastAsia"/>
                      <w:highlight w:val="none"/>
                      <w:lang w:eastAsia="zh-CN"/>
                    </w:rPr>
                    <w:t>和迁安市污水处理厂收水标准</w:t>
                  </w:r>
                </w:p>
              </w:tc>
              <w:tc>
                <w:tcPr>
                  <w:tcW w:w="2134"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eastAsia" w:ascii="Times New Roman" w:hAnsi="Times New Roman" w:eastAsia="宋体" w:cs="Times New Roman"/>
                      <w:szCs w:val="21"/>
                      <w:lang w:val="en-US" w:eastAsia="zh-CN"/>
                    </w:rPr>
                  </w:pPr>
                  <w:r>
                    <w:rPr>
                      <w:rFonts w:hint="eastAsia"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00" w:hRule="atLeast"/>
                <w:jc w:val="center"/>
              </w:trPr>
              <w:tc>
                <w:tcPr>
                  <w:tcW w:w="360" w:type="dxa"/>
                  <w:vMerge w:val="continue"/>
                  <w:tcBorders>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default" w:ascii="Times New Roman" w:hAnsi="Times New Roman" w:cs="Times New Roman"/>
                      <w:szCs w:val="21"/>
                    </w:rPr>
                  </w:pPr>
                </w:p>
              </w:tc>
              <w:tc>
                <w:tcPr>
                  <w:tcW w:w="167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jc w:val="center"/>
                    <w:textAlignment w:val="auto"/>
                    <w:rPr>
                      <w:rFonts w:hint="eastAsia" w:ascii="Times New Roman" w:hAnsi="Times New Roman" w:eastAsia="宋体" w:cs="Times New Roman"/>
                      <w:szCs w:val="21"/>
                      <w:lang w:eastAsia="zh-CN"/>
                    </w:rPr>
                  </w:pPr>
                  <w:r>
                    <w:rPr>
                      <w:rFonts w:hint="eastAsia" w:cs="Times New Roman"/>
                      <w:szCs w:val="21"/>
                      <w:lang w:eastAsia="zh-CN"/>
                    </w:rPr>
                    <w:t>医疗废水</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ind w:firstLine="10" w:firstLineChars="5"/>
                    <w:jc w:val="center"/>
                    <w:textAlignment w:val="auto"/>
                    <w:rPr>
                      <w:rFonts w:hint="default" w:ascii="Times New Roman" w:hAnsi="Times New Roman" w:cs="Times New Roman"/>
                      <w:szCs w:val="21"/>
                    </w:rPr>
                  </w:pPr>
                  <w:r>
                    <w:rPr>
                      <w:rFonts w:hint="eastAsia"/>
                      <w:szCs w:val="21"/>
                      <w:highlight w:val="none"/>
                    </w:rPr>
                    <w:t>排入</w:t>
                  </w:r>
                  <w:r>
                    <w:rPr>
                      <w:rFonts w:hint="eastAsia"/>
                      <w:szCs w:val="21"/>
                      <w:highlight w:val="none"/>
                      <w:lang w:eastAsia="zh-CN"/>
                    </w:rPr>
                    <w:t>人民医院</w:t>
                  </w:r>
                  <w:r>
                    <w:rPr>
                      <w:rFonts w:hint="eastAsia"/>
                      <w:szCs w:val="21"/>
                      <w:highlight w:val="none"/>
                    </w:rPr>
                    <w:t>污水处理厂</w:t>
                  </w:r>
                  <w:r>
                    <w:rPr>
                      <w:rFonts w:hint="eastAsia"/>
                      <w:szCs w:val="21"/>
                      <w:highlight w:val="none"/>
                      <w:lang w:eastAsia="zh-CN"/>
                    </w:rPr>
                    <w:t>，</w:t>
                  </w:r>
                  <w:r>
                    <w:rPr>
                      <w:rFonts w:hint="eastAsia"/>
                      <w:szCs w:val="21"/>
                      <w:highlight w:val="none"/>
                    </w:rPr>
                    <w:t>处理达标后排入市政污水管网</w:t>
                  </w:r>
                </w:p>
              </w:tc>
              <w:tc>
                <w:tcPr>
                  <w:tcW w:w="2565" w:type="dxa"/>
                  <w:vMerge w:val="continue"/>
                  <w:tcBorders>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pacing w:line="340" w:lineRule="exact"/>
                    <w:jc w:val="center"/>
                    <w:rPr>
                      <w:rFonts w:hint="default" w:ascii="Times New Roman" w:hAnsi="Times New Roman" w:cs="Times New Roman"/>
                      <w:szCs w:val="21"/>
                    </w:rPr>
                  </w:pPr>
                </w:p>
              </w:tc>
              <w:tc>
                <w:tcPr>
                  <w:tcW w:w="2134"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default" w:ascii="Times New Roman" w:hAnsi="Times New Roman" w:eastAsia="宋体" w:cs="Times New Roman"/>
                      <w:szCs w:val="21"/>
                      <w:lang w:val="en-US" w:eastAsia="zh-CN"/>
                    </w:rPr>
                  </w:pPr>
                  <w:r>
                    <w:rPr>
                      <w:rFonts w:hint="eastAsia"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593" w:hRule="atLeast"/>
                <w:jc w:val="center"/>
              </w:trPr>
              <w:tc>
                <w:tcPr>
                  <w:tcW w:w="360"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default" w:ascii="Times New Roman" w:hAnsi="Times New Roman" w:cs="Times New Roman"/>
                      <w:szCs w:val="21"/>
                    </w:rPr>
                  </w:pPr>
                  <w:r>
                    <w:rPr>
                      <w:rFonts w:hint="default" w:ascii="Times New Roman" w:hAnsi="Times New Roman" w:cs="Times New Roman"/>
                      <w:szCs w:val="21"/>
                    </w:rPr>
                    <w:t>噪声</w:t>
                  </w:r>
                </w:p>
              </w:tc>
              <w:tc>
                <w:tcPr>
                  <w:tcW w:w="167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jc w:val="center"/>
                    <w:textAlignment w:val="auto"/>
                    <w:rPr>
                      <w:rFonts w:hint="default" w:ascii="Times New Roman" w:hAnsi="Times New Roman" w:cs="Times New Roman"/>
                      <w:szCs w:val="21"/>
                    </w:rPr>
                  </w:pPr>
                  <w:r>
                    <w:rPr>
                      <w:rFonts w:hint="default" w:ascii="Times New Roman" w:hAnsi="Times New Roman" w:cs="Times New Roman"/>
                      <w:szCs w:val="21"/>
                    </w:rPr>
                    <w:t>设备机械噪声</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ind w:hanging="34"/>
                    <w:jc w:val="center"/>
                    <w:textAlignment w:val="auto"/>
                    <w:rPr>
                      <w:rFonts w:hint="default" w:ascii="Times New Roman" w:hAnsi="Times New Roman" w:cs="Times New Roman"/>
                      <w:szCs w:val="21"/>
                    </w:rPr>
                  </w:pPr>
                  <w:r>
                    <w:rPr>
                      <w:szCs w:val="21"/>
                      <w:highlight w:val="none"/>
                    </w:rPr>
                    <w:t>采用</w:t>
                  </w:r>
                  <w:r>
                    <w:rPr>
                      <w:rFonts w:hint="eastAsia"/>
                      <w:szCs w:val="21"/>
                      <w:highlight w:val="none"/>
                    </w:rPr>
                    <w:t>低</w:t>
                  </w:r>
                  <w:r>
                    <w:rPr>
                      <w:szCs w:val="21"/>
                      <w:highlight w:val="none"/>
                    </w:rPr>
                    <w:t>噪声设备+</w:t>
                  </w:r>
                  <w:r>
                    <w:rPr>
                      <w:rFonts w:hint="eastAsia"/>
                      <w:szCs w:val="21"/>
                      <w:highlight w:val="none"/>
                    </w:rPr>
                    <w:t>隔声罩</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spacing w:line="340" w:lineRule="exact"/>
                    <w:jc w:val="center"/>
                    <w:rPr>
                      <w:rFonts w:hint="default" w:ascii="Times New Roman" w:hAnsi="Times New Roman" w:cs="Times New Roman"/>
                      <w:spacing w:val="-6"/>
                      <w:szCs w:val="21"/>
                    </w:rPr>
                  </w:pPr>
                  <w:r>
                    <w:rPr>
                      <w:rFonts w:hint="eastAsia"/>
                      <w:spacing w:val="-6"/>
                      <w:szCs w:val="21"/>
                      <w:highlight w:val="none"/>
                    </w:rPr>
                    <w:t>东、北</w:t>
                  </w:r>
                  <w:r>
                    <w:rPr>
                      <w:rFonts w:hint="eastAsia"/>
                      <w:spacing w:val="-6"/>
                      <w:szCs w:val="21"/>
                      <w:highlight w:val="none"/>
                      <w:lang w:eastAsia="zh-CN"/>
                    </w:rPr>
                    <w:t>、南</w:t>
                  </w:r>
                  <w:r>
                    <w:rPr>
                      <w:rFonts w:hint="default" w:ascii="Times New Roman" w:hAnsi="Times New Roman" w:cs="Times New Roman"/>
                      <w:spacing w:val="-6"/>
                      <w:szCs w:val="21"/>
                    </w:rPr>
                    <w:t>厂界达到《工业企业环境噪声排放标准》(GB12348－2008 )</w:t>
                  </w:r>
                  <w:r>
                    <w:rPr>
                      <w:rFonts w:hint="eastAsia" w:cs="Times New Roman"/>
                      <w:spacing w:val="-6"/>
                      <w:szCs w:val="21"/>
                      <w:lang w:val="en-US" w:eastAsia="zh-CN"/>
                    </w:rPr>
                    <w:t>1</w:t>
                  </w:r>
                  <w:r>
                    <w:rPr>
                      <w:rFonts w:hint="default" w:ascii="Times New Roman" w:hAnsi="Times New Roman" w:cs="Times New Roman"/>
                      <w:spacing w:val="-6"/>
                      <w:szCs w:val="21"/>
                    </w:rPr>
                    <w:t>类标准限值</w:t>
                  </w:r>
                  <w:r>
                    <w:rPr>
                      <w:rFonts w:hint="eastAsia" w:cs="Times New Roman"/>
                      <w:spacing w:val="-6"/>
                      <w:szCs w:val="21"/>
                      <w:lang w:eastAsia="zh-CN"/>
                    </w:rPr>
                    <w:t>，</w:t>
                  </w:r>
                  <w:r>
                    <w:rPr>
                      <w:rFonts w:hint="eastAsia"/>
                      <w:spacing w:val="-6"/>
                      <w:szCs w:val="21"/>
                      <w:highlight w:val="none"/>
                    </w:rPr>
                    <w:t>西厂界</w:t>
                  </w:r>
                  <w:r>
                    <w:rPr>
                      <w:rFonts w:hint="default" w:ascii="Times New Roman" w:hAnsi="Times New Roman" w:cs="Times New Roman"/>
                      <w:spacing w:val="-6"/>
                      <w:szCs w:val="21"/>
                    </w:rPr>
                    <w:t>达到</w:t>
                  </w:r>
                  <w:r>
                    <w:rPr>
                      <w:rFonts w:hint="eastAsia" w:cs="Times New Roman"/>
                      <w:spacing w:val="-6"/>
                      <w:szCs w:val="21"/>
                      <w:lang w:val="en-US" w:eastAsia="zh-CN"/>
                    </w:rPr>
                    <w:t>4</w:t>
                  </w:r>
                  <w:r>
                    <w:rPr>
                      <w:rFonts w:hint="default" w:ascii="Times New Roman" w:hAnsi="Times New Roman" w:cs="Times New Roman"/>
                      <w:spacing w:val="-6"/>
                      <w:szCs w:val="21"/>
                    </w:rPr>
                    <w:t>类标准限值</w:t>
                  </w:r>
                </w:p>
              </w:tc>
              <w:tc>
                <w:tcPr>
                  <w:tcW w:w="2134"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rPr>
                      <w:rFonts w:hint="default" w:ascii="Times New Roman" w:hAnsi="Times New Roman" w:cs="Times New Roman"/>
                      <w:szCs w:val="21"/>
                    </w:rPr>
                  </w:pPr>
                  <w:r>
                    <w:rPr>
                      <w:rFonts w:hint="default" w:ascii="Times New Roman" w:hAnsi="Times New Roman" w:cs="Times New Roman"/>
                    </w:rPr>
                    <mc:AlternateContent>
                      <mc:Choice Requires="wps">
                        <w:drawing>
                          <wp:anchor distT="0" distB="0" distL="114300" distR="114300" simplePos="0" relativeHeight="251665408" behindDoc="0" locked="0" layoutInCell="1" allowOverlap="1">
                            <wp:simplePos x="0" y="0"/>
                            <wp:positionH relativeFrom="column">
                              <wp:posOffset>311150</wp:posOffset>
                            </wp:positionH>
                            <wp:positionV relativeFrom="paragraph">
                              <wp:posOffset>619125</wp:posOffset>
                            </wp:positionV>
                            <wp:extent cx="847725" cy="161925"/>
                            <wp:effectExtent l="0" t="0" r="0" b="0"/>
                            <wp:wrapNone/>
                            <wp:docPr id="8" name="文本框 8"/>
                            <wp:cNvGraphicFramePr/>
                            <a:graphic xmlns:a="http://schemas.openxmlformats.org/drawingml/2006/main">
                              <a:graphicData uri="http://schemas.microsoft.com/office/word/2010/wordprocessingShape">
                                <wps:wsp>
                                  <wps:cNvSpPr txBox="1"/>
                                  <wps:spPr>
                                    <a:xfrm>
                                      <a:off x="0" y="0"/>
                                      <a:ext cx="835660" cy="161925"/>
                                    </a:xfrm>
                                    <a:prstGeom prst="rect">
                                      <a:avLst/>
                                    </a:prstGeom>
                                    <a:noFill/>
                                    <a:ln w="9525">
                                      <a:noFill/>
                                    </a:ln>
                                    <a:effectLst/>
                                  </wps:spPr>
                                  <wps:txbx>
                                    <w:txbxContent>
                                      <w:p>
                                        <w:pPr>
                                          <w:spacing w:line="260" w:lineRule="exact"/>
                                          <w:jc w:val="both"/>
                                          <w:rPr>
                                            <w:szCs w:val="21"/>
                                          </w:rPr>
                                        </w:pPr>
                                        <w:r>
                                          <w:rPr>
                                            <w:rFonts w:hint="eastAsia"/>
                                            <w:bCs/>
                                            <w:szCs w:val="21"/>
                                          </w:rPr>
                                          <w:t>提示图形符号</w:t>
                                        </w:r>
                                      </w:p>
                                    </w:txbxContent>
                                  </wps:txbx>
                                  <wps:bodyPr lIns="0" tIns="0" rIns="0" bIns="0" upright="1"/>
                                </wps:wsp>
                              </a:graphicData>
                            </a:graphic>
                          </wp:anchor>
                        </w:drawing>
                      </mc:Choice>
                      <mc:Fallback>
                        <w:pict>
                          <v:shape id="_x0000_s1026" o:spid="_x0000_s1026" o:spt="202" type="#_x0000_t202" style="position:absolute;left:0pt;margin-left:24.5pt;margin-top:48.75pt;height:12.75pt;width:66.75pt;z-index:251665408;mso-width-relative:page;mso-height-relative:page;" filled="f" stroked="f" coordsize="21600,21600" o:gfxdata="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TtPMwNgAAAAJAQAADwAAAAAAAAABACAAAAAiAAAAZHJzL2Rvd25y&#10;ZXYueG1sUEsBAhQAFAAAAAgAh07iQNR0wQzFAQAAiAMAAA4AAAAAAAAAAQAgAAAAJwEAAGRycy9l&#10;Mm9Eb2MueG1sUEsFBgAAAAAGAAYAWQEAAF4FAAAAAA==&#10;">
                            <v:fill on="f" focussize="0,0"/>
                            <v:stroke on="f"/>
                            <v:imagedata o:title=""/>
                            <o:lock v:ext="edit" aspectratio="f"/>
                            <v:textbox inset="0mm,0mm,0mm,0mm">
                              <w:txbxContent>
                                <w:p>
                                  <w:pPr>
                                    <w:spacing w:line="260" w:lineRule="exact"/>
                                    <w:jc w:val="both"/>
                                    <w:rPr>
                                      <w:szCs w:val="21"/>
                                    </w:rPr>
                                  </w:pPr>
                                  <w:r>
                                    <w:rPr>
                                      <w:rFonts w:hint="eastAsia"/>
                                      <w:bCs/>
                                      <w:szCs w:val="21"/>
                                    </w:rPr>
                                    <w:t>提示图形符号</w:t>
                                  </w:r>
                                </w:p>
                              </w:txbxContent>
                            </v:textbox>
                          </v:shape>
                        </w:pict>
                      </mc:Fallback>
                    </mc:AlternateContent>
                  </w:r>
                  <w:r>
                    <w:rPr>
                      <w:rFonts w:hint="default" w:ascii="Times New Roman" w:hAnsi="Times New Roman" w:cs="Times New Roman"/>
                    </w:rPr>
                    <w:drawing>
                      <wp:anchor distT="0" distB="0" distL="114300" distR="114300" simplePos="0" relativeHeight="251664384" behindDoc="0" locked="0" layoutInCell="1" allowOverlap="1">
                        <wp:simplePos x="0" y="0"/>
                        <wp:positionH relativeFrom="column">
                          <wp:posOffset>342900</wp:posOffset>
                        </wp:positionH>
                        <wp:positionV relativeFrom="paragraph">
                          <wp:posOffset>97155</wp:posOffset>
                        </wp:positionV>
                        <wp:extent cx="795655" cy="435610"/>
                        <wp:effectExtent l="0" t="0" r="4445" b="2540"/>
                        <wp:wrapNone/>
                        <wp:docPr id="10" name="图片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41"/>
                                <pic:cNvPicPr>
                                  <a:picLocks noChangeAspect="1"/>
                                </pic:cNvPicPr>
                              </pic:nvPicPr>
                              <pic:blipFill>
                                <a:blip r:embed="rId13"/>
                                <a:stretch>
                                  <a:fillRect/>
                                </a:stretch>
                              </pic:blipFill>
                              <pic:spPr>
                                <a:xfrm>
                                  <a:off x="0" y="0"/>
                                  <a:ext cx="795655" cy="435610"/>
                                </a:xfrm>
                                <a:prstGeom prst="rect">
                                  <a:avLst/>
                                </a:prstGeom>
                                <a:noFill/>
                                <a:ln>
                                  <a:noFill/>
                                </a:ln>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53" w:hRule="atLeast"/>
                <w:jc w:val="center"/>
              </w:trPr>
              <w:tc>
                <w:tcPr>
                  <w:tcW w:w="360" w:type="dxa"/>
                  <w:vMerge w:val="restart"/>
                  <w:tcBorders>
                    <w:top w:val="single" w:color="auto" w:sz="4" w:space="0"/>
                    <w:left w:val="single" w:color="auto" w:sz="4" w:space="0"/>
                    <w:right w:val="single" w:color="auto" w:sz="4" w:space="0"/>
                  </w:tcBorders>
                  <w:noWrap w:val="0"/>
                  <w:vAlign w:val="center"/>
                </w:tcPr>
                <w:p>
                  <w:pPr>
                    <w:pageBreakBefore w:val="0"/>
                    <w:kinsoku/>
                    <w:wordWrap/>
                    <w:overflowPunct/>
                    <w:topLinePunct w:val="0"/>
                    <w:autoSpaceDE/>
                    <w:autoSpaceDN/>
                    <w:bidi w:val="0"/>
                    <w:adjustRightInd w:val="0"/>
                    <w:snapToGrid w:val="0"/>
                    <w:spacing w:line="340" w:lineRule="exact"/>
                    <w:jc w:val="center"/>
                    <w:rPr>
                      <w:rFonts w:hint="default" w:ascii="Times New Roman" w:hAnsi="Times New Roman" w:cs="Times New Roman"/>
                      <w:szCs w:val="21"/>
                    </w:rPr>
                  </w:pPr>
                  <w:r>
                    <w:rPr>
                      <w:rFonts w:hint="default" w:ascii="Times New Roman" w:hAnsi="Times New Roman" w:cs="Times New Roman"/>
                      <w:szCs w:val="21"/>
                    </w:rPr>
                    <w:t>固废</w:t>
                  </w:r>
                </w:p>
              </w:tc>
              <w:tc>
                <w:tcPr>
                  <w:tcW w:w="167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jc w:val="center"/>
                    <w:textAlignment w:val="auto"/>
                    <w:rPr>
                      <w:rFonts w:hint="default" w:ascii="Times New Roman" w:hAnsi="Times New Roman" w:eastAsia="宋体" w:cs="Times New Roman"/>
                      <w:kern w:val="21"/>
                      <w:sz w:val="21"/>
                      <w:szCs w:val="21"/>
                      <w:lang w:val="en-US" w:eastAsia="zh-CN" w:bidi="ar-SA"/>
                    </w:rPr>
                  </w:pPr>
                  <w:r>
                    <w:rPr>
                      <w:rFonts w:hint="eastAsia"/>
                      <w:szCs w:val="21"/>
                      <w:highlight w:val="none"/>
                    </w:rPr>
                    <w:t>生活垃圾</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val="0"/>
                    <w:snapToGrid/>
                    <w:spacing w:line="340" w:lineRule="exact"/>
                    <w:jc w:val="center"/>
                    <w:textAlignment w:val="auto"/>
                    <w:rPr>
                      <w:rFonts w:hint="default" w:ascii="Times New Roman" w:hAnsi="Times New Roman" w:eastAsia="宋体" w:cs="Times New Roman"/>
                      <w:kern w:val="2"/>
                      <w:sz w:val="21"/>
                      <w:szCs w:val="21"/>
                      <w:lang w:val="en-US" w:eastAsia="zh-CN" w:bidi="ar-SA"/>
                    </w:rPr>
                  </w:pPr>
                  <w:r>
                    <w:rPr>
                      <w:rFonts w:hint="eastAsia"/>
                      <w:szCs w:val="21"/>
                      <w:highlight w:val="none"/>
                    </w:rPr>
                    <w:t>收集后交环卫部门处理</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pageBreakBefore w:val="0"/>
                    <w:kinsoku/>
                    <w:wordWrap/>
                    <w:overflowPunct/>
                    <w:topLinePunct w:val="0"/>
                    <w:autoSpaceDE/>
                    <w:autoSpaceDN/>
                    <w:bidi w:val="0"/>
                    <w:snapToGrid w:val="0"/>
                    <w:spacing w:line="340" w:lineRule="exact"/>
                    <w:jc w:val="center"/>
                    <w:rPr>
                      <w:rFonts w:hint="default" w:ascii="Times New Roman" w:hAnsi="Times New Roman" w:cs="Times New Roman"/>
                      <w:szCs w:val="21"/>
                    </w:rPr>
                  </w:pPr>
                  <w:r>
                    <w:rPr>
                      <w:rFonts w:hint="default" w:ascii="Times New Roman" w:hAnsi="Times New Roman" w:cs="Times New Roman"/>
                      <w:szCs w:val="21"/>
                    </w:rPr>
                    <w:t>合理处置</w:t>
                  </w:r>
                </w:p>
              </w:tc>
              <w:tc>
                <w:tcPr>
                  <w:tcW w:w="2134" w:type="dxa"/>
                  <w:tcBorders>
                    <w:top w:val="single" w:color="auto" w:sz="4" w:space="0"/>
                    <w:left w:val="single" w:color="auto" w:sz="4" w:space="0"/>
                    <w:bottom w:val="single" w:color="auto" w:sz="4" w:space="0"/>
                    <w:right w:val="single" w:color="auto" w:sz="4" w:space="0"/>
                  </w:tcBorders>
                  <w:noWrap w:val="0"/>
                  <w:vAlign w:val="center"/>
                </w:tcPr>
                <w:p>
                  <w:pPr>
                    <w:pStyle w:val="18"/>
                    <w:pageBreakBefore w:val="0"/>
                    <w:kinsoku/>
                    <w:wordWrap/>
                    <w:overflowPunct/>
                    <w:topLinePunct w:val="0"/>
                    <w:autoSpaceDE/>
                    <w:autoSpaceDN/>
                    <w:bidi w:val="0"/>
                    <w:spacing w:line="340" w:lineRule="exact"/>
                    <w:jc w:val="center"/>
                    <w:rPr>
                      <w:rFonts w:hint="default" w:ascii="Times New Roman" w:hAnsi="Times New Roman" w:cs="Times New Roman"/>
                      <w:sz w:val="21"/>
                      <w:szCs w:val="21"/>
                    </w:rPr>
                  </w:pPr>
                  <w:r>
                    <w:rPr>
                      <w:rFonts w:hint="default" w:ascii="Times New Roman" w:hAnsi="Times New Roman" w:cs="Times New Roman"/>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53" w:hRule="atLeast"/>
                <w:jc w:val="center"/>
              </w:trPr>
              <w:tc>
                <w:tcPr>
                  <w:tcW w:w="360" w:type="dxa"/>
                  <w:vMerge w:val="continue"/>
                  <w:tcBorders>
                    <w:left w:val="single" w:color="auto" w:sz="4" w:space="0"/>
                    <w:right w:val="single" w:color="auto" w:sz="4" w:space="0"/>
                  </w:tcBorders>
                  <w:noWrap w:val="0"/>
                  <w:vAlign w:val="center"/>
                </w:tcPr>
                <w:p>
                  <w:pPr>
                    <w:pageBreakBefore w:val="0"/>
                    <w:widowControl/>
                    <w:kinsoku/>
                    <w:wordWrap/>
                    <w:overflowPunct/>
                    <w:topLinePunct w:val="0"/>
                    <w:autoSpaceDE/>
                    <w:autoSpaceDN/>
                    <w:bidi w:val="0"/>
                    <w:spacing w:line="340" w:lineRule="exact"/>
                    <w:jc w:val="left"/>
                    <w:rPr>
                      <w:rFonts w:hint="default" w:ascii="Times New Roman" w:hAnsi="Times New Roman" w:cs="Times New Roman"/>
                      <w:szCs w:val="21"/>
                    </w:rPr>
                  </w:pPr>
                </w:p>
              </w:tc>
              <w:tc>
                <w:tcPr>
                  <w:tcW w:w="1679" w:type="dxa"/>
                  <w:gridSpan w:val="2"/>
                  <w:tcBorders>
                    <w:top w:val="single" w:color="auto" w:sz="4" w:space="0"/>
                    <w:left w:val="single" w:color="auto" w:sz="4" w:space="0"/>
                    <w:right w:val="single" w:color="auto" w:sz="4" w:space="0"/>
                  </w:tcBorders>
                  <w:noWrap w:val="0"/>
                  <w:vAlign w:val="center"/>
                </w:tcPr>
                <w:p>
                  <w:pPr>
                    <w:spacing w:line="360" w:lineRule="exact"/>
                    <w:jc w:val="center"/>
                    <w:rPr>
                      <w:rFonts w:hint="default" w:ascii="Times New Roman" w:hAnsi="Times New Roman" w:eastAsia="宋体" w:cs="Times New Roman"/>
                      <w:szCs w:val="21"/>
                      <w:lang w:val="en-US" w:eastAsia="zh-CN"/>
                    </w:rPr>
                  </w:pPr>
                  <w:r>
                    <w:rPr>
                      <w:rFonts w:hint="eastAsia"/>
                      <w:szCs w:val="21"/>
                      <w:highlight w:val="none"/>
                    </w:rPr>
                    <w:t>医疗废物</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default" w:ascii="Times New Roman" w:hAnsi="Times New Roman" w:cs="Times New Roman"/>
                      <w:szCs w:val="21"/>
                    </w:rPr>
                  </w:pPr>
                  <w:r>
                    <w:rPr>
                      <w:rFonts w:hint="eastAsia"/>
                      <w:bCs/>
                      <w:szCs w:val="21"/>
                      <w:highlight w:val="none"/>
                    </w:rPr>
                    <w:t>暂存于</w:t>
                  </w:r>
                  <w:r>
                    <w:rPr>
                      <w:rFonts w:hint="eastAsia"/>
                      <w:szCs w:val="21"/>
                      <w:highlight w:val="none"/>
                    </w:rPr>
                    <w:t>医疗废物暂存</w:t>
                  </w:r>
                  <w:r>
                    <w:rPr>
                      <w:rFonts w:hint="eastAsia"/>
                      <w:bCs/>
                      <w:szCs w:val="21"/>
                      <w:highlight w:val="none"/>
                    </w:rPr>
                    <w:t>间，交有资质单位处置</w:t>
                  </w:r>
                </w:p>
              </w:tc>
              <w:tc>
                <w:tcPr>
                  <w:tcW w:w="2565" w:type="dxa"/>
                  <w:vMerge w:val="restart"/>
                  <w:tcBorders>
                    <w:top w:val="single" w:color="auto" w:sz="4" w:space="0"/>
                    <w:left w:val="single" w:color="auto" w:sz="4" w:space="0"/>
                    <w:right w:val="single" w:color="auto" w:sz="4" w:space="0"/>
                  </w:tcBorders>
                  <w:noWrap w:val="0"/>
                  <w:vAlign w:val="center"/>
                </w:tcPr>
                <w:p>
                  <w:pPr>
                    <w:pageBreakBefore w:val="0"/>
                    <w:widowControl/>
                    <w:kinsoku/>
                    <w:wordWrap/>
                    <w:overflowPunct/>
                    <w:topLinePunct w:val="0"/>
                    <w:autoSpaceDE/>
                    <w:autoSpaceDN/>
                    <w:bidi w:val="0"/>
                    <w:spacing w:line="340" w:lineRule="exact"/>
                    <w:jc w:val="center"/>
                    <w:rPr>
                      <w:rFonts w:hint="default" w:ascii="Times New Roman" w:hAnsi="Times New Roman" w:cs="Times New Roman"/>
                      <w:szCs w:val="21"/>
                    </w:rPr>
                  </w:pPr>
                  <w:r>
                    <w:rPr>
                      <w:rFonts w:hint="default" w:ascii="Times New Roman" w:hAnsi="Times New Roman" w:cs="Times New Roman"/>
                      <w:szCs w:val="21"/>
                    </w:rPr>
                    <w:t>由危废间暂存，之后交有资质单位进行处理</w:t>
                  </w:r>
                </w:p>
              </w:tc>
              <w:tc>
                <w:tcPr>
                  <w:tcW w:w="2134" w:type="dxa"/>
                  <w:vMerge w:val="restart"/>
                  <w:tcBorders>
                    <w:top w:val="single" w:color="auto" w:sz="4" w:space="0"/>
                    <w:left w:val="single" w:color="auto" w:sz="4" w:space="0"/>
                    <w:right w:val="single" w:color="auto" w:sz="4" w:space="0"/>
                  </w:tcBorders>
                  <w:noWrap w:val="0"/>
                  <w:vAlign w:val="bottom"/>
                </w:tcPr>
                <w:p>
                  <w:pPr>
                    <w:pStyle w:val="4"/>
                    <w:keepNext/>
                    <w:keepLines/>
                    <w:pageBreakBefore w:val="0"/>
                    <w:widowControl w:val="0"/>
                    <w:numPr>
                      <w:ilvl w:val="0"/>
                      <w:numId w:val="0"/>
                    </w:numPr>
                    <w:tabs>
                      <w:tab w:val="left" w:pos="576"/>
                    </w:tabs>
                    <w:kinsoku/>
                    <w:wordWrap/>
                    <w:overflowPunct/>
                    <w:topLinePunct w:val="0"/>
                    <w:autoSpaceDE/>
                    <w:autoSpaceDN/>
                    <w:bidi w:val="0"/>
                    <w:adjustRightInd w:val="0"/>
                    <w:snapToGrid/>
                    <w:spacing w:before="0" w:after="0" w:line="340" w:lineRule="exact"/>
                    <w:jc w:val="center"/>
                    <w:textAlignment w:val="baseline"/>
                    <w:rPr>
                      <w:rFonts w:hint="default" w:ascii="Times New Roman" w:hAnsi="Times New Roman" w:eastAsia="宋体" w:cs="Times New Roman"/>
                    </w:rPr>
                  </w:pPr>
                  <w:r>
                    <w:rPr>
                      <w:rFonts w:hint="default" w:ascii="Times New Roman" w:hAnsi="Times New Roman" w:cs="Times New Roman"/>
                    </w:rPr>
                    <w:drawing>
                      <wp:anchor distT="0" distB="0" distL="114300" distR="114300" simplePos="0" relativeHeight="251666432" behindDoc="0" locked="0" layoutInCell="1" allowOverlap="1">
                        <wp:simplePos x="0" y="0"/>
                        <wp:positionH relativeFrom="column">
                          <wp:posOffset>150495</wp:posOffset>
                        </wp:positionH>
                        <wp:positionV relativeFrom="paragraph">
                          <wp:posOffset>57150</wp:posOffset>
                        </wp:positionV>
                        <wp:extent cx="933450" cy="691515"/>
                        <wp:effectExtent l="0" t="0" r="0" b="13335"/>
                        <wp:wrapSquare wrapText="bothSides"/>
                        <wp:docPr id="9"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7"/>
                                <pic:cNvPicPr>
                                  <a:picLocks noChangeAspect="1"/>
                                </pic:cNvPicPr>
                              </pic:nvPicPr>
                              <pic:blipFill>
                                <a:blip r:embed="rId14"/>
                                <a:stretch>
                                  <a:fillRect/>
                                </a:stretch>
                              </pic:blipFill>
                              <pic:spPr>
                                <a:xfrm>
                                  <a:off x="0" y="0"/>
                                  <a:ext cx="933450" cy="691515"/>
                                </a:xfrm>
                                <a:prstGeom prst="rect">
                                  <a:avLst/>
                                </a:prstGeom>
                                <a:noFill/>
                                <a:ln>
                                  <a:noFill/>
                                </a:ln>
                              </pic:spPr>
                            </pic:pic>
                          </a:graphicData>
                        </a:graphic>
                      </wp:anchor>
                    </w:drawing>
                  </w:r>
                  <w:r>
                    <w:rPr>
                      <w:rFonts w:hint="default" w:ascii="Times New Roman" w:hAnsi="Times New Roman" w:eastAsia="宋体" w:cs="Times New Roman"/>
                      <w:bCs/>
                      <w:sz w:val="21"/>
                      <w:szCs w:val="21"/>
                    </w:rPr>
                    <w:t>提示图形符号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58" w:hRule="atLeast"/>
                <w:jc w:val="center"/>
              </w:trPr>
              <w:tc>
                <w:tcPr>
                  <w:tcW w:w="360" w:type="dxa"/>
                  <w:vMerge w:val="continue"/>
                  <w:tcBorders>
                    <w:left w:val="single" w:color="auto" w:sz="4" w:space="0"/>
                    <w:right w:val="single" w:color="auto" w:sz="4" w:space="0"/>
                  </w:tcBorders>
                  <w:noWrap w:val="0"/>
                  <w:vAlign w:val="center"/>
                </w:tcPr>
                <w:p>
                  <w:pPr>
                    <w:pageBreakBefore w:val="0"/>
                    <w:widowControl/>
                    <w:kinsoku/>
                    <w:wordWrap/>
                    <w:overflowPunct/>
                    <w:topLinePunct w:val="0"/>
                    <w:autoSpaceDE/>
                    <w:autoSpaceDN/>
                    <w:bidi w:val="0"/>
                    <w:spacing w:line="340" w:lineRule="exact"/>
                    <w:jc w:val="left"/>
                    <w:rPr>
                      <w:rFonts w:hint="default" w:ascii="Times New Roman" w:hAnsi="Times New Roman" w:cs="Times New Roman"/>
                      <w:szCs w:val="21"/>
                    </w:rPr>
                  </w:pPr>
                </w:p>
              </w:tc>
              <w:tc>
                <w:tcPr>
                  <w:tcW w:w="1679" w:type="dxa"/>
                  <w:gridSpan w:val="2"/>
                  <w:tcBorders>
                    <w:left w:val="single" w:color="auto" w:sz="4" w:space="0"/>
                    <w:right w:val="single" w:color="auto" w:sz="4" w:space="0"/>
                  </w:tcBorders>
                  <w:noWrap w:val="0"/>
                  <w:vAlign w:val="center"/>
                </w:tcPr>
                <w:p>
                  <w:pPr>
                    <w:spacing w:line="360" w:lineRule="exact"/>
                    <w:jc w:val="center"/>
                    <w:rPr>
                      <w:rFonts w:hint="default" w:ascii="Times New Roman" w:hAnsi="Times New Roman" w:cs="Times New Roman"/>
                      <w:szCs w:val="21"/>
                    </w:rPr>
                  </w:pPr>
                  <w:r>
                    <w:rPr>
                      <w:rFonts w:hint="eastAsia"/>
                      <w:szCs w:val="21"/>
                      <w:highlight w:val="none"/>
                      <w:lang w:eastAsia="zh-CN"/>
                    </w:rPr>
                    <w:t>化粪池污泥</w:t>
                  </w:r>
                </w:p>
              </w:tc>
              <w:tc>
                <w:tcPr>
                  <w:tcW w:w="220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default" w:ascii="Times New Roman" w:hAnsi="Times New Roman" w:cs="Times New Roman"/>
                      <w:szCs w:val="21"/>
                    </w:rPr>
                  </w:pPr>
                  <w:r>
                    <w:rPr>
                      <w:rFonts w:hint="eastAsia"/>
                      <w:bCs/>
                      <w:szCs w:val="21"/>
                      <w:highlight w:val="none"/>
                    </w:rPr>
                    <w:t>定期清理、消毒处理后，</w:t>
                  </w:r>
                  <w:r>
                    <w:rPr>
                      <w:bCs/>
                      <w:szCs w:val="21"/>
                      <w:highlight w:val="none"/>
                    </w:rPr>
                    <w:t>交由</w:t>
                  </w:r>
                  <w:r>
                    <w:rPr>
                      <w:rFonts w:hint="eastAsia"/>
                      <w:bCs/>
                      <w:szCs w:val="21"/>
                      <w:highlight w:val="none"/>
                    </w:rPr>
                    <w:t>资质单位</w:t>
                  </w:r>
                  <w:r>
                    <w:rPr>
                      <w:bCs/>
                      <w:szCs w:val="21"/>
                      <w:highlight w:val="none"/>
                    </w:rPr>
                    <w:t>处理</w:t>
                  </w:r>
                </w:p>
              </w:tc>
              <w:tc>
                <w:tcPr>
                  <w:tcW w:w="2565" w:type="dxa"/>
                  <w:vMerge w:val="continue"/>
                  <w:tcBorders>
                    <w:left w:val="single" w:color="auto" w:sz="4" w:space="0"/>
                    <w:right w:val="single" w:color="auto" w:sz="4" w:space="0"/>
                  </w:tcBorders>
                  <w:noWrap w:val="0"/>
                  <w:vAlign w:val="center"/>
                </w:tcPr>
                <w:p>
                  <w:pPr>
                    <w:pageBreakBefore w:val="0"/>
                    <w:widowControl/>
                    <w:kinsoku/>
                    <w:wordWrap/>
                    <w:overflowPunct/>
                    <w:topLinePunct w:val="0"/>
                    <w:autoSpaceDE/>
                    <w:autoSpaceDN/>
                    <w:bidi w:val="0"/>
                    <w:spacing w:line="340" w:lineRule="exact"/>
                    <w:jc w:val="left"/>
                    <w:rPr>
                      <w:rFonts w:hint="default" w:ascii="Times New Roman" w:hAnsi="Times New Roman" w:cs="Times New Roman"/>
                      <w:szCs w:val="21"/>
                    </w:rPr>
                  </w:pPr>
                </w:p>
              </w:tc>
              <w:tc>
                <w:tcPr>
                  <w:tcW w:w="2134" w:type="dxa"/>
                  <w:vMerge w:val="continue"/>
                  <w:tcBorders>
                    <w:left w:val="single" w:color="auto" w:sz="4" w:space="0"/>
                    <w:right w:val="single" w:color="auto" w:sz="4" w:space="0"/>
                  </w:tcBorders>
                  <w:noWrap w:val="0"/>
                  <w:vAlign w:val="center"/>
                </w:tcPr>
                <w:p>
                  <w:pPr>
                    <w:pageBreakBefore w:val="0"/>
                    <w:widowControl/>
                    <w:kinsoku/>
                    <w:wordWrap/>
                    <w:overflowPunct/>
                    <w:topLinePunct w:val="0"/>
                    <w:autoSpaceDE/>
                    <w:autoSpaceDN/>
                    <w:bidi w:val="0"/>
                    <w:spacing w:line="340" w:lineRule="exact"/>
                    <w:jc w:val="left"/>
                    <w:rPr>
                      <w:rFonts w:hint="default" w:ascii="Times New Roman" w:hAnsi="Times New Roman" w:cs="Times New Roman"/>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695" w:hRule="atLeast"/>
                <w:jc w:val="center"/>
              </w:trPr>
              <w:tc>
                <w:tcPr>
                  <w:tcW w:w="926" w:type="dxa"/>
                  <w:gridSpan w:val="2"/>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pacing w:line="340" w:lineRule="exact"/>
                    <w:jc w:val="center"/>
                    <w:textAlignment w:val="auto"/>
                    <w:rPr>
                      <w:rFonts w:hint="default" w:ascii="Times New Roman" w:hAnsi="Times New Roman" w:cs="Times New Roman"/>
                      <w:sz w:val="21"/>
                      <w:szCs w:val="21"/>
                    </w:rPr>
                  </w:pPr>
                  <w:r>
                    <w:rPr>
                      <w:rFonts w:hint="default" w:ascii="Times New Roman" w:hAnsi="Times New Roman" w:cs="Times New Roman"/>
                      <w:sz w:val="21"/>
                      <w:szCs w:val="21"/>
                    </w:rPr>
                    <w:t>防渗</w:t>
                  </w:r>
                </w:p>
              </w:tc>
              <w:tc>
                <w:tcPr>
                  <w:tcW w:w="8012" w:type="dxa"/>
                  <w:gridSpan w:val="4"/>
                  <w:tcBorders>
                    <w:left w:val="single" w:color="auto" w:sz="4" w:space="0"/>
                    <w:right w:val="single" w:color="auto" w:sz="4" w:space="0"/>
                  </w:tcBorders>
                  <w:noWrap w:val="0"/>
                  <w:vAlign w:val="center"/>
                </w:tcPr>
                <w:p>
                  <w:pPr>
                    <w:adjustRightInd w:val="0"/>
                    <w:snapToGrid w:val="0"/>
                    <w:jc w:val="both"/>
                    <w:rPr>
                      <w:rFonts w:hint="eastAsia" w:eastAsia="宋体"/>
                      <w:highlight w:val="none"/>
                      <w:lang w:eastAsia="zh-CN"/>
                    </w:rPr>
                  </w:pPr>
                  <w:r>
                    <w:rPr>
                      <w:rFonts w:hint="eastAsia"/>
                      <w:highlight w:val="none"/>
                    </w:rPr>
                    <w:t>医疗废物暂存间</w:t>
                  </w:r>
                  <w:r>
                    <w:rPr>
                      <w:rFonts w:hint="eastAsia"/>
                      <w:highlight w:val="none"/>
                      <w:lang w:eastAsia="zh-CN"/>
                    </w:rPr>
                    <w:t>：</w:t>
                  </w:r>
                  <w:r>
                    <w:rPr>
                      <w:highlight w:val="none"/>
                    </w:rPr>
                    <w:t>地面与裙脚要用坚固、防渗的材料建造，建筑材料必须与危险废物相容。危废贮存间地面铺防渗材料，使</w:t>
                  </w:r>
                  <w:r>
                    <w:rPr>
                      <w:rFonts w:hint="default" w:ascii="Times New Roman" w:hAnsi="Times New Roman" w:cs="Times New Roman"/>
                      <w:spacing w:val="-10"/>
                      <w:sz w:val="21"/>
                      <w:szCs w:val="21"/>
                      <w:highlight w:val="none"/>
                    </w:rPr>
                    <w:t>渗透系数</w:t>
                  </w:r>
                  <w:r>
                    <w:rPr>
                      <w:rFonts w:hint="default" w:ascii="Times New Roman" w:hAnsi="Times New Roman" w:cs="Times New Roman"/>
                      <w:sz w:val="21"/>
                      <w:szCs w:val="21"/>
                      <w:highlight w:val="none"/>
                    </w:rPr>
                    <w:t>≤1×10</w:t>
                  </w:r>
                  <w:r>
                    <w:rPr>
                      <w:rFonts w:hint="default" w:ascii="Times New Roman" w:hAnsi="Times New Roman" w:cs="Times New Roman"/>
                      <w:sz w:val="21"/>
                      <w:szCs w:val="21"/>
                      <w:highlight w:val="none"/>
                      <w:vertAlign w:val="superscript"/>
                    </w:rPr>
                    <w:t>-10</w:t>
                  </w:r>
                  <w:r>
                    <w:rPr>
                      <w:rFonts w:hint="default" w:ascii="Times New Roman" w:hAnsi="Times New Roman" w:cs="Times New Roman"/>
                      <w:sz w:val="21"/>
                      <w:szCs w:val="21"/>
                      <w:highlight w:val="none"/>
                    </w:rPr>
                    <w:t>cm/s</w:t>
                  </w:r>
                  <w:r>
                    <w:rPr>
                      <w:highlight w:val="none"/>
                    </w:rPr>
                    <w:t>。危废暂存设施应封闭，并设置相关标识</w:t>
                  </w:r>
                  <w:r>
                    <w:rPr>
                      <w:rFonts w:hint="eastAsia"/>
                      <w:highlight w:val="none"/>
                      <w:lang w:eastAsia="zh-CN"/>
                    </w:rPr>
                    <w:t>；</w:t>
                  </w:r>
                </w:p>
                <w:p>
                  <w:pPr>
                    <w:adjustRightInd w:val="0"/>
                    <w:snapToGrid w:val="0"/>
                    <w:jc w:val="both"/>
                    <w:rPr>
                      <w:rFonts w:hint="eastAsia" w:ascii="Times New Roman" w:hAnsi="Times New Roman" w:eastAsia="宋体" w:cs="Times New Roman"/>
                      <w:sz w:val="21"/>
                      <w:szCs w:val="21"/>
                      <w:highlight w:val="none"/>
                      <w:lang w:eastAsia="zh-CN"/>
                    </w:rPr>
                  </w:pPr>
                  <w:r>
                    <w:rPr>
                      <w:rFonts w:hint="eastAsia"/>
                      <w:highlight w:val="none"/>
                      <w:lang w:eastAsia="zh-CN"/>
                    </w:rPr>
                    <w:t>排水管道：</w:t>
                  </w:r>
                  <w:r>
                    <w:rPr>
                      <w:rFonts w:hint="default" w:ascii="Times New Roman" w:hAnsi="Times New Roman" w:cs="Times New Roman"/>
                      <w:spacing w:val="-10"/>
                      <w:sz w:val="21"/>
                      <w:szCs w:val="21"/>
                      <w:highlight w:val="none"/>
                    </w:rPr>
                    <w:t>外排水采用</w:t>
                  </w:r>
                  <w:r>
                    <w:rPr>
                      <w:rFonts w:hint="default" w:ascii="Times New Roman" w:hAnsi="Times New Roman" w:cs="Times New Roman"/>
                      <w:spacing w:val="-10"/>
                      <w:sz w:val="21"/>
                      <w:szCs w:val="21"/>
                      <w:highlight w:val="none"/>
                      <w:lang w:val="en-US" w:eastAsia="zh-CN"/>
                    </w:rPr>
                    <w:t>防渗沟渠</w:t>
                  </w:r>
                  <w:r>
                    <w:rPr>
                      <w:rFonts w:hint="default" w:ascii="Times New Roman" w:hAnsi="Times New Roman" w:cs="Times New Roman"/>
                      <w:spacing w:val="-10"/>
                      <w:sz w:val="21"/>
                      <w:szCs w:val="21"/>
                      <w:highlight w:val="none"/>
                    </w:rPr>
                    <w:t>排水，渗透系数</w:t>
                  </w:r>
                  <w:r>
                    <w:rPr>
                      <w:rFonts w:hint="default" w:ascii="Times New Roman" w:hAnsi="Times New Roman" w:cs="Times New Roman"/>
                      <w:sz w:val="21"/>
                      <w:szCs w:val="21"/>
                      <w:highlight w:val="none"/>
                    </w:rPr>
                    <w:t>≤1×10</w:t>
                  </w:r>
                  <w:r>
                    <w:rPr>
                      <w:rFonts w:hint="default" w:ascii="Times New Roman" w:hAnsi="Times New Roman" w:cs="Times New Roman"/>
                      <w:sz w:val="21"/>
                      <w:szCs w:val="21"/>
                      <w:highlight w:val="none"/>
                      <w:vertAlign w:val="superscript"/>
                    </w:rPr>
                    <w:t>-10</w:t>
                  </w:r>
                  <w:r>
                    <w:rPr>
                      <w:rFonts w:hint="default" w:ascii="Times New Roman" w:hAnsi="Times New Roman" w:cs="Times New Roman"/>
                      <w:sz w:val="21"/>
                      <w:szCs w:val="21"/>
                      <w:highlight w:val="none"/>
                    </w:rPr>
                    <w:t>cm/s</w:t>
                  </w:r>
                  <w:r>
                    <w:rPr>
                      <w:rFonts w:hint="eastAsia" w:cs="Times New Roman"/>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Times New Roman" w:hAnsi="Times New Roman" w:eastAsia="宋体" w:cs="Times New Roman"/>
                      <w:b/>
                      <w:bCs/>
                      <w:sz w:val="21"/>
                      <w:szCs w:val="21"/>
                      <w:lang w:eastAsia="zh-CN"/>
                    </w:rPr>
                  </w:pPr>
                  <w:r>
                    <w:rPr>
                      <w:rFonts w:hint="eastAsia"/>
                      <w:highlight w:val="none"/>
                      <w:lang w:eastAsia="zh-CN"/>
                    </w:rPr>
                    <w:t>化粪池：</w:t>
                  </w:r>
                  <w:r>
                    <w:rPr>
                      <w:highlight w:val="none"/>
                    </w:rPr>
                    <w:t>用钢筋混凝土构筑地下空间，设置其他人工材料的防渗层，</w:t>
                  </w:r>
                  <w:r>
                    <w:rPr>
                      <w:rFonts w:hint="default" w:ascii="Times New Roman" w:hAnsi="Times New Roman" w:cs="Times New Roman"/>
                      <w:spacing w:val="-10"/>
                      <w:sz w:val="21"/>
                      <w:szCs w:val="21"/>
                      <w:highlight w:val="none"/>
                    </w:rPr>
                    <w:t>渗透系数</w:t>
                  </w:r>
                  <w:r>
                    <w:rPr>
                      <w:rFonts w:hint="default" w:ascii="Times New Roman" w:hAnsi="Times New Roman" w:cs="Times New Roman"/>
                      <w:sz w:val="21"/>
                      <w:szCs w:val="21"/>
                      <w:highlight w:val="none"/>
                    </w:rPr>
                    <w:t>≤</w:t>
                  </w:r>
                  <w:r>
                    <w:rPr>
                      <w:highlight w:val="none"/>
                    </w:rPr>
                    <w:t>10</w:t>
                  </w:r>
                  <w:r>
                    <w:rPr>
                      <w:highlight w:val="none"/>
                      <w:vertAlign w:val="superscript"/>
                    </w:rPr>
                    <w:t>-</w:t>
                  </w:r>
                  <w:r>
                    <w:rPr>
                      <w:rFonts w:hint="eastAsia"/>
                      <w:highlight w:val="none"/>
                      <w:vertAlign w:val="superscript"/>
                      <w:lang w:val="en-US" w:eastAsia="zh-CN"/>
                    </w:rPr>
                    <w:t>7</w:t>
                  </w:r>
                  <w:r>
                    <w:rPr>
                      <w:highlight w:val="none"/>
                    </w:rPr>
                    <w:t>cm/s</w:t>
                  </w:r>
                  <w:r>
                    <w:rPr>
                      <w:rFonts w:hint="eastAsia"/>
                      <w:highlight w:val="none"/>
                      <w:lang w:eastAsia="zh-CN"/>
                    </w:rPr>
                    <w:t>。</w:t>
                  </w:r>
                </w:p>
              </w:tc>
            </w:tr>
          </w:tbl>
          <w:p>
            <w:pPr>
              <w:adjustRightInd w:val="0"/>
              <w:snapToGrid w:val="0"/>
              <w:spacing w:line="480" w:lineRule="exact"/>
              <w:ind w:firstLine="420" w:firstLineChars="200"/>
              <w:jc w:val="left"/>
              <w:rPr>
                <w:rFonts w:hint="eastAsia"/>
                <w:highlight w:val="none"/>
              </w:rPr>
            </w:pPr>
          </w:p>
        </w:tc>
      </w:tr>
    </w:tbl>
    <w:p>
      <w:pPr>
        <w:pStyle w:val="46"/>
        <w:jc w:val="left"/>
        <w:outlineLvl w:val="0"/>
        <w:rPr>
          <w:rFonts w:eastAsia="黑体"/>
          <w:spacing w:val="0"/>
          <w:szCs w:val="32"/>
          <w:highlight w:val="none"/>
        </w:rPr>
      </w:pPr>
      <w:r>
        <w:rPr>
          <w:rFonts w:eastAsia="黑体"/>
          <w:b/>
          <w:spacing w:val="0"/>
          <w:szCs w:val="32"/>
          <w:highlight w:val="none"/>
        </w:rPr>
        <w:t>建设项目拟采取的防治措施及预期治理效果</w:t>
      </w:r>
    </w:p>
    <w:tbl>
      <w:tblPr>
        <w:tblStyle w:val="36"/>
        <w:tblW w:w="88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8"/>
        <w:gridCol w:w="1172"/>
        <w:gridCol w:w="1591"/>
        <w:gridCol w:w="3864"/>
        <w:gridCol w:w="1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1068" w:type="dxa"/>
            <w:tcBorders>
              <w:tl2br w:val="single" w:color="auto" w:sz="4" w:space="0"/>
            </w:tcBorders>
            <w:noWrap w:val="0"/>
            <w:vAlign w:val="center"/>
          </w:tcPr>
          <w:p>
            <w:pPr>
              <w:jc w:val="center"/>
              <w:rPr>
                <w:rFonts w:hint="eastAsia"/>
                <w:b/>
                <w:highlight w:val="none"/>
              </w:rPr>
            </w:pPr>
            <w:r>
              <w:rPr>
                <w:rFonts w:hint="eastAsia"/>
                <w:b/>
                <w:highlight w:val="none"/>
              </w:rPr>
              <w:t xml:space="preserve">    </w:t>
            </w:r>
            <w:r>
              <w:rPr>
                <w:b/>
                <w:highlight w:val="none"/>
              </w:rPr>
              <w:t>内容</w:t>
            </w:r>
          </w:p>
          <w:p>
            <w:pPr>
              <w:rPr>
                <w:rFonts w:hint="eastAsia"/>
                <w:b/>
                <w:szCs w:val="21"/>
                <w:highlight w:val="none"/>
              </w:rPr>
            </w:pPr>
            <w:r>
              <w:rPr>
                <w:b/>
                <w:highlight w:val="none"/>
              </w:rPr>
              <w:t>类型</w:t>
            </w:r>
          </w:p>
        </w:tc>
        <w:tc>
          <w:tcPr>
            <w:tcW w:w="1172" w:type="dxa"/>
            <w:noWrap w:val="0"/>
            <w:vAlign w:val="center"/>
          </w:tcPr>
          <w:p>
            <w:pPr>
              <w:widowControl/>
              <w:jc w:val="center"/>
              <w:rPr>
                <w:b/>
                <w:szCs w:val="21"/>
                <w:highlight w:val="none"/>
              </w:rPr>
            </w:pPr>
            <w:r>
              <w:rPr>
                <w:b/>
                <w:szCs w:val="21"/>
                <w:highlight w:val="none"/>
              </w:rPr>
              <w:t>排放源</w:t>
            </w:r>
          </w:p>
        </w:tc>
        <w:tc>
          <w:tcPr>
            <w:tcW w:w="1591" w:type="dxa"/>
            <w:noWrap w:val="0"/>
            <w:vAlign w:val="center"/>
          </w:tcPr>
          <w:p>
            <w:pPr>
              <w:jc w:val="center"/>
              <w:rPr>
                <w:b/>
                <w:szCs w:val="21"/>
                <w:highlight w:val="none"/>
              </w:rPr>
            </w:pPr>
            <w:r>
              <w:rPr>
                <w:b/>
                <w:szCs w:val="21"/>
                <w:highlight w:val="none"/>
              </w:rPr>
              <w:t>污染物名称</w:t>
            </w:r>
          </w:p>
        </w:tc>
        <w:tc>
          <w:tcPr>
            <w:tcW w:w="3864" w:type="dxa"/>
            <w:noWrap w:val="0"/>
            <w:vAlign w:val="center"/>
          </w:tcPr>
          <w:p>
            <w:pPr>
              <w:jc w:val="center"/>
              <w:rPr>
                <w:b/>
                <w:szCs w:val="21"/>
                <w:highlight w:val="none"/>
              </w:rPr>
            </w:pPr>
            <w:r>
              <w:rPr>
                <w:b/>
                <w:szCs w:val="21"/>
                <w:highlight w:val="none"/>
              </w:rPr>
              <w:t>防治措施</w:t>
            </w:r>
          </w:p>
        </w:tc>
        <w:tc>
          <w:tcPr>
            <w:tcW w:w="1185" w:type="dxa"/>
            <w:noWrap w:val="0"/>
            <w:vAlign w:val="center"/>
          </w:tcPr>
          <w:p>
            <w:pPr>
              <w:adjustRightInd w:val="0"/>
              <w:snapToGrid w:val="0"/>
              <w:jc w:val="center"/>
              <w:rPr>
                <w:b/>
                <w:szCs w:val="21"/>
                <w:highlight w:val="none"/>
              </w:rPr>
            </w:pPr>
            <w:r>
              <w:rPr>
                <w:b/>
                <w:szCs w:val="21"/>
                <w:highlight w:val="none"/>
              </w:rPr>
              <w:t>预期治理效果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restart"/>
            <w:noWrap w:val="0"/>
            <w:vAlign w:val="center"/>
          </w:tcPr>
          <w:p>
            <w:pPr>
              <w:spacing w:line="360" w:lineRule="exact"/>
              <w:jc w:val="center"/>
              <w:rPr>
                <w:szCs w:val="21"/>
                <w:highlight w:val="none"/>
              </w:rPr>
            </w:pPr>
            <w:r>
              <w:rPr>
                <w:szCs w:val="21"/>
                <w:highlight w:val="none"/>
              </w:rPr>
              <w:t>水</w:t>
            </w:r>
          </w:p>
          <w:p>
            <w:pPr>
              <w:spacing w:line="360" w:lineRule="exact"/>
              <w:jc w:val="center"/>
              <w:rPr>
                <w:szCs w:val="21"/>
                <w:highlight w:val="none"/>
              </w:rPr>
            </w:pPr>
            <w:r>
              <w:rPr>
                <w:szCs w:val="21"/>
                <w:highlight w:val="none"/>
              </w:rPr>
              <w:t>污</w:t>
            </w:r>
          </w:p>
          <w:p>
            <w:pPr>
              <w:spacing w:line="360" w:lineRule="exact"/>
              <w:jc w:val="center"/>
              <w:rPr>
                <w:szCs w:val="21"/>
                <w:highlight w:val="none"/>
              </w:rPr>
            </w:pPr>
            <w:r>
              <w:rPr>
                <w:szCs w:val="21"/>
                <w:highlight w:val="none"/>
              </w:rPr>
              <w:t>染</w:t>
            </w:r>
          </w:p>
          <w:p>
            <w:pPr>
              <w:spacing w:line="360" w:lineRule="exact"/>
              <w:jc w:val="center"/>
              <w:rPr>
                <w:szCs w:val="21"/>
                <w:highlight w:val="none"/>
              </w:rPr>
            </w:pPr>
            <w:r>
              <w:rPr>
                <w:szCs w:val="21"/>
                <w:highlight w:val="none"/>
              </w:rPr>
              <w:t>物</w:t>
            </w:r>
          </w:p>
        </w:tc>
        <w:tc>
          <w:tcPr>
            <w:tcW w:w="1172" w:type="dxa"/>
            <w:vMerge w:val="restart"/>
            <w:noWrap w:val="0"/>
            <w:vAlign w:val="center"/>
          </w:tcPr>
          <w:p>
            <w:pPr>
              <w:adjustRightInd w:val="0"/>
              <w:snapToGrid w:val="0"/>
              <w:spacing w:line="360" w:lineRule="exact"/>
              <w:jc w:val="center"/>
              <w:rPr>
                <w:rFonts w:hint="eastAsia" w:eastAsia="宋体"/>
                <w:szCs w:val="21"/>
                <w:highlight w:val="none"/>
                <w:lang w:eastAsia="zh-CN"/>
              </w:rPr>
            </w:pPr>
            <w:r>
              <w:rPr>
                <w:rFonts w:hint="eastAsia" w:eastAsia="宋体"/>
                <w:szCs w:val="21"/>
                <w:highlight w:val="none"/>
                <w:lang w:val="en-US" w:eastAsia="zh-CN"/>
              </w:rPr>
              <w:t>体检废水、健康养护废水、洗衣废水、医务人员废水</w:t>
            </w:r>
          </w:p>
        </w:tc>
        <w:tc>
          <w:tcPr>
            <w:tcW w:w="1591" w:type="dxa"/>
            <w:noWrap w:val="0"/>
            <w:vAlign w:val="center"/>
          </w:tcPr>
          <w:p>
            <w:pPr>
              <w:adjustRightInd w:val="0"/>
              <w:snapToGrid w:val="0"/>
              <w:spacing w:line="360" w:lineRule="exact"/>
              <w:jc w:val="center"/>
              <w:rPr>
                <w:szCs w:val="21"/>
                <w:highlight w:val="none"/>
              </w:rPr>
            </w:pPr>
            <w:r>
              <w:rPr>
                <w:szCs w:val="21"/>
                <w:highlight w:val="none"/>
              </w:rPr>
              <w:t>COD</w:t>
            </w:r>
          </w:p>
        </w:tc>
        <w:tc>
          <w:tcPr>
            <w:tcW w:w="3864" w:type="dxa"/>
            <w:vMerge w:val="restart"/>
            <w:noWrap w:val="0"/>
            <w:vAlign w:val="center"/>
          </w:tcPr>
          <w:p>
            <w:pPr>
              <w:pStyle w:val="17"/>
              <w:spacing w:line="360" w:lineRule="exact"/>
              <w:jc w:val="center"/>
              <w:rPr>
                <w:rFonts w:hint="eastAsia"/>
                <w:highlight w:val="none"/>
              </w:rPr>
            </w:pPr>
            <w:r>
              <w:rPr>
                <w:rFonts w:hint="eastAsia" w:hAnsi="宋体"/>
                <w:szCs w:val="21"/>
                <w:highlight w:val="none"/>
                <w:lang w:eastAsia="zh-CN"/>
              </w:rPr>
              <w:t>生活污水</w:t>
            </w:r>
            <w:r>
              <w:rPr>
                <w:rFonts w:hAnsi="宋体"/>
                <w:szCs w:val="21"/>
                <w:highlight w:val="none"/>
              </w:rPr>
              <w:t>经</w:t>
            </w:r>
            <w:r>
              <w:rPr>
                <w:rFonts w:hint="eastAsia" w:hAnsi="宋体"/>
                <w:szCs w:val="21"/>
                <w:highlight w:val="none"/>
                <w:lang w:eastAsia="zh-CN"/>
              </w:rPr>
              <w:t>化粪池处理后进入</w:t>
            </w:r>
            <w:r>
              <w:rPr>
                <w:rFonts w:hint="eastAsia"/>
                <w:highlight w:val="none"/>
              </w:rPr>
              <w:t>迁安市人民医院污水处理站</w:t>
            </w:r>
            <w:r>
              <w:rPr>
                <w:rFonts w:hint="eastAsia"/>
                <w:highlight w:val="none"/>
                <w:lang w:eastAsia="zh-CN"/>
              </w:rPr>
              <w:t>，医疗废水直接进入迁安市人民医院污水处理站，</w:t>
            </w:r>
            <w:r>
              <w:rPr>
                <w:rFonts w:hAnsi="宋体"/>
                <w:szCs w:val="21"/>
                <w:highlight w:val="none"/>
              </w:rPr>
              <w:t>处理后</w:t>
            </w:r>
            <w:r>
              <w:rPr>
                <w:rFonts w:hint="eastAsia" w:hAnsi="宋体"/>
                <w:szCs w:val="21"/>
                <w:highlight w:val="none"/>
              </w:rPr>
              <w:t>排入市政污水管网</w:t>
            </w:r>
          </w:p>
        </w:tc>
        <w:tc>
          <w:tcPr>
            <w:tcW w:w="1185" w:type="dxa"/>
            <w:vMerge w:val="restart"/>
            <w:noWrap w:val="0"/>
            <w:vAlign w:val="center"/>
          </w:tcPr>
          <w:p>
            <w:pPr>
              <w:adjustRightInd w:val="0"/>
              <w:snapToGrid w:val="0"/>
              <w:spacing w:line="360" w:lineRule="exact"/>
              <w:jc w:val="center"/>
              <w:rPr>
                <w:rFonts w:hint="eastAsia"/>
                <w:bCs/>
                <w:szCs w:val="21"/>
                <w:highlight w:val="none"/>
              </w:rPr>
            </w:pPr>
            <w:r>
              <w:rPr>
                <w:rFonts w:hint="eastAsia"/>
                <w:bCs/>
                <w:szCs w:val="21"/>
                <w:highlight w:val="none"/>
              </w:rPr>
              <w:t>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continue"/>
            <w:noWrap w:val="0"/>
            <w:vAlign w:val="center"/>
          </w:tcPr>
          <w:p>
            <w:pPr>
              <w:spacing w:line="360" w:lineRule="exact"/>
              <w:jc w:val="center"/>
              <w:rPr>
                <w:szCs w:val="21"/>
                <w:highlight w:val="none"/>
              </w:rPr>
            </w:pPr>
          </w:p>
        </w:tc>
        <w:tc>
          <w:tcPr>
            <w:tcW w:w="1172" w:type="dxa"/>
            <w:vMerge w:val="continue"/>
            <w:noWrap w:val="0"/>
            <w:vAlign w:val="center"/>
          </w:tcPr>
          <w:p>
            <w:pPr>
              <w:adjustRightInd w:val="0"/>
              <w:snapToGrid w:val="0"/>
              <w:spacing w:line="360" w:lineRule="exact"/>
              <w:jc w:val="center"/>
              <w:rPr>
                <w:rFonts w:hAnsi="宋体"/>
                <w:szCs w:val="21"/>
                <w:highlight w:val="none"/>
              </w:rPr>
            </w:pPr>
          </w:p>
        </w:tc>
        <w:tc>
          <w:tcPr>
            <w:tcW w:w="1591" w:type="dxa"/>
            <w:noWrap w:val="0"/>
            <w:vAlign w:val="center"/>
          </w:tcPr>
          <w:p>
            <w:pPr>
              <w:adjustRightInd w:val="0"/>
              <w:snapToGrid w:val="0"/>
              <w:spacing w:line="360" w:lineRule="exact"/>
              <w:jc w:val="center"/>
              <w:rPr>
                <w:szCs w:val="21"/>
                <w:highlight w:val="none"/>
              </w:rPr>
            </w:pPr>
            <w:r>
              <w:rPr>
                <w:szCs w:val="21"/>
                <w:highlight w:val="none"/>
              </w:rPr>
              <w:t>BOD</w:t>
            </w:r>
          </w:p>
        </w:tc>
        <w:tc>
          <w:tcPr>
            <w:tcW w:w="3864" w:type="dxa"/>
            <w:vMerge w:val="continue"/>
            <w:noWrap w:val="0"/>
            <w:vAlign w:val="center"/>
          </w:tcPr>
          <w:p>
            <w:pPr>
              <w:pStyle w:val="17"/>
              <w:spacing w:line="360" w:lineRule="exact"/>
              <w:jc w:val="center"/>
              <w:rPr>
                <w:rFonts w:hAnsi="宋体"/>
                <w:szCs w:val="21"/>
                <w:highlight w:val="none"/>
              </w:rPr>
            </w:pPr>
          </w:p>
        </w:tc>
        <w:tc>
          <w:tcPr>
            <w:tcW w:w="1185" w:type="dxa"/>
            <w:vMerge w:val="continue"/>
            <w:noWrap w:val="0"/>
            <w:vAlign w:val="center"/>
          </w:tcPr>
          <w:p>
            <w:pPr>
              <w:adjustRightInd w:val="0"/>
              <w:snapToGrid w:val="0"/>
              <w:spacing w:line="360" w:lineRule="exact"/>
              <w:jc w:val="center"/>
              <w:rPr>
                <w:rFonts w:hint="eastAsia"/>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continue"/>
            <w:noWrap w:val="0"/>
            <w:vAlign w:val="center"/>
          </w:tcPr>
          <w:p>
            <w:pPr>
              <w:spacing w:line="360" w:lineRule="exact"/>
              <w:jc w:val="center"/>
              <w:rPr>
                <w:szCs w:val="21"/>
                <w:highlight w:val="none"/>
              </w:rPr>
            </w:pPr>
          </w:p>
        </w:tc>
        <w:tc>
          <w:tcPr>
            <w:tcW w:w="1172" w:type="dxa"/>
            <w:vMerge w:val="continue"/>
            <w:noWrap w:val="0"/>
            <w:vAlign w:val="center"/>
          </w:tcPr>
          <w:p>
            <w:pPr>
              <w:adjustRightInd w:val="0"/>
              <w:snapToGrid w:val="0"/>
              <w:spacing w:line="360" w:lineRule="exact"/>
              <w:jc w:val="center"/>
              <w:rPr>
                <w:szCs w:val="21"/>
                <w:highlight w:val="none"/>
              </w:rPr>
            </w:pPr>
          </w:p>
        </w:tc>
        <w:tc>
          <w:tcPr>
            <w:tcW w:w="1591" w:type="dxa"/>
            <w:noWrap w:val="0"/>
            <w:vAlign w:val="center"/>
          </w:tcPr>
          <w:p>
            <w:pPr>
              <w:adjustRightInd w:val="0"/>
              <w:snapToGrid w:val="0"/>
              <w:spacing w:line="360" w:lineRule="exact"/>
              <w:jc w:val="center"/>
              <w:rPr>
                <w:szCs w:val="21"/>
                <w:highlight w:val="none"/>
              </w:rPr>
            </w:pPr>
            <w:r>
              <w:rPr>
                <w:szCs w:val="21"/>
                <w:highlight w:val="none"/>
              </w:rPr>
              <w:t>NH</w:t>
            </w:r>
            <w:r>
              <w:rPr>
                <w:szCs w:val="21"/>
                <w:highlight w:val="none"/>
                <w:vertAlign w:val="subscript"/>
              </w:rPr>
              <w:t>3</w:t>
            </w:r>
            <w:r>
              <w:rPr>
                <w:szCs w:val="21"/>
                <w:highlight w:val="none"/>
              </w:rPr>
              <w:t>-N</w:t>
            </w:r>
          </w:p>
        </w:tc>
        <w:tc>
          <w:tcPr>
            <w:tcW w:w="3864" w:type="dxa"/>
            <w:vMerge w:val="continue"/>
            <w:noWrap w:val="0"/>
            <w:vAlign w:val="center"/>
          </w:tcPr>
          <w:p>
            <w:pPr>
              <w:adjustRightInd w:val="0"/>
              <w:snapToGrid w:val="0"/>
              <w:spacing w:line="360" w:lineRule="exact"/>
              <w:jc w:val="center"/>
              <w:rPr>
                <w:szCs w:val="21"/>
                <w:highlight w:val="none"/>
              </w:rPr>
            </w:pP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continue"/>
            <w:noWrap w:val="0"/>
            <w:vAlign w:val="center"/>
          </w:tcPr>
          <w:p>
            <w:pPr>
              <w:spacing w:line="360" w:lineRule="exact"/>
              <w:jc w:val="center"/>
              <w:rPr>
                <w:szCs w:val="21"/>
                <w:highlight w:val="none"/>
              </w:rPr>
            </w:pPr>
          </w:p>
        </w:tc>
        <w:tc>
          <w:tcPr>
            <w:tcW w:w="1172" w:type="dxa"/>
            <w:vMerge w:val="continue"/>
            <w:noWrap w:val="0"/>
            <w:vAlign w:val="center"/>
          </w:tcPr>
          <w:p>
            <w:pPr>
              <w:adjustRightInd w:val="0"/>
              <w:snapToGrid w:val="0"/>
              <w:spacing w:line="360" w:lineRule="exact"/>
              <w:jc w:val="center"/>
              <w:rPr>
                <w:szCs w:val="21"/>
                <w:highlight w:val="none"/>
              </w:rPr>
            </w:pPr>
          </w:p>
        </w:tc>
        <w:tc>
          <w:tcPr>
            <w:tcW w:w="1591" w:type="dxa"/>
            <w:noWrap w:val="0"/>
            <w:vAlign w:val="center"/>
          </w:tcPr>
          <w:p>
            <w:pPr>
              <w:adjustRightInd w:val="0"/>
              <w:snapToGrid w:val="0"/>
              <w:spacing w:line="360" w:lineRule="exact"/>
              <w:jc w:val="center"/>
              <w:rPr>
                <w:szCs w:val="21"/>
                <w:highlight w:val="none"/>
              </w:rPr>
            </w:pPr>
            <w:r>
              <w:rPr>
                <w:szCs w:val="21"/>
                <w:highlight w:val="none"/>
              </w:rPr>
              <w:t>SS</w:t>
            </w:r>
          </w:p>
        </w:tc>
        <w:tc>
          <w:tcPr>
            <w:tcW w:w="3864" w:type="dxa"/>
            <w:vMerge w:val="continue"/>
            <w:noWrap w:val="0"/>
            <w:vAlign w:val="center"/>
          </w:tcPr>
          <w:p>
            <w:pPr>
              <w:adjustRightInd w:val="0"/>
              <w:snapToGrid w:val="0"/>
              <w:spacing w:line="360" w:lineRule="exact"/>
              <w:jc w:val="center"/>
              <w:rPr>
                <w:szCs w:val="21"/>
                <w:highlight w:val="none"/>
              </w:rPr>
            </w:pP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continue"/>
            <w:noWrap w:val="0"/>
            <w:vAlign w:val="center"/>
          </w:tcPr>
          <w:p>
            <w:pPr>
              <w:spacing w:line="360" w:lineRule="exact"/>
              <w:jc w:val="center"/>
              <w:rPr>
                <w:szCs w:val="21"/>
                <w:highlight w:val="none"/>
              </w:rPr>
            </w:pPr>
          </w:p>
        </w:tc>
        <w:tc>
          <w:tcPr>
            <w:tcW w:w="1172" w:type="dxa"/>
            <w:vMerge w:val="continue"/>
            <w:noWrap w:val="0"/>
            <w:vAlign w:val="center"/>
          </w:tcPr>
          <w:p>
            <w:pPr>
              <w:adjustRightInd w:val="0"/>
              <w:snapToGrid w:val="0"/>
              <w:spacing w:line="360" w:lineRule="exact"/>
              <w:jc w:val="center"/>
              <w:rPr>
                <w:szCs w:val="21"/>
                <w:highlight w:val="none"/>
              </w:rPr>
            </w:pPr>
          </w:p>
        </w:tc>
        <w:tc>
          <w:tcPr>
            <w:tcW w:w="1591" w:type="dxa"/>
            <w:noWrap w:val="0"/>
            <w:vAlign w:val="center"/>
          </w:tcPr>
          <w:p>
            <w:pPr>
              <w:adjustRightInd w:val="0"/>
              <w:snapToGrid w:val="0"/>
              <w:spacing w:line="360" w:lineRule="exact"/>
              <w:jc w:val="center"/>
              <w:rPr>
                <w:rFonts w:hint="eastAsia" w:eastAsia="宋体"/>
                <w:szCs w:val="21"/>
                <w:highlight w:val="none"/>
                <w:lang w:eastAsia="zh-CN"/>
              </w:rPr>
            </w:pPr>
            <w:r>
              <w:rPr>
                <w:rFonts w:hint="eastAsia"/>
                <w:szCs w:val="21"/>
                <w:highlight w:val="none"/>
                <w:lang w:eastAsia="zh-CN"/>
              </w:rPr>
              <w:t>阴离子表面活性剂</w:t>
            </w:r>
          </w:p>
        </w:tc>
        <w:tc>
          <w:tcPr>
            <w:tcW w:w="3864" w:type="dxa"/>
            <w:vMerge w:val="continue"/>
            <w:noWrap w:val="0"/>
            <w:vAlign w:val="center"/>
          </w:tcPr>
          <w:p>
            <w:pPr>
              <w:adjustRightInd w:val="0"/>
              <w:snapToGrid w:val="0"/>
              <w:spacing w:line="360" w:lineRule="exact"/>
              <w:jc w:val="center"/>
              <w:rPr>
                <w:szCs w:val="21"/>
                <w:highlight w:val="none"/>
              </w:rPr>
            </w:pP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vMerge w:val="continue"/>
            <w:noWrap w:val="0"/>
            <w:vAlign w:val="center"/>
          </w:tcPr>
          <w:p>
            <w:pPr>
              <w:spacing w:line="360" w:lineRule="exact"/>
              <w:jc w:val="center"/>
              <w:rPr>
                <w:szCs w:val="21"/>
                <w:highlight w:val="none"/>
              </w:rPr>
            </w:pPr>
          </w:p>
        </w:tc>
        <w:tc>
          <w:tcPr>
            <w:tcW w:w="1172" w:type="dxa"/>
            <w:vMerge w:val="continue"/>
            <w:noWrap w:val="0"/>
            <w:vAlign w:val="center"/>
          </w:tcPr>
          <w:p>
            <w:pPr>
              <w:adjustRightInd w:val="0"/>
              <w:snapToGrid w:val="0"/>
              <w:spacing w:line="360" w:lineRule="exact"/>
              <w:jc w:val="center"/>
              <w:rPr>
                <w:szCs w:val="21"/>
                <w:highlight w:val="none"/>
              </w:rPr>
            </w:pPr>
          </w:p>
        </w:tc>
        <w:tc>
          <w:tcPr>
            <w:tcW w:w="1591" w:type="dxa"/>
            <w:noWrap w:val="0"/>
            <w:vAlign w:val="center"/>
          </w:tcPr>
          <w:p>
            <w:pPr>
              <w:adjustRightInd w:val="0"/>
              <w:snapToGrid w:val="0"/>
              <w:spacing w:line="360" w:lineRule="exact"/>
              <w:jc w:val="center"/>
              <w:rPr>
                <w:szCs w:val="21"/>
                <w:highlight w:val="none"/>
              </w:rPr>
            </w:pPr>
            <w:r>
              <w:rPr>
                <w:rFonts w:hAnsi="宋体"/>
                <w:szCs w:val="21"/>
                <w:highlight w:val="none"/>
              </w:rPr>
              <w:t>粪大肠菌群</w:t>
            </w:r>
          </w:p>
        </w:tc>
        <w:tc>
          <w:tcPr>
            <w:tcW w:w="3864" w:type="dxa"/>
            <w:vMerge w:val="continue"/>
            <w:noWrap w:val="0"/>
            <w:vAlign w:val="center"/>
          </w:tcPr>
          <w:p>
            <w:pPr>
              <w:adjustRightInd w:val="0"/>
              <w:snapToGrid w:val="0"/>
              <w:spacing w:line="360" w:lineRule="exact"/>
              <w:jc w:val="center"/>
              <w:rPr>
                <w:szCs w:val="21"/>
                <w:highlight w:val="none"/>
              </w:rPr>
            </w:pP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1068" w:type="dxa"/>
            <w:vMerge w:val="restart"/>
            <w:noWrap w:val="0"/>
            <w:vAlign w:val="center"/>
          </w:tcPr>
          <w:p>
            <w:pPr>
              <w:spacing w:line="360" w:lineRule="exact"/>
              <w:jc w:val="center"/>
              <w:rPr>
                <w:rFonts w:hint="eastAsia"/>
                <w:szCs w:val="21"/>
                <w:highlight w:val="none"/>
              </w:rPr>
            </w:pPr>
            <w:r>
              <w:rPr>
                <w:szCs w:val="21"/>
                <w:highlight w:val="none"/>
              </w:rPr>
              <w:t>固</w:t>
            </w:r>
          </w:p>
          <w:p>
            <w:pPr>
              <w:spacing w:line="360" w:lineRule="exact"/>
              <w:jc w:val="center"/>
              <w:rPr>
                <w:szCs w:val="21"/>
                <w:highlight w:val="none"/>
              </w:rPr>
            </w:pPr>
            <w:r>
              <w:rPr>
                <w:szCs w:val="21"/>
                <w:highlight w:val="none"/>
              </w:rPr>
              <w:t>体</w:t>
            </w:r>
          </w:p>
          <w:p>
            <w:pPr>
              <w:spacing w:line="360" w:lineRule="exact"/>
              <w:jc w:val="center"/>
              <w:rPr>
                <w:rFonts w:hint="eastAsia"/>
                <w:szCs w:val="21"/>
                <w:highlight w:val="none"/>
              </w:rPr>
            </w:pPr>
            <w:r>
              <w:rPr>
                <w:szCs w:val="21"/>
                <w:highlight w:val="none"/>
              </w:rPr>
              <w:t>废</w:t>
            </w:r>
          </w:p>
          <w:p>
            <w:pPr>
              <w:spacing w:line="360" w:lineRule="exact"/>
              <w:jc w:val="center"/>
              <w:rPr>
                <w:szCs w:val="21"/>
                <w:highlight w:val="none"/>
              </w:rPr>
            </w:pPr>
            <w:r>
              <w:rPr>
                <w:szCs w:val="21"/>
                <w:highlight w:val="none"/>
              </w:rPr>
              <w:t>物</w:t>
            </w:r>
          </w:p>
        </w:tc>
        <w:tc>
          <w:tcPr>
            <w:tcW w:w="1172" w:type="dxa"/>
            <w:noWrap w:val="0"/>
            <w:vAlign w:val="center"/>
          </w:tcPr>
          <w:p>
            <w:pPr>
              <w:adjustRightInd w:val="0"/>
              <w:snapToGrid w:val="0"/>
              <w:spacing w:line="360" w:lineRule="exact"/>
              <w:jc w:val="center"/>
              <w:rPr>
                <w:rFonts w:hint="eastAsia"/>
                <w:szCs w:val="21"/>
                <w:highlight w:val="none"/>
              </w:rPr>
            </w:pPr>
            <w:r>
              <w:rPr>
                <w:rFonts w:hint="eastAsia" w:hAnsi="宋体"/>
                <w:color w:val="000000"/>
                <w:szCs w:val="21"/>
                <w:highlight w:val="none"/>
              </w:rPr>
              <w:t>办公生活</w:t>
            </w:r>
          </w:p>
        </w:tc>
        <w:tc>
          <w:tcPr>
            <w:tcW w:w="1591" w:type="dxa"/>
            <w:noWrap w:val="0"/>
            <w:vAlign w:val="center"/>
          </w:tcPr>
          <w:p>
            <w:pPr>
              <w:adjustRightInd w:val="0"/>
              <w:snapToGrid w:val="0"/>
              <w:spacing w:line="360" w:lineRule="exact"/>
              <w:jc w:val="center"/>
              <w:rPr>
                <w:rFonts w:hint="eastAsia" w:hAnsi="宋体"/>
                <w:bCs/>
                <w:szCs w:val="21"/>
                <w:highlight w:val="none"/>
              </w:rPr>
            </w:pPr>
            <w:r>
              <w:rPr>
                <w:rFonts w:hint="eastAsia" w:hAnsi="宋体"/>
                <w:szCs w:val="21"/>
                <w:highlight w:val="none"/>
              </w:rPr>
              <w:t>生活垃圾</w:t>
            </w:r>
          </w:p>
        </w:tc>
        <w:tc>
          <w:tcPr>
            <w:tcW w:w="3864" w:type="dxa"/>
            <w:noWrap w:val="0"/>
            <w:vAlign w:val="center"/>
          </w:tcPr>
          <w:p>
            <w:pPr>
              <w:adjustRightInd w:val="0"/>
              <w:snapToGrid w:val="0"/>
              <w:spacing w:line="360" w:lineRule="exact"/>
              <w:jc w:val="center"/>
              <w:rPr>
                <w:bCs/>
                <w:szCs w:val="21"/>
                <w:highlight w:val="none"/>
              </w:rPr>
            </w:pPr>
            <w:r>
              <w:rPr>
                <w:rFonts w:hint="eastAsia" w:hAnsi="宋体"/>
                <w:szCs w:val="21"/>
                <w:highlight w:val="none"/>
              </w:rPr>
              <w:t>交由环卫部门处理</w:t>
            </w:r>
          </w:p>
        </w:tc>
        <w:tc>
          <w:tcPr>
            <w:tcW w:w="1185" w:type="dxa"/>
            <w:vMerge w:val="restart"/>
            <w:noWrap w:val="0"/>
            <w:vAlign w:val="center"/>
          </w:tcPr>
          <w:p>
            <w:pPr>
              <w:adjustRightInd w:val="0"/>
              <w:snapToGrid w:val="0"/>
              <w:spacing w:line="360" w:lineRule="exact"/>
              <w:jc w:val="center"/>
              <w:rPr>
                <w:bCs/>
                <w:szCs w:val="21"/>
                <w:highlight w:val="none"/>
              </w:rPr>
            </w:pPr>
            <w:r>
              <w:rPr>
                <w:bCs/>
                <w:szCs w:val="21"/>
                <w:highlight w:val="none"/>
              </w:rPr>
              <w:t>合理处置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1068" w:type="dxa"/>
            <w:vMerge w:val="continue"/>
            <w:noWrap w:val="0"/>
            <w:vAlign w:val="center"/>
          </w:tcPr>
          <w:p>
            <w:pPr>
              <w:spacing w:line="360" w:lineRule="exact"/>
              <w:jc w:val="center"/>
              <w:rPr>
                <w:szCs w:val="21"/>
                <w:highlight w:val="none"/>
              </w:rPr>
            </w:pPr>
          </w:p>
        </w:tc>
        <w:tc>
          <w:tcPr>
            <w:tcW w:w="1172" w:type="dxa"/>
            <w:noWrap w:val="0"/>
            <w:vAlign w:val="center"/>
          </w:tcPr>
          <w:p>
            <w:pPr>
              <w:adjustRightInd w:val="0"/>
              <w:snapToGrid w:val="0"/>
              <w:spacing w:line="360" w:lineRule="exact"/>
              <w:jc w:val="center"/>
              <w:rPr>
                <w:color w:val="000000"/>
                <w:szCs w:val="21"/>
                <w:highlight w:val="none"/>
              </w:rPr>
            </w:pPr>
            <w:r>
              <w:rPr>
                <w:rFonts w:hint="eastAsia"/>
                <w:bCs/>
                <w:szCs w:val="21"/>
                <w:highlight w:val="none"/>
              </w:rPr>
              <w:t>检查</w:t>
            </w:r>
          </w:p>
        </w:tc>
        <w:tc>
          <w:tcPr>
            <w:tcW w:w="1591" w:type="dxa"/>
            <w:noWrap w:val="0"/>
            <w:vAlign w:val="center"/>
          </w:tcPr>
          <w:p>
            <w:pPr>
              <w:adjustRightInd w:val="0"/>
              <w:snapToGrid w:val="0"/>
              <w:spacing w:line="360" w:lineRule="exact"/>
              <w:jc w:val="center"/>
              <w:rPr>
                <w:rFonts w:hint="eastAsia" w:hAnsi="宋体"/>
                <w:szCs w:val="21"/>
                <w:highlight w:val="none"/>
              </w:rPr>
            </w:pPr>
            <w:r>
              <w:rPr>
                <w:rFonts w:hint="eastAsia"/>
                <w:bCs/>
                <w:szCs w:val="21"/>
                <w:highlight w:val="none"/>
              </w:rPr>
              <w:t>医疗废物</w:t>
            </w:r>
          </w:p>
        </w:tc>
        <w:tc>
          <w:tcPr>
            <w:tcW w:w="3864" w:type="dxa"/>
            <w:noWrap w:val="0"/>
            <w:vAlign w:val="center"/>
          </w:tcPr>
          <w:p>
            <w:pPr>
              <w:widowControl/>
              <w:jc w:val="center"/>
              <w:rPr>
                <w:rFonts w:hint="eastAsia" w:ascii="宋体" w:hAnsi="宋体"/>
                <w:szCs w:val="21"/>
                <w:highlight w:val="none"/>
              </w:rPr>
            </w:pPr>
            <w:r>
              <w:rPr>
                <w:rFonts w:hint="eastAsia"/>
                <w:bCs/>
                <w:szCs w:val="21"/>
                <w:highlight w:val="none"/>
              </w:rPr>
              <w:t>暂存于医疗废物暂存间，交由</w:t>
            </w:r>
            <w:r>
              <w:rPr>
                <w:rFonts w:hint="eastAsia"/>
                <w:bCs/>
                <w:szCs w:val="21"/>
                <w:highlight w:val="none"/>
                <w:lang w:eastAsia="zh-CN"/>
              </w:rPr>
              <w:t>有资质单位</w:t>
            </w:r>
            <w:r>
              <w:rPr>
                <w:rFonts w:hint="eastAsia"/>
                <w:bCs/>
                <w:szCs w:val="21"/>
                <w:highlight w:val="none"/>
              </w:rPr>
              <w:t>处置</w:t>
            </w: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1068" w:type="dxa"/>
            <w:vMerge w:val="continue"/>
            <w:noWrap w:val="0"/>
            <w:vAlign w:val="center"/>
          </w:tcPr>
          <w:p>
            <w:pPr>
              <w:spacing w:line="360" w:lineRule="exact"/>
              <w:jc w:val="center"/>
              <w:rPr>
                <w:szCs w:val="21"/>
                <w:highlight w:val="none"/>
              </w:rPr>
            </w:pPr>
          </w:p>
        </w:tc>
        <w:tc>
          <w:tcPr>
            <w:tcW w:w="1172" w:type="dxa"/>
            <w:noWrap w:val="0"/>
            <w:vAlign w:val="center"/>
          </w:tcPr>
          <w:p>
            <w:pPr>
              <w:adjustRightInd w:val="0"/>
              <w:snapToGrid w:val="0"/>
              <w:spacing w:line="360" w:lineRule="exact"/>
              <w:jc w:val="center"/>
              <w:rPr>
                <w:rFonts w:hint="eastAsia" w:eastAsia="宋体"/>
                <w:bCs/>
                <w:szCs w:val="21"/>
                <w:highlight w:val="none"/>
                <w:lang w:eastAsia="zh-CN"/>
              </w:rPr>
            </w:pPr>
            <w:r>
              <w:rPr>
                <w:rFonts w:hint="eastAsia"/>
                <w:bCs/>
                <w:szCs w:val="21"/>
                <w:highlight w:val="none"/>
                <w:lang w:eastAsia="zh-CN"/>
              </w:rPr>
              <w:t>化粪池</w:t>
            </w:r>
          </w:p>
        </w:tc>
        <w:tc>
          <w:tcPr>
            <w:tcW w:w="1591" w:type="dxa"/>
            <w:noWrap w:val="0"/>
            <w:vAlign w:val="center"/>
          </w:tcPr>
          <w:p>
            <w:pPr>
              <w:adjustRightInd w:val="0"/>
              <w:snapToGrid w:val="0"/>
              <w:spacing w:line="360" w:lineRule="exact"/>
              <w:jc w:val="center"/>
              <w:rPr>
                <w:rFonts w:hint="eastAsia" w:eastAsia="宋体"/>
                <w:bCs/>
                <w:szCs w:val="21"/>
                <w:highlight w:val="none"/>
                <w:lang w:eastAsia="zh-CN"/>
              </w:rPr>
            </w:pPr>
            <w:r>
              <w:rPr>
                <w:rFonts w:hint="eastAsia"/>
                <w:bCs/>
                <w:szCs w:val="21"/>
                <w:highlight w:val="none"/>
                <w:lang w:eastAsia="zh-CN"/>
              </w:rPr>
              <w:t>污泥</w:t>
            </w:r>
          </w:p>
        </w:tc>
        <w:tc>
          <w:tcPr>
            <w:tcW w:w="3864" w:type="dxa"/>
            <w:noWrap w:val="0"/>
            <w:vAlign w:val="center"/>
          </w:tcPr>
          <w:p>
            <w:pPr>
              <w:widowControl/>
              <w:jc w:val="center"/>
              <w:rPr>
                <w:rFonts w:hint="eastAsia"/>
                <w:bCs/>
                <w:szCs w:val="21"/>
                <w:highlight w:val="none"/>
              </w:rPr>
            </w:pPr>
            <w:r>
              <w:rPr>
                <w:rFonts w:hint="eastAsia"/>
                <w:bCs/>
                <w:szCs w:val="21"/>
                <w:highlight w:val="none"/>
              </w:rPr>
              <w:t>定期清理、消毒处理后，</w:t>
            </w:r>
            <w:r>
              <w:rPr>
                <w:bCs/>
                <w:szCs w:val="21"/>
                <w:highlight w:val="none"/>
              </w:rPr>
              <w:t>交由</w:t>
            </w:r>
            <w:r>
              <w:rPr>
                <w:rFonts w:hint="eastAsia"/>
                <w:bCs/>
                <w:szCs w:val="21"/>
                <w:highlight w:val="none"/>
              </w:rPr>
              <w:t>资质单位</w:t>
            </w:r>
            <w:r>
              <w:rPr>
                <w:bCs/>
                <w:szCs w:val="21"/>
                <w:highlight w:val="none"/>
              </w:rPr>
              <w:t>处理</w:t>
            </w:r>
          </w:p>
        </w:tc>
        <w:tc>
          <w:tcPr>
            <w:tcW w:w="1185" w:type="dxa"/>
            <w:vMerge w:val="continue"/>
            <w:noWrap w:val="0"/>
            <w:vAlign w:val="center"/>
          </w:tcPr>
          <w:p>
            <w:pPr>
              <w:adjustRightInd w:val="0"/>
              <w:snapToGrid w:val="0"/>
              <w:spacing w:line="360" w:lineRule="exact"/>
              <w:jc w:val="center"/>
              <w:rPr>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068" w:type="dxa"/>
            <w:noWrap w:val="0"/>
            <w:vAlign w:val="center"/>
          </w:tcPr>
          <w:p>
            <w:pPr>
              <w:spacing w:line="360" w:lineRule="exact"/>
              <w:jc w:val="center"/>
              <w:rPr>
                <w:szCs w:val="21"/>
                <w:highlight w:val="none"/>
              </w:rPr>
            </w:pPr>
            <w:r>
              <w:rPr>
                <w:szCs w:val="21"/>
                <w:highlight w:val="none"/>
              </w:rPr>
              <w:t>噪</w:t>
            </w:r>
          </w:p>
          <w:p>
            <w:pPr>
              <w:spacing w:line="360" w:lineRule="exact"/>
              <w:jc w:val="center"/>
              <w:rPr>
                <w:szCs w:val="21"/>
                <w:highlight w:val="none"/>
              </w:rPr>
            </w:pPr>
            <w:r>
              <w:rPr>
                <w:szCs w:val="21"/>
                <w:highlight w:val="none"/>
              </w:rPr>
              <w:t>声</w:t>
            </w:r>
          </w:p>
        </w:tc>
        <w:tc>
          <w:tcPr>
            <w:tcW w:w="7812" w:type="dxa"/>
            <w:gridSpan w:val="4"/>
            <w:noWrap w:val="0"/>
            <w:vAlign w:val="center"/>
          </w:tcPr>
          <w:p>
            <w:pPr>
              <w:spacing w:line="360" w:lineRule="exact"/>
              <w:jc w:val="center"/>
              <w:rPr>
                <w:rFonts w:hint="eastAsia"/>
                <w:szCs w:val="21"/>
                <w:highlight w:val="none"/>
              </w:rPr>
            </w:pPr>
            <w:r>
              <w:rPr>
                <w:rFonts w:hint="eastAsia"/>
                <w:bCs/>
                <w:szCs w:val="21"/>
                <w:highlight w:val="none"/>
              </w:rPr>
              <w:t>项目主要噪声为空调风机产生的机械噪声，采用低噪声及振动小的设备，隔声罩后对外界声环境影响较小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068" w:type="dxa"/>
            <w:noWrap w:val="0"/>
            <w:vAlign w:val="center"/>
          </w:tcPr>
          <w:p>
            <w:pPr>
              <w:spacing w:line="360" w:lineRule="exact"/>
              <w:jc w:val="center"/>
              <w:rPr>
                <w:szCs w:val="21"/>
                <w:highlight w:val="none"/>
              </w:rPr>
            </w:pPr>
            <w:r>
              <w:rPr>
                <w:szCs w:val="21"/>
                <w:highlight w:val="none"/>
              </w:rPr>
              <w:t>其它</w:t>
            </w:r>
          </w:p>
        </w:tc>
        <w:tc>
          <w:tcPr>
            <w:tcW w:w="7812" w:type="dxa"/>
            <w:gridSpan w:val="4"/>
            <w:noWrap w:val="0"/>
            <w:vAlign w:val="center"/>
          </w:tcPr>
          <w:p>
            <w:pPr>
              <w:spacing w:line="360" w:lineRule="exact"/>
              <w:jc w:val="center"/>
              <w:rPr>
                <w:szCs w:val="21"/>
                <w:highlight w:val="none"/>
              </w:rPr>
            </w:pPr>
            <w:r>
              <w:rPr>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2" w:hRule="atLeast"/>
          <w:jc w:val="center"/>
        </w:trPr>
        <w:tc>
          <w:tcPr>
            <w:tcW w:w="8880" w:type="dxa"/>
            <w:gridSpan w:val="5"/>
            <w:noWrap w:val="0"/>
            <w:vAlign w:val="center"/>
          </w:tcPr>
          <w:p>
            <w:pPr>
              <w:adjustRightInd w:val="0"/>
              <w:snapToGrid w:val="0"/>
              <w:jc w:val="center"/>
              <w:rPr>
                <w:b/>
                <w:sz w:val="28"/>
                <w:szCs w:val="28"/>
                <w:highlight w:val="none"/>
              </w:rPr>
            </w:pPr>
          </w:p>
          <w:p>
            <w:pPr>
              <w:adjustRightInd w:val="0"/>
              <w:snapToGrid w:val="0"/>
              <w:rPr>
                <w:rFonts w:hAnsi="宋体"/>
                <w:kern w:val="24"/>
                <w:sz w:val="24"/>
                <w:szCs w:val="24"/>
                <w:highlight w:val="none"/>
              </w:rPr>
            </w:pPr>
            <w:r>
              <w:rPr>
                <w:b/>
                <w:sz w:val="28"/>
                <w:szCs w:val="28"/>
                <w:highlight w:val="none"/>
              </w:rPr>
              <w:t>主要生态影响(不够时可附另页)：</w:t>
            </w:r>
          </w:p>
          <w:p>
            <w:pPr>
              <w:spacing w:line="480" w:lineRule="exact"/>
              <w:ind w:firstLine="480" w:firstLineChars="200"/>
              <w:rPr>
                <w:rFonts w:hint="eastAsia" w:eastAsia="宋体"/>
                <w:sz w:val="24"/>
                <w:highlight w:val="none"/>
                <w:lang w:eastAsia="zh-CN"/>
              </w:rPr>
            </w:pPr>
            <w:r>
              <w:rPr>
                <w:rFonts w:hint="eastAsia"/>
                <w:sz w:val="24"/>
                <w:highlight w:val="none"/>
              </w:rPr>
              <w:t>项目位于</w:t>
            </w:r>
            <w:r>
              <w:rPr>
                <w:rFonts w:hint="eastAsia" w:ascii="宋体" w:hAnsi="宋体"/>
                <w:sz w:val="24"/>
                <w:szCs w:val="24"/>
                <w:highlight w:val="none"/>
              </w:rPr>
              <w:t>迁安市惠安大街北侧</w:t>
            </w:r>
            <w:r>
              <w:rPr>
                <w:rFonts w:hint="eastAsia"/>
                <w:sz w:val="24"/>
                <w:highlight w:val="none"/>
              </w:rPr>
              <w:t>，</w:t>
            </w:r>
            <w:r>
              <w:rPr>
                <w:rFonts w:hint="eastAsia" w:ascii="宋体" w:hAnsi="宋体"/>
                <w:sz w:val="24"/>
                <w:szCs w:val="24"/>
                <w:highlight w:val="none"/>
              </w:rPr>
              <w:t>现人民医院</w:t>
            </w:r>
            <w:r>
              <w:rPr>
                <w:rFonts w:hint="eastAsia" w:ascii="宋体" w:hAnsi="宋体"/>
                <w:sz w:val="24"/>
                <w:szCs w:val="24"/>
                <w:highlight w:val="none"/>
                <w:lang w:eastAsia="zh-CN"/>
              </w:rPr>
              <w:t>院</w:t>
            </w:r>
            <w:r>
              <w:rPr>
                <w:rFonts w:hint="eastAsia" w:ascii="宋体" w:hAnsi="宋体"/>
                <w:sz w:val="24"/>
                <w:szCs w:val="24"/>
                <w:highlight w:val="none"/>
              </w:rPr>
              <w:t>内，不新增占地，本项目仅为建筑物的装修和设备安装，不会对周边区域产生生态影响</w:t>
            </w:r>
            <w:r>
              <w:rPr>
                <w:rFonts w:hint="eastAsia" w:ascii="宋体" w:hAnsi="宋体"/>
                <w:sz w:val="24"/>
                <w:szCs w:val="24"/>
                <w:highlight w:val="none"/>
                <w:lang w:eastAsia="zh-CN"/>
              </w:rPr>
              <w:t>。</w:t>
            </w:r>
          </w:p>
          <w:p>
            <w:pPr>
              <w:pStyle w:val="6"/>
              <w:adjustRightInd w:val="0"/>
              <w:snapToGrid w:val="0"/>
              <w:spacing w:line="360" w:lineRule="auto"/>
              <w:ind w:firstLine="480" w:firstLineChars="200"/>
              <w:jc w:val="center"/>
              <w:rPr>
                <w:rFonts w:hint="eastAsia" w:hAnsi="宋体"/>
                <w:kern w:val="24"/>
                <w:sz w:val="24"/>
                <w:szCs w:val="24"/>
                <w:highlight w:val="none"/>
              </w:rPr>
            </w:pPr>
          </w:p>
          <w:p>
            <w:pPr>
              <w:pStyle w:val="6"/>
              <w:ind w:firstLine="0"/>
              <w:jc w:val="center"/>
              <w:rPr>
                <w:rFonts w:hint="eastAsia" w:ascii="宋体" w:hAnsi="宋体"/>
                <w:kern w:val="2"/>
                <w:sz w:val="24"/>
                <w:szCs w:val="24"/>
                <w:highlight w:val="none"/>
                <w:lang w:val="en-US" w:eastAsia="zh-CN" w:bidi="ar-SA"/>
              </w:rPr>
            </w:pPr>
          </w:p>
          <w:p>
            <w:pPr>
              <w:pStyle w:val="6"/>
              <w:ind w:firstLine="0"/>
              <w:rPr>
                <w:rFonts w:hint="eastAsia"/>
                <w:szCs w:val="21"/>
                <w:highlight w:val="none"/>
              </w:rPr>
            </w:pPr>
          </w:p>
          <w:p>
            <w:pPr>
              <w:pStyle w:val="6"/>
              <w:ind w:firstLine="0"/>
              <w:rPr>
                <w:rFonts w:hint="eastAsia"/>
                <w:szCs w:val="21"/>
                <w:highlight w:val="none"/>
              </w:rPr>
            </w:pPr>
          </w:p>
          <w:p>
            <w:pPr>
              <w:pStyle w:val="7"/>
              <w:rPr>
                <w:rFonts w:hint="eastAsia"/>
                <w:szCs w:val="21"/>
                <w:highlight w:val="none"/>
              </w:rPr>
            </w:pPr>
          </w:p>
          <w:p>
            <w:pPr>
              <w:rPr>
                <w:rFonts w:hint="eastAsia"/>
              </w:rPr>
            </w:pPr>
          </w:p>
          <w:p>
            <w:pPr>
              <w:pStyle w:val="6"/>
              <w:ind w:firstLine="0"/>
              <w:rPr>
                <w:rFonts w:hint="eastAsia"/>
                <w:szCs w:val="21"/>
                <w:highlight w:val="none"/>
              </w:rPr>
            </w:pPr>
          </w:p>
          <w:p>
            <w:pPr>
              <w:pStyle w:val="6"/>
              <w:ind w:firstLine="0"/>
              <w:rPr>
                <w:rFonts w:hint="eastAsia"/>
                <w:szCs w:val="21"/>
                <w:highlight w:val="none"/>
              </w:rPr>
            </w:pPr>
          </w:p>
          <w:p>
            <w:pPr>
              <w:pStyle w:val="6"/>
              <w:ind w:firstLine="0"/>
              <w:rPr>
                <w:rFonts w:hint="eastAsia"/>
                <w:szCs w:val="21"/>
                <w:highlight w:val="none"/>
              </w:rPr>
            </w:pPr>
          </w:p>
          <w:p>
            <w:pPr>
              <w:pStyle w:val="6"/>
              <w:ind w:firstLine="0"/>
              <w:rPr>
                <w:rFonts w:hint="eastAsia"/>
                <w:szCs w:val="21"/>
                <w:highlight w:val="none"/>
              </w:rPr>
            </w:pPr>
          </w:p>
          <w:p>
            <w:pPr>
              <w:pStyle w:val="6"/>
              <w:ind w:firstLine="0"/>
              <w:rPr>
                <w:rFonts w:hint="eastAsia"/>
                <w:szCs w:val="21"/>
                <w:highlight w:val="none"/>
              </w:rPr>
            </w:pPr>
          </w:p>
          <w:p>
            <w:pPr>
              <w:pStyle w:val="6"/>
              <w:ind w:firstLine="0"/>
              <w:rPr>
                <w:rFonts w:hint="eastAsia"/>
                <w:szCs w:val="21"/>
                <w:highlight w:val="none"/>
              </w:rPr>
            </w:pPr>
          </w:p>
        </w:tc>
      </w:tr>
    </w:tbl>
    <w:p>
      <w:pPr>
        <w:pStyle w:val="46"/>
        <w:jc w:val="left"/>
        <w:outlineLvl w:val="0"/>
        <w:rPr>
          <w:rFonts w:hint="eastAsia" w:ascii="宋体" w:hAnsi="宋体" w:cs="宋体"/>
          <w:b/>
          <w:sz w:val="28"/>
          <w:szCs w:val="28"/>
          <w:highlight w:val="none"/>
        </w:rPr>
      </w:pPr>
      <w:r>
        <w:rPr>
          <w:rFonts w:hint="eastAsia" w:eastAsia="黑体"/>
          <w:b/>
          <w:spacing w:val="0"/>
          <w:szCs w:val="32"/>
          <w:highlight w:val="none"/>
        </w:rPr>
        <w:t>结论与建议</w:t>
      </w:r>
    </w:p>
    <w:tbl>
      <w:tblPr>
        <w:tblStyle w:val="36"/>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1" w:hRule="atLeast"/>
          <w:jc w:val="center"/>
        </w:trPr>
        <w:tc>
          <w:tcPr>
            <w:tcW w:w="9020" w:type="dxa"/>
            <w:noWrap w:val="0"/>
            <w:vAlign w:val="center"/>
          </w:tcPr>
          <w:p>
            <w:pPr>
              <w:pStyle w:val="46"/>
              <w:snapToGrid w:val="0"/>
              <w:spacing w:line="480" w:lineRule="exact"/>
              <w:outlineLvl w:val="0"/>
              <w:rPr>
                <w:b/>
                <w:bCs/>
                <w:sz w:val="28"/>
                <w:szCs w:val="28"/>
                <w:highlight w:val="none"/>
              </w:rPr>
            </w:pPr>
            <w:r>
              <w:rPr>
                <w:b/>
                <w:bCs/>
                <w:sz w:val="28"/>
                <w:szCs w:val="28"/>
                <w:highlight w:val="none"/>
              </w:rPr>
              <w:t>一、结论</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ascii="Times New Roman" w:hAnsi="Times New Roman" w:cs="Times New Roman"/>
                <w:b/>
                <w:bCs/>
                <w:sz w:val="24"/>
                <w:szCs w:val="24"/>
                <w:highlight w:val="none"/>
              </w:rPr>
              <w:t>1</w:t>
            </w:r>
            <w:r>
              <w:rPr>
                <w:rFonts w:ascii="Times New Roman" w:hAnsi="宋体" w:cs="Times New Roman"/>
                <w:b/>
                <w:bCs/>
                <w:sz w:val="24"/>
                <w:szCs w:val="24"/>
                <w:highlight w:val="none"/>
              </w:rPr>
              <w:t>、</w:t>
            </w:r>
            <w:r>
              <w:rPr>
                <w:rFonts w:hint="eastAsia" w:ascii="Times New Roman" w:hAnsi="宋体" w:cs="Times New Roman"/>
                <w:b/>
                <w:bCs/>
                <w:sz w:val="24"/>
                <w:szCs w:val="24"/>
                <w:highlight w:val="none"/>
              </w:rPr>
              <w:t>项目</w:t>
            </w:r>
            <w:r>
              <w:rPr>
                <w:rFonts w:ascii="Times New Roman" w:hAnsi="宋体" w:cs="Times New Roman"/>
                <w:b/>
                <w:bCs/>
                <w:sz w:val="24"/>
                <w:szCs w:val="24"/>
                <w:highlight w:val="none"/>
              </w:rPr>
              <w:t>工程概况</w:t>
            </w:r>
          </w:p>
          <w:p>
            <w:pPr>
              <w:spacing w:line="360" w:lineRule="auto"/>
              <w:ind w:firstLine="480" w:firstLineChars="200"/>
              <w:rPr>
                <w:rFonts w:hint="eastAsia" w:hAnsi="宋体" w:eastAsia="宋体"/>
                <w:snapToGrid w:val="0"/>
                <w:color w:val="000000"/>
                <w:sz w:val="24"/>
                <w:szCs w:val="24"/>
                <w:highlight w:val="none"/>
                <w:lang w:val="en-US" w:eastAsia="zh-CN"/>
              </w:rPr>
            </w:pPr>
            <w:r>
              <w:rPr>
                <w:rFonts w:hint="eastAsia" w:ascii="宋体" w:hAnsi="宋体" w:cs="宋体"/>
                <w:sz w:val="24"/>
                <w:highlight w:val="none"/>
              </w:rPr>
              <w:t>迁安市健康体检管理中心新建项目</w:t>
            </w:r>
            <w:r>
              <w:rPr>
                <w:rFonts w:hint="eastAsia"/>
                <w:sz w:val="24"/>
                <w:szCs w:val="24"/>
                <w:highlight w:val="none"/>
              </w:rPr>
              <w:t>位于</w:t>
            </w:r>
            <w:r>
              <w:rPr>
                <w:rFonts w:hint="eastAsia" w:ascii="宋体" w:hAnsi="宋体"/>
                <w:sz w:val="24"/>
                <w:szCs w:val="24"/>
                <w:highlight w:val="none"/>
              </w:rPr>
              <w:t>迁安市惠安大街北侧</w:t>
            </w:r>
            <w:r>
              <w:rPr>
                <w:sz w:val="24"/>
                <w:szCs w:val="24"/>
                <w:highlight w:val="none"/>
              </w:rPr>
              <w:t>，</w:t>
            </w:r>
            <w:r>
              <w:rPr>
                <w:rFonts w:hint="eastAsia"/>
                <w:sz w:val="24"/>
                <w:szCs w:val="24"/>
                <w:highlight w:val="none"/>
                <w:lang w:eastAsia="zh-CN"/>
              </w:rPr>
              <w:t>人民医院院内，</w:t>
            </w:r>
            <w:r>
              <w:rPr>
                <w:rFonts w:hint="eastAsia"/>
                <w:sz w:val="24"/>
                <w:szCs w:val="24"/>
                <w:highlight w:val="none"/>
              </w:rPr>
              <w:t>中心地理坐标为</w:t>
            </w:r>
            <w:r>
              <w:rPr>
                <w:sz w:val="24"/>
                <w:szCs w:val="24"/>
                <w:highlight w:val="none"/>
              </w:rPr>
              <w:t>北纬</w:t>
            </w:r>
            <w:r>
              <w:rPr>
                <w:rFonts w:hint="eastAsia"/>
                <w:sz w:val="24"/>
                <w:szCs w:val="24"/>
                <w:highlight w:val="none"/>
              </w:rPr>
              <w:t>39</w:t>
            </w:r>
            <w:r>
              <w:rPr>
                <w:sz w:val="24"/>
                <w:szCs w:val="24"/>
                <w:highlight w:val="none"/>
              </w:rPr>
              <w:t>°</w:t>
            </w:r>
            <w:r>
              <w:rPr>
                <w:rFonts w:hint="eastAsia"/>
                <w:sz w:val="24"/>
                <w:szCs w:val="24"/>
                <w:highlight w:val="none"/>
              </w:rPr>
              <w:t>59</w:t>
            </w:r>
            <w:r>
              <w:rPr>
                <w:sz w:val="24"/>
                <w:szCs w:val="24"/>
                <w:highlight w:val="none"/>
              </w:rPr>
              <w:t>′</w:t>
            </w:r>
            <w:r>
              <w:rPr>
                <w:rFonts w:hint="eastAsia"/>
                <w:sz w:val="24"/>
                <w:szCs w:val="24"/>
                <w:highlight w:val="none"/>
              </w:rPr>
              <w:t>13.91</w:t>
            </w:r>
            <w:r>
              <w:rPr>
                <w:sz w:val="24"/>
                <w:szCs w:val="24"/>
                <w:highlight w:val="none"/>
              </w:rPr>
              <w:t>″、东经118°</w:t>
            </w:r>
            <w:r>
              <w:rPr>
                <w:rFonts w:hint="eastAsia"/>
                <w:sz w:val="24"/>
                <w:szCs w:val="24"/>
                <w:highlight w:val="none"/>
              </w:rPr>
              <w:t>43</w:t>
            </w:r>
            <w:r>
              <w:rPr>
                <w:sz w:val="24"/>
                <w:szCs w:val="24"/>
                <w:highlight w:val="none"/>
              </w:rPr>
              <w:t>′</w:t>
            </w:r>
            <w:r>
              <w:rPr>
                <w:rFonts w:hint="eastAsia"/>
                <w:sz w:val="24"/>
                <w:szCs w:val="24"/>
                <w:highlight w:val="none"/>
              </w:rPr>
              <w:t>29.96</w:t>
            </w:r>
            <w:r>
              <w:rPr>
                <w:sz w:val="24"/>
                <w:szCs w:val="24"/>
                <w:highlight w:val="none"/>
              </w:rPr>
              <w:t>″</w:t>
            </w:r>
            <w:r>
              <w:rPr>
                <w:rFonts w:hint="eastAsia"/>
                <w:sz w:val="24"/>
                <w:szCs w:val="24"/>
                <w:highlight w:val="none"/>
              </w:rPr>
              <w:t>，</w:t>
            </w:r>
            <w:r>
              <w:rPr>
                <w:rFonts w:hint="eastAsia" w:hAnsi="宋体"/>
                <w:sz w:val="24"/>
                <w:szCs w:val="24"/>
                <w:highlight w:val="none"/>
              </w:rPr>
              <w:t>总</w:t>
            </w:r>
            <w:r>
              <w:rPr>
                <w:rFonts w:hint="eastAsia"/>
                <w:sz w:val="24"/>
                <w:szCs w:val="24"/>
                <w:highlight w:val="none"/>
              </w:rPr>
              <w:t>建筑面积为</w:t>
            </w:r>
            <w:r>
              <w:rPr>
                <w:rFonts w:hint="eastAsia" w:hAnsi="宋体"/>
                <w:color w:val="000000"/>
                <w:sz w:val="24"/>
                <w:szCs w:val="24"/>
                <w:highlight w:val="none"/>
              </w:rPr>
              <w:t>8080</w:t>
            </w:r>
            <w:r>
              <w:rPr>
                <w:rFonts w:hint="eastAsia"/>
                <w:sz w:val="24"/>
                <w:szCs w:val="24"/>
                <w:highlight w:val="none"/>
              </w:rPr>
              <w:t>m</w:t>
            </w:r>
            <w:r>
              <w:rPr>
                <w:rFonts w:hint="eastAsia"/>
                <w:sz w:val="24"/>
                <w:szCs w:val="24"/>
                <w:highlight w:val="none"/>
                <w:vertAlign w:val="superscript"/>
              </w:rPr>
              <w:t>2</w:t>
            </w:r>
            <w:r>
              <w:rPr>
                <w:rFonts w:hint="eastAsia"/>
                <w:sz w:val="24"/>
                <w:szCs w:val="24"/>
                <w:highlight w:val="none"/>
              </w:rPr>
              <w:t>。</w:t>
            </w:r>
            <w:r>
              <w:rPr>
                <w:rFonts w:hint="eastAsia" w:ascii="宋体" w:hAnsi="宋体"/>
                <w:color w:val="000000"/>
                <w:sz w:val="24"/>
                <w:szCs w:val="24"/>
                <w:highlight w:val="none"/>
              </w:rPr>
              <w:t>首层及二层为体检项目，三层中医、健康咨询及办公区，四层VIP诊疗，五层全部为标准间。分为健康体检，健康管理和健康养护三个功能，</w:t>
            </w:r>
            <w:r>
              <w:rPr>
                <w:rFonts w:hint="eastAsia"/>
                <w:color w:val="000000"/>
                <w:sz w:val="24"/>
                <w:szCs w:val="24"/>
                <w:highlight w:val="none"/>
              </w:rPr>
              <w:t>其中医务人员60名，</w:t>
            </w:r>
            <w:r>
              <w:rPr>
                <w:color w:val="000000"/>
                <w:sz w:val="24"/>
                <w:szCs w:val="24"/>
                <w:highlight w:val="none"/>
              </w:rPr>
              <w:t>年工作天数</w:t>
            </w:r>
            <w:r>
              <w:rPr>
                <w:rFonts w:hint="eastAsia"/>
                <w:color w:val="000000"/>
                <w:sz w:val="24"/>
                <w:szCs w:val="24"/>
                <w:highlight w:val="none"/>
              </w:rPr>
              <w:t>330</w:t>
            </w:r>
            <w:r>
              <w:rPr>
                <w:color w:val="000000"/>
                <w:sz w:val="24"/>
                <w:szCs w:val="24"/>
                <w:highlight w:val="none"/>
              </w:rPr>
              <w:t>天</w:t>
            </w:r>
            <w:r>
              <w:rPr>
                <w:rFonts w:hint="eastAsia"/>
                <w:color w:val="000000"/>
                <w:sz w:val="24"/>
                <w:szCs w:val="24"/>
                <w:highlight w:val="none"/>
              </w:rPr>
              <w:t>，</w:t>
            </w:r>
            <w:r>
              <w:rPr>
                <w:rFonts w:hAnsi="宋体"/>
                <w:snapToGrid w:val="0"/>
                <w:color w:val="000000"/>
                <w:sz w:val="24"/>
                <w:szCs w:val="24"/>
                <w:highlight w:val="none"/>
              </w:rPr>
              <w:t>每天</w:t>
            </w:r>
            <w:r>
              <w:rPr>
                <w:rFonts w:hint="eastAsia" w:hAnsi="宋体"/>
                <w:snapToGrid w:val="0"/>
                <w:color w:val="000000"/>
                <w:sz w:val="24"/>
                <w:szCs w:val="24"/>
                <w:highlight w:val="none"/>
              </w:rPr>
              <w:t>体检人数约</w:t>
            </w:r>
            <w:r>
              <w:rPr>
                <w:rFonts w:hAnsi="宋体"/>
                <w:snapToGrid w:val="0"/>
                <w:color w:val="000000"/>
                <w:sz w:val="24"/>
                <w:szCs w:val="24"/>
                <w:highlight w:val="none"/>
              </w:rPr>
              <w:t>为</w:t>
            </w:r>
            <w:r>
              <w:rPr>
                <w:rFonts w:hint="eastAsia" w:hAnsi="宋体"/>
                <w:snapToGrid w:val="0"/>
                <w:color w:val="000000"/>
                <w:sz w:val="24"/>
                <w:szCs w:val="24"/>
                <w:highlight w:val="none"/>
              </w:rPr>
              <w:t>220</w:t>
            </w:r>
            <w:r>
              <w:rPr>
                <w:rFonts w:hAnsi="宋体"/>
                <w:snapToGrid w:val="0"/>
                <w:color w:val="000000"/>
                <w:sz w:val="24"/>
                <w:szCs w:val="24"/>
                <w:highlight w:val="none"/>
              </w:rPr>
              <w:t>人次。</w:t>
            </w:r>
            <w:r>
              <w:rPr>
                <w:rFonts w:hint="eastAsia"/>
                <w:bCs/>
                <w:color w:val="000000"/>
                <w:sz w:val="24"/>
                <w:szCs w:val="24"/>
                <w:highlight w:val="none"/>
                <w:lang w:eastAsia="zh-CN"/>
              </w:rPr>
              <w:t>项目建成后移交给迁安市人民医院管理使用。</w:t>
            </w:r>
          </w:p>
          <w:p>
            <w:pPr>
              <w:pStyle w:val="6"/>
              <w:adjustRightInd w:val="0"/>
              <w:snapToGrid w:val="0"/>
              <w:spacing w:line="480" w:lineRule="exact"/>
              <w:ind w:firstLine="480" w:firstLineChars="200"/>
              <w:rPr>
                <w:sz w:val="24"/>
                <w:szCs w:val="24"/>
                <w:highlight w:val="none"/>
              </w:rPr>
            </w:pPr>
            <w:r>
              <w:rPr>
                <w:bCs/>
                <w:sz w:val="24"/>
                <w:szCs w:val="24"/>
                <w:highlight w:val="none"/>
              </w:rPr>
              <w:t>（1）项目名称：</w:t>
            </w:r>
            <w:r>
              <w:rPr>
                <w:rFonts w:hint="eastAsia" w:ascii="宋体" w:hAnsi="宋体" w:cs="宋体"/>
                <w:sz w:val="24"/>
                <w:highlight w:val="none"/>
              </w:rPr>
              <w:t>迁安市健康体检管理中心新建项目</w:t>
            </w:r>
            <w:r>
              <w:rPr>
                <w:rFonts w:hint="eastAsia"/>
                <w:sz w:val="24"/>
                <w:szCs w:val="24"/>
                <w:highlight w:val="none"/>
              </w:rPr>
              <w:t>。</w:t>
            </w:r>
          </w:p>
          <w:p>
            <w:pPr>
              <w:pStyle w:val="6"/>
              <w:spacing w:line="480" w:lineRule="exact"/>
              <w:ind w:firstLine="480" w:firstLineChars="200"/>
              <w:rPr>
                <w:sz w:val="24"/>
                <w:szCs w:val="24"/>
                <w:highlight w:val="none"/>
              </w:rPr>
            </w:pPr>
            <w:r>
              <w:rPr>
                <w:sz w:val="24"/>
                <w:szCs w:val="24"/>
                <w:highlight w:val="none"/>
              </w:rPr>
              <w:t>（2）工程地点及周边关系：</w:t>
            </w:r>
            <w:r>
              <w:rPr>
                <w:rFonts w:hint="eastAsia" w:ascii="宋体" w:hAnsi="宋体" w:cs="宋体"/>
                <w:sz w:val="24"/>
                <w:highlight w:val="none"/>
              </w:rPr>
              <w:t>迁安市健康体检管理中心新建项目</w:t>
            </w:r>
            <w:r>
              <w:rPr>
                <w:rFonts w:hint="eastAsia"/>
                <w:sz w:val="24"/>
                <w:szCs w:val="24"/>
                <w:highlight w:val="none"/>
              </w:rPr>
              <w:t>位于</w:t>
            </w:r>
            <w:r>
              <w:rPr>
                <w:rFonts w:hint="eastAsia" w:ascii="宋体" w:hAnsi="宋体"/>
                <w:sz w:val="24"/>
                <w:szCs w:val="24"/>
                <w:highlight w:val="none"/>
              </w:rPr>
              <w:t>迁安市惠安大街北侧</w:t>
            </w:r>
            <w:r>
              <w:rPr>
                <w:sz w:val="24"/>
                <w:szCs w:val="24"/>
                <w:highlight w:val="none"/>
              </w:rPr>
              <w:t>，</w:t>
            </w:r>
            <w:r>
              <w:rPr>
                <w:rFonts w:hint="eastAsia"/>
                <w:sz w:val="24"/>
                <w:szCs w:val="24"/>
                <w:highlight w:val="none"/>
              </w:rPr>
              <w:t>中心地理坐标为</w:t>
            </w:r>
            <w:r>
              <w:rPr>
                <w:sz w:val="24"/>
                <w:szCs w:val="24"/>
                <w:highlight w:val="none"/>
              </w:rPr>
              <w:t>北纬</w:t>
            </w:r>
            <w:r>
              <w:rPr>
                <w:rFonts w:hint="eastAsia"/>
                <w:sz w:val="24"/>
                <w:szCs w:val="24"/>
                <w:highlight w:val="none"/>
              </w:rPr>
              <w:t>39</w:t>
            </w:r>
            <w:r>
              <w:rPr>
                <w:sz w:val="24"/>
                <w:szCs w:val="24"/>
                <w:highlight w:val="none"/>
              </w:rPr>
              <w:t>°</w:t>
            </w:r>
            <w:r>
              <w:rPr>
                <w:rFonts w:hint="eastAsia"/>
                <w:sz w:val="24"/>
                <w:szCs w:val="24"/>
                <w:highlight w:val="none"/>
              </w:rPr>
              <w:t>59</w:t>
            </w:r>
            <w:r>
              <w:rPr>
                <w:sz w:val="24"/>
                <w:szCs w:val="24"/>
                <w:highlight w:val="none"/>
              </w:rPr>
              <w:t>′</w:t>
            </w:r>
            <w:r>
              <w:rPr>
                <w:rFonts w:hint="eastAsia"/>
                <w:sz w:val="24"/>
                <w:szCs w:val="24"/>
                <w:highlight w:val="none"/>
              </w:rPr>
              <w:t>13.91</w:t>
            </w:r>
            <w:r>
              <w:rPr>
                <w:sz w:val="24"/>
                <w:szCs w:val="24"/>
                <w:highlight w:val="none"/>
              </w:rPr>
              <w:t>″、东经118°</w:t>
            </w:r>
            <w:r>
              <w:rPr>
                <w:rFonts w:hint="eastAsia"/>
                <w:sz w:val="24"/>
                <w:szCs w:val="24"/>
                <w:highlight w:val="none"/>
              </w:rPr>
              <w:t>43</w:t>
            </w:r>
            <w:r>
              <w:rPr>
                <w:sz w:val="24"/>
                <w:szCs w:val="24"/>
                <w:highlight w:val="none"/>
              </w:rPr>
              <w:t>′</w:t>
            </w:r>
            <w:r>
              <w:rPr>
                <w:rFonts w:hint="eastAsia"/>
                <w:sz w:val="24"/>
                <w:szCs w:val="24"/>
                <w:highlight w:val="none"/>
              </w:rPr>
              <w:t>29.96</w:t>
            </w:r>
            <w:r>
              <w:rPr>
                <w:sz w:val="24"/>
                <w:szCs w:val="24"/>
                <w:highlight w:val="none"/>
              </w:rPr>
              <w:t>″</w:t>
            </w:r>
            <w:r>
              <w:rPr>
                <w:rFonts w:hint="eastAsia"/>
                <w:sz w:val="24"/>
                <w:szCs w:val="24"/>
                <w:highlight w:val="none"/>
              </w:rPr>
              <w:t>，</w:t>
            </w:r>
            <w:r>
              <w:rPr>
                <w:rFonts w:hint="eastAsia" w:hAnsi="宋体"/>
                <w:sz w:val="24"/>
                <w:szCs w:val="24"/>
                <w:highlight w:val="none"/>
              </w:rPr>
              <w:t>总</w:t>
            </w:r>
            <w:r>
              <w:rPr>
                <w:rFonts w:hint="eastAsia"/>
                <w:sz w:val="24"/>
                <w:szCs w:val="24"/>
                <w:highlight w:val="none"/>
              </w:rPr>
              <w:t>建筑面积为</w:t>
            </w:r>
            <w:r>
              <w:rPr>
                <w:rFonts w:hint="eastAsia" w:hAnsi="宋体"/>
                <w:color w:val="000000"/>
                <w:sz w:val="24"/>
                <w:szCs w:val="24"/>
                <w:highlight w:val="none"/>
              </w:rPr>
              <w:t>8080</w:t>
            </w:r>
            <w:r>
              <w:rPr>
                <w:rFonts w:hint="eastAsia"/>
                <w:sz w:val="24"/>
                <w:szCs w:val="24"/>
                <w:highlight w:val="none"/>
              </w:rPr>
              <w:t>m</w:t>
            </w:r>
            <w:r>
              <w:rPr>
                <w:rFonts w:hint="eastAsia"/>
                <w:sz w:val="24"/>
                <w:szCs w:val="24"/>
                <w:highlight w:val="none"/>
                <w:vertAlign w:val="superscript"/>
              </w:rPr>
              <w:t>2</w:t>
            </w:r>
            <w:r>
              <w:rPr>
                <w:rFonts w:hint="eastAsia"/>
                <w:sz w:val="24"/>
                <w:szCs w:val="24"/>
                <w:highlight w:val="none"/>
              </w:rPr>
              <w:t>。</w:t>
            </w:r>
            <w:r>
              <w:rPr>
                <w:rFonts w:hAnsi="宋体"/>
                <w:sz w:val="24"/>
                <w:szCs w:val="24"/>
                <w:highlight w:val="none"/>
              </w:rPr>
              <w:t>项目</w:t>
            </w:r>
            <w:r>
              <w:rPr>
                <w:rFonts w:hint="eastAsia" w:hAnsi="宋体"/>
                <w:sz w:val="24"/>
                <w:szCs w:val="24"/>
                <w:highlight w:val="none"/>
              </w:rPr>
              <w:t>位于迁安市人民医院院内</w:t>
            </w:r>
            <w:r>
              <w:rPr>
                <w:rFonts w:hAnsi="宋体"/>
                <w:sz w:val="24"/>
                <w:szCs w:val="24"/>
                <w:highlight w:val="none"/>
              </w:rPr>
              <w:t>，</w:t>
            </w:r>
            <w:r>
              <w:rPr>
                <w:rFonts w:hint="eastAsia" w:hAnsi="宋体"/>
                <w:sz w:val="24"/>
                <w:szCs w:val="24"/>
                <w:highlight w:val="none"/>
              </w:rPr>
              <w:t>北侧为燕鑫公益园</w:t>
            </w:r>
            <w:r>
              <w:rPr>
                <w:rFonts w:hAnsi="宋体"/>
                <w:sz w:val="24"/>
                <w:szCs w:val="24"/>
                <w:highlight w:val="none"/>
              </w:rPr>
              <w:t>，南侧</w:t>
            </w:r>
            <w:r>
              <w:rPr>
                <w:rFonts w:hint="eastAsia" w:hAnsi="宋体"/>
                <w:sz w:val="24"/>
                <w:szCs w:val="24"/>
                <w:highlight w:val="none"/>
                <w:lang w:val="en-US" w:eastAsia="zh-CN"/>
              </w:rPr>
              <w:t>60m</w:t>
            </w:r>
            <w:r>
              <w:rPr>
                <w:rFonts w:hint="eastAsia" w:hAnsi="宋体"/>
                <w:sz w:val="24"/>
                <w:szCs w:val="24"/>
                <w:highlight w:val="none"/>
              </w:rPr>
              <w:t>为</w:t>
            </w:r>
            <w:r>
              <w:rPr>
                <w:rFonts w:hint="eastAsia" w:hAnsi="宋体"/>
                <w:sz w:val="24"/>
                <w:szCs w:val="24"/>
                <w:highlight w:val="none"/>
                <w:lang w:eastAsia="zh-CN"/>
              </w:rPr>
              <w:t>惠安大街</w:t>
            </w:r>
            <w:r>
              <w:rPr>
                <w:rFonts w:hint="eastAsia" w:hAnsi="宋体"/>
                <w:sz w:val="24"/>
                <w:szCs w:val="24"/>
                <w:highlight w:val="none"/>
              </w:rPr>
              <w:t>、西侧</w:t>
            </w:r>
            <w:r>
              <w:rPr>
                <w:rFonts w:hint="eastAsia" w:hAnsi="宋体"/>
                <w:sz w:val="24"/>
                <w:szCs w:val="24"/>
                <w:highlight w:val="none"/>
                <w:lang w:val="en-US" w:eastAsia="zh-CN"/>
              </w:rPr>
              <w:t>35m</w:t>
            </w:r>
            <w:r>
              <w:rPr>
                <w:rFonts w:hint="eastAsia" w:hAnsi="宋体"/>
                <w:sz w:val="24"/>
                <w:szCs w:val="24"/>
                <w:highlight w:val="none"/>
              </w:rPr>
              <w:t>为</w:t>
            </w:r>
            <w:r>
              <w:rPr>
                <w:rFonts w:hint="eastAsia" w:hAnsi="宋体"/>
                <w:sz w:val="24"/>
                <w:szCs w:val="24"/>
                <w:highlight w:val="none"/>
                <w:lang w:eastAsia="zh-CN"/>
              </w:rPr>
              <w:t>丰吉路</w:t>
            </w:r>
            <w:r>
              <w:rPr>
                <w:rFonts w:hAnsi="宋体"/>
                <w:sz w:val="24"/>
                <w:szCs w:val="24"/>
                <w:highlight w:val="none"/>
              </w:rPr>
              <w:t>。距离项目最近的环境敏感目标为</w:t>
            </w:r>
            <w:r>
              <w:rPr>
                <w:rFonts w:hint="eastAsia" w:hAnsi="宋体"/>
                <w:sz w:val="24"/>
                <w:szCs w:val="24"/>
                <w:highlight w:val="none"/>
              </w:rPr>
              <w:t>项目东侧的迁安市人民医院</w:t>
            </w:r>
            <w:r>
              <w:rPr>
                <w:rFonts w:hint="eastAsia" w:hAnsi="宋体"/>
                <w:sz w:val="24"/>
                <w:szCs w:val="24"/>
                <w:highlight w:val="none"/>
                <w:lang w:eastAsia="zh-CN"/>
              </w:rPr>
              <w:t>主楼</w:t>
            </w:r>
            <w:r>
              <w:rPr>
                <w:rFonts w:hAnsi="宋体"/>
                <w:sz w:val="24"/>
                <w:szCs w:val="24"/>
                <w:highlight w:val="none"/>
              </w:rPr>
              <w:t>项目地理位置见附图</w:t>
            </w:r>
            <w:r>
              <w:rPr>
                <w:sz w:val="24"/>
                <w:szCs w:val="24"/>
                <w:highlight w:val="none"/>
              </w:rPr>
              <w:t>1</w:t>
            </w:r>
            <w:r>
              <w:rPr>
                <w:rFonts w:hAnsi="宋体"/>
                <w:sz w:val="24"/>
                <w:szCs w:val="24"/>
                <w:highlight w:val="none"/>
              </w:rPr>
              <w:t>，</w:t>
            </w:r>
            <w:r>
              <w:rPr>
                <w:rFonts w:hint="eastAsia" w:hAnsi="宋体"/>
                <w:sz w:val="24"/>
                <w:szCs w:val="24"/>
                <w:highlight w:val="none"/>
              </w:rPr>
              <w:t>项目</w:t>
            </w:r>
            <w:r>
              <w:rPr>
                <w:rFonts w:hAnsi="宋体"/>
                <w:sz w:val="24"/>
                <w:szCs w:val="24"/>
                <w:highlight w:val="none"/>
              </w:rPr>
              <w:t>周边关系见附图</w:t>
            </w:r>
            <w:r>
              <w:rPr>
                <w:sz w:val="24"/>
                <w:szCs w:val="24"/>
                <w:highlight w:val="none"/>
              </w:rPr>
              <w:t>2</w:t>
            </w:r>
            <w:r>
              <w:rPr>
                <w:rFonts w:hAnsi="宋体"/>
                <w:sz w:val="24"/>
                <w:szCs w:val="24"/>
                <w:highlight w:val="none"/>
              </w:rPr>
              <w:t>。</w:t>
            </w:r>
          </w:p>
          <w:p>
            <w:pPr>
              <w:pStyle w:val="6"/>
              <w:spacing w:line="480" w:lineRule="exact"/>
              <w:ind w:firstLine="480" w:firstLineChars="200"/>
              <w:rPr>
                <w:rFonts w:hint="eastAsia"/>
                <w:sz w:val="24"/>
                <w:szCs w:val="24"/>
                <w:highlight w:val="none"/>
              </w:rPr>
            </w:pPr>
            <w:r>
              <w:rPr>
                <w:rFonts w:hint="eastAsia" w:hAnsi="宋体"/>
                <w:sz w:val="24"/>
                <w:szCs w:val="24"/>
                <w:highlight w:val="none"/>
              </w:rPr>
              <w:t>（3）</w:t>
            </w:r>
            <w:r>
              <w:rPr>
                <w:rFonts w:hAnsi="宋体"/>
                <w:sz w:val="24"/>
                <w:szCs w:val="24"/>
                <w:highlight w:val="none"/>
              </w:rPr>
              <w:t>总投资：</w:t>
            </w:r>
            <w:r>
              <w:rPr>
                <w:rFonts w:hint="eastAsia"/>
                <w:sz w:val="24"/>
                <w:szCs w:val="24"/>
                <w:highlight w:val="none"/>
              </w:rPr>
              <w:t>项目总投资10000万元，其中</w:t>
            </w:r>
            <w:r>
              <w:rPr>
                <w:rFonts w:hint="eastAsia"/>
                <w:color w:val="000000"/>
                <w:sz w:val="24"/>
                <w:szCs w:val="24"/>
                <w:highlight w:val="none"/>
              </w:rPr>
              <w:t>环保投资14</w:t>
            </w:r>
            <w:r>
              <w:rPr>
                <w:rFonts w:hint="eastAsia"/>
                <w:sz w:val="24"/>
                <w:szCs w:val="24"/>
                <w:highlight w:val="none"/>
              </w:rPr>
              <w:t>万元，占总投资的比例为0.14 %。</w:t>
            </w:r>
          </w:p>
          <w:p>
            <w:pPr>
              <w:pStyle w:val="6"/>
              <w:adjustRightInd w:val="0"/>
              <w:snapToGrid w:val="0"/>
              <w:spacing w:line="480" w:lineRule="exact"/>
              <w:ind w:firstLine="480" w:firstLineChars="200"/>
              <w:rPr>
                <w:rFonts w:hint="eastAsia"/>
                <w:sz w:val="24"/>
                <w:szCs w:val="24"/>
                <w:highlight w:val="none"/>
              </w:rPr>
            </w:pPr>
            <w:r>
              <w:rPr>
                <w:rFonts w:hint="eastAsia" w:hAnsi="宋体"/>
                <w:sz w:val="24"/>
                <w:szCs w:val="24"/>
                <w:highlight w:val="none"/>
              </w:rPr>
              <w:t>（4）</w:t>
            </w:r>
            <w:r>
              <w:rPr>
                <w:rFonts w:hAnsi="宋体"/>
                <w:sz w:val="24"/>
                <w:szCs w:val="24"/>
                <w:highlight w:val="none"/>
              </w:rPr>
              <w:t>项目建设内容及规模：</w:t>
            </w:r>
            <w:r>
              <w:rPr>
                <w:rFonts w:hint="eastAsia" w:ascii="宋体" w:hAnsi="宋体"/>
                <w:color w:val="000000"/>
                <w:sz w:val="24"/>
                <w:szCs w:val="24"/>
                <w:highlight w:val="none"/>
              </w:rPr>
              <w:t>项目对现有的5层建筑物进行装修改造，总建筑面积为8080平方米，购置医疗设备、办公设备等相关附属设施。首层及二层为体检项目，三层中医、健康咨询及办公区，四层VIP诊疗，五层全部为标准间。</w:t>
            </w:r>
          </w:p>
          <w:p>
            <w:pPr>
              <w:pStyle w:val="6"/>
              <w:adjustRightInd w:val="0"/>
              <w:snapToGrid w:val="0"/>
              <w:spacing w:line="480" w:lineRule="exact"/>
              <w:ind w:firstLine="480" w:firstLineChars="200"/>
              <w:rPr>
                <w:snapToGrid w:val="0"/>
                <w:sz w:val="24"/>
                <w:szCs w:val="24"/>
                <w:highlight w:val="none"/>
              </w:rPr>
            </w:pPr>
            <w:r>
              <w:rPr>
                <w:rFonts w:hint="eastAsia" w:hAnsi="宋体"/>
                <w:sz w:val="24"/>
                <w:szCs w:val="24"/>
                <w:highlight w:val="none"/>
              </w:rPr>
              <w:t>（5）</w:t>
            </w:r>
            <w:r>
              <w:rPr>
                <w:rFonts w:hAnsi="宋体"/>
                <w:bCs/>
                <w:sz w:val="24"/>
                <w:szCs w:val="24"/>
                <w:highlight w:val="none"/>
              </w:rPr>
              <w:t>给排水：</w:t>
            </w:r>
            <w:r>
              <w:rPr>
                <w:color w:val="000000"/>
                <w:sz w:val="24"/>
                <w:szCs w:val="24"/>
                <w:highlight w:val="none"/>
              </w:rPr>
              <w:t>项目用水主要是医务人员生活用水</w:t>
            </w:r>
            <w:r>
              <w:rPr>
                <w:rFonts w:hint="eastAsia"/>
                <w:color w:val="000000"/>
                <w:sz w:val="24"/>
                <w:szCs w:val="24"/>
                <w:highlight w:val="none"/>
              </w:rPr>
              <w:t>、体检</w:t>
            </w:r>
            <w:r>
              <w:rPr>
                <w:color w:val="000000"/>
                <w:sz w:val="24"/>
                <w:szCs w:val="24"/>
                <w:highlight w:val="none"/>
              </w:rPr>
              <w:t>用水</w:t>
            </w:r>
            <w:r>
              <w:rPr>
                <w:rFonts w:hint="eastAsia"/>
                <w:color w:val="000000"/>
                <w:sz w:val="24"/>
                <w:szCs w:val="24"/>
                <w:highlight w:val="none"/>
              </w:rPr>
              <w:t>、洗衣用水、健康养护用水和绿化灌溉用水，</w:t>
            </w:r>
            <w:r>
              <w:rPr>
                <w:color w:val="000000"/>
                <w:sz w:val="24"/>
                <w:szCs w:val="24"/>
                <w:highlight w:val="none"/>
              </w:rPr>
              <w:t>新水量</w:t>
            </w:r>
            <w:r>
              <w:rPr>
                <w:rFonts w:hint="eastAsia"/>
                <w:color w:val="000000"/>
                <w:sz w:val="24"/>
                <w:szCs w:val="24"/>
                <w:highlight w:val="none"/>
              </w:rPr>
              <w:t>17.50</w:t>
            </w:r>
            <w:r>
              <w:rPr>
                <w:color w:val="000000"/>
                <w:sz w:val="24"/>
                <w:szCs w:val="24"/>
                <w:highlight w:val="none"/>
              </w:rPr>
              <w:t>m</w:t>
            </w:r>
            <w:r>
              <w:rPr>
                <w:color w:val="000000"/>
                <w:sz w:val="24"/>
                <w:szCs w:val="24"/>
                <w:highlight w:val="none"/>
                <w:vertAlign w:val="superscript"/>
              </w:rPr>
              <w:t>3</w:t>
            </w:r>
            <w:r>
              <w:rPr>
                <w:color w:val="000000"/>
                <w:sz w:val="24"/>
                <w:szCs w:val="24"/>
                <w:highlight w:val="none"/>
              </w:rPr>
              <w:t>/d。项目</w:t>
            </w:r>
            <w:r>
              <w:rPr>
                <w:rFonts w:hint="eastAsia"/>
                <w:color w:val="000000"/>
                <w:sz w:val="24"/>
                <w:szCs w:val="24"/>
                <w:highlight w:val="none"/>
              </w:rPr>
              <w:t>不</w:t>
            </w:r>
            <w:r>
              <w:rPr>
                <w:color w:val="000000"/>
                <w:sz w:val="24"/>
                <w:szCs w:val="24"/>
                <w:highlight w:val="none"/>
              </w:rPr>
              <w:t>设食</w:t>
            </w:r>
            <w:r>
              <w:rPr>
                <w:rFonts w:hAnsi="宋体"/>
                <w:sz w:val="24"/>
                <w:szCs w:val="24"/>
                <w:highlight w:val="none"/>
              </w:rPr>
              <w:t>堂，厕所为水冲厕所。</w:t>
            </w:r>
          </w:p>
          <w:p>
            <w:pPr>
              <w:pStyle w:val="6"/>
              <w:adjustRightInd w:val="0"/>
              <w:snapToGrid w:val="0"/>
              <w:spacing w:line="480" w:lineRule="exact"/>
              <w:ind w:firstLine="480" w:firstLineChars="200"/>
              <w:rPr>
                <w:rFonts w:hint="eastAsia" w:eastAsia="宋体"/>
                <w:sz w:val="24"/>
                <w:szCs w:val="24"/>
                <w:highlight w:val="none"/>
                <w:lang w:eastAsia="zh-CN"/>
              </w:rPr>
            </w:pPr>
            <w:r>
              <w:rPr>
                <w:rFonts w:hAnsi="宋体"/>
                <w:sz w:val="24"/>
                <w:szCs w:val="24"/>
                <w:highlight w:val="none"/>
              </w:rPr>
              <w:t>项目废水主要为员工生活污水、</w:t>
            </w:r>
            <w:r>
              <w:rPr>
                <w:rFonts w:hint="eastAsia" w:hAnsi="宋体"/>
                <w:sz w:val="24"/>
                <w:szCs w:val="24"/>
                <w:highlight w:val="none"/>
              </w:rPr>
              <w:t>体检废水、</w:t>
            </w:r>
            <w:r>
              <w:rPr>
                <w:rFonts w:hint="eastAsia"/>
                <w:color w:val="000000"/>
                <w:sz w:val="24"/>
                <w:szCs w:val="24"/>
                <w:highlight w:val="none"/>
              </w:rPr>
              <w:t>洗衣废水、健康养护人</w:t>
            </w:r>
            <w:r>
              <w:rPr>
                <w:rFonts w:hint="eastAsia"/>
                <w:color w:val="000000"/>
                <w:sz w:val="24"/>
                <w:szCs w:val="24"/>
                <w:highlight w:val="none"/>
                <w:lang w:eastAsia="zh-CN"/>
              </w:rPr>
              <w:t>废</w:t>
            </w:r>
            <w:r>
              <w:rPr>
                <w:rFonts w:hint="eastAsia"/>
                <w:color w:val="000000"/>
                <w:sz w:val="24"/>
                <w:szCs w:val="24"/>
                <w:highlight w:val="none"/>
              </w:rPr>
              <w:t>水</w:t>
            </w:r>
            <w:r>
              <w:rPr>
                <w:rFonts w:hAnsi="宋体"/>
                <w:sz w:val="24"/>
                <w:szCs w:val="24"/>
                <w:highlight w:val="none"/>
              </w:rPr>
              <w:t>。产生量按用水量的</w:t>
            </w:r>
            <w:r>
              <w:rPr>
                <w:sz w:val="24"/>
                <w:szCs w:val="24"/>
                <w:highlight w:val="none"/>
              </w:rPr>
              <w:t>80%</w:t>
            </w:r>
            <w:r>
              <w:rPr>
                <w:rFonts w:hAnsi="宋体"/>
                <w:sz w:val="24"/>
                <w:szCs w:val="24"/>
                <w:highlight w:val="none"/>
              </w:rPr>
              <w:t>计算，为</w:t>
            </w:r>
            <w:r>
              <w:rPr>
                <w:rFonts w:hint="eastAsia"/>
                <w:sz w:val="24"/>
                <w:szCs w:val="24"/>
                <w:highlight w:val="none"/>
              </w:rPr>
              <w:t>14</w:t>
            </w:r>
            <w:r>
              <w:rPr>
                <w:sz w:val="24"/>
                <w:szCs w:val="24"/>
                <w:highlight w:val="none"/>
              </w:rPr>
              <w:t>m</w:t>
            </w:r>
            <w:r>
              <w:rPr>
                <w:sz w:val="24"/>
                <w:szCs w:val="24"/>
                <w:highlight w:val="none"/>
                <w:vertAlign w:val="superscript"/>
              </w:rPr>
              <w:t>3</w:t>
            </w:r>
            <w:r>
              <w:rPr>
                <w:sz w:val="24"/>
                <w:szCs w:val="24"/>
                <w:highlight w:val="none"/>
              </w:rPr>
              <w:t>/d</w:t>
            </w:r>
            <w:r>
              <w:rPr>
                <w:rFonts w:hAnsi="宋体"/>
                <w:sz w:val="24"/>
                <w:szCs w:val="24"/>
                <w:highlight w:val="none"/>
              </w:rPr>
              <w:t>，</w:t>
            </w:r>
            <w:r>
              <w:rPr>
                <w:rFonts w:hint="eastAsia" w:hAnsi="宋体"/>
                <w:sz w:val="24"/>
                <w:szCs w:val="24"/>
                <w:highlight w:val="none"/>
                <w:lang w:eastAsia="zh-CN"/>
              </w:rPr>
              <w:t>生活污水经化粪池处理后排入人民医院污水处理站，医疗废水直接排入迁安市人民医院污水处理站处理，</w:t>
            </w:r>
            <w:r>
              <w:rPr>
                <w:rFonts w:hAnsi="宋体"/>
                <w:sz w:val="24"/>
                <w:szCs w:val="24"/>
                <w:highlight w:val="none"/>
              </w:rPr>
              <w:t>由</w:t>
            </w:r>
            <w:r>
              <w:rPr>
                <w:rFonts w:hint="eastAsia" w:hAnsi="宋体"/>
                <w:sz w:val="24"/>
                <w:szCs w:val="24"/>
                <w:highlight w:val="none"/>
              </w:rPr>
              <w:t>医院</w:t>
            </w:r>
            <w:r>
              <w:rPr>
                <w:rFonts w:hAnsi="宋体"/>
                <w:sz w:val="24"/>
                <w:szCs w:val="24"/>
                <w:highlight w:val="none"/>
              </w:rPr>
              <w:t>污水处理站处理后</w:t>
            </w:r>
            <w:r>
              <w:rPr>
                <w:rFonts w:hint="eastAsia" w:hAnsi="宋体"/>
                <w:sz w:val="24"/>
                <w:szCs w:val="24"/>
                <w:highlight w:val="none"/>
              </w:rPr>
              <w:t>排入市政污水管网</w:t>
            </w:r>
            <w:r>
              <w:rPr>
                <w:rFonts w:hint="eastAsia" w:hAnsi="宋体"/>
                <w:sz w:val="24"/>
                <w:szCs w:val="24"/>
                <w:highlight w:val="none"/>
                <w:lang w:eastAsia="zh-CN"/>
              </w:rPr>
              <w:t>（与人民医院共用一个排污口），进入迁安市污水处理厂。</w:t>
            </w:r>
          </w:p>
          <w:p>
            <w:pPr>
              <w:pStyle w:val="6"/>
              <w:spacing w:line="480" w:lineRule="exact"/>
              <w:ind w:firstLine="480" w:firstLineChars="200"/>
              <w:rPr>
                <w:rFonts w:hint="eastAsia"/>
                <w:sz w:val="24"/>
                <w:szCs w:val="24"/>
                <w:highlight w:val="none"/>
              </w:rPr>
            </w:pPr>
            <w:r>
              <w:rPr>
                <w:rFonts w:hint="eastAsia" w:hAnsi="宋体"/>
                <w:sz w:val="24"/>
                <w:szCs w:val="24"/>
                <w:highlight w:val="none"/>
              </w:rPr>
              <w:t>（6）</w:t>
            </w:r>
            <w:r>
              <w:rPr>
                <w:rFonts w:hAnsi="宋体"/>
                <w:bCs/>
                <w:sz w:val="24"/>
                <w:szCs w:val="24"/>
                <w:highlight w:val="none"/>
              </w:rPr>
              <w:t>项目平面布局及其合理性：</w:t>
            </w:r>
            <w:r>
              <w:rPr>
                <w:rFonts w:hint="eastAsia" w:ascii="宋体" w:hAnsi="宋体"/>
                <w:color w:val="000000"/>
                <w:sz w:val="24"/>
                <w:szCs w:val="24"/>
                <w:highlight w:val="none"/>
              </w:rPr>
              <w:t>项目对现有的5层建筑物进行装修改造，首层及二层为体检项目，三层中医、健康咨询及办公区，四层VIP诊疗，五层全部为标准间，</w:t>
            </w:r>
            <w:r>
              <w:rPr>
                <w:rFonts w:hint="eastAsia" w:ascii="宋体" w:hAnsi="宋体"/>
                <w:color w:val="000000"/>
                <w:sz w:val="24"/>
                <w:szCs w:val="24"/>
                <w:highlight w:val="none"/>
                <w:lang w:eastAsia="zh-CN"/>
              </w:rPr>
              <w:t>为康健养护室</w:t>
            </w:r>
            <w:r>
              <w:rPr>
                <w:rFonts w:hint="eastAsia" w:ascii="宋体" w:hAnsi="宋体"/>
                <w:color w:val="000000"/>
                <w:sz w:val="24"/>
                <w:szCs w:val="24"/>
                <w:highlight w:val="none"/>
              </w:rPr>
              <w:t>各层分区明确，</w:t>
            </w:r>
            <w:r>
              <w:rPr>
                <w:rFonts w:hint="eastAsia"/>
                <w:sz w:val="24"/>
                <w:szCs w:val="24"/>
                <w:highlight w:val="none"/>
              </w:rPr>
              <w:t>因此，项目平面布局合理。</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2</w:t>
            </w:r>
            <w:r>
              <w:rPr>
                <w:rFonts w:ascii="Times New Roman" w:hAnsi="Times New Roman" w:cs="Times New Roman"/>
                <w:b/>
                <w:bCs/>
                <w:sz w:val="24"/>
                <w:szCs w:val="24"/>
                <w:highlight w:val="none"/>
              </w:rPr>
              <w:t>、环境质量现状</w:t>
            </w:r>
          </w:p>
          <w:p>
            <w:pPr>
              <w:autoSpaceDE w:val="0"/>
              <w:autoSpaceDN w:val="0"/>
              <w:adjustRightInd w:val="0"/>
              <w:snapToGrid w:val="0"/>
              <w:spacing w:line="480" w:lineRule="exact"/>
              <w:ind w:firstLine="470" w:firstLineChars="196"/>
              <w:rPr>
                <w:b/>
                <w:sz w:val="24"/>
                <w:szCs w:val="24"/>
                <w:highlight w:val="none"/>
              </w:rPr>
            </w:pPr>
            <w:r>
              <w:rPr>
                <w:rFonts w:hint="eastAsia" w:hAnsi="宋体"/>
                <w:sz w:val="24"/>
                <w:szCs w:val="24"/>
                <w:highlight w:val="none"/>
              </w:rPr>
              <w:t>（</w:t>
            </w:r>
            <w:r>
              <w:rPr>
                <w:rFonts w:hint="eastAsia" w:hAnsi="宋体"/>
                <w:sz w:val="24"/>
                <w:szCs w:val="24"/>
                <w:highlight w:val="none"/>
                <w:lang w:val="en-US" w:eastAsia="zh-CN"/>
              </w:rPr>
              <w:t>1</w:t>
            </w:r>
            <w:r>
              <w:rPr>
                <w:rFonts w:hint="eastAsia" w:hAnsi="宋体"/>
                <w:sz w:val="24"/>
                <w:szCs w:val="24"/>
                <w:highlight w:val="none"/>
              </w:rPr>
              <w:t>）</w:t>
            </w:r>
            <w:r>
              <w:rPr>
                <w:b/>
                <w:sz w:val="24"/>
                <w:szCs w:val="24"/>
                <w:highlight w:val="none"/>
              </w:rPr>
              <w:t>环境空气</w:t>
            </w:r>
          </w:p>
          <w:p>
            <w:pPr>
              <w:pStyle w:val="57"/>
              <w:spacing w:line="360" w:lineRule="auto"/>
              <w:ind w:firstLine="480" w:firstLineChars="200"/>
              <w:jc w:val="both"/>
              <w:rPr>
                <w:rFonts w:hint="eastAsia"/>
                <w:sz w:val="24"/>
                <w:highlight w:val="none"/>
              </w:rPr>
            </w:pPr>
            <w:r>
              <w:rPr>
                <w:rFonts w:hint="eastAsia"/>
                <w:sz w:val="24"/>
                <w:highlight w:val="none"/>
              </w:rPr>
              <w:t>项目所在区域环境空气质量现状数据采用唐山市生态环境局公开发布的《2018年唐山市环境状况公报》中空气质量数据，SO</w:t>
            </w:r>
            <w:r>
              <w:rPr>
                <w:rFonts w:hint="eastAsia"/>
                <w:sz w:val="24"/>
                <w:highlight w:val="none"/>
                <w:vertAlign w:val="subscript"/>
              </w:rPr>
              <w:t>2</w:t>
            </w:r>
            <w:r>
              <w:rPr>
                <w:rFonts w:hint="eastAsia"/>
                <w:sz w:val="24"/>
                <w:highlight w:val="none"/>
              </w:rPr>
              <w:t>的年平均质量浓度、CO的日平均质量浓度的第95百分位数满足《环境空气质量标准》（GB3095-2012）及其修改单中二级标准；NO</w:t>
            </w:r>
            <w:r>
              <w:rPr>
                <w:rFonts w:hint="eastAsia"/>
                <w:sz w:val="24"/>
                <w:highlight w:val="none"/>
                <w:vertAlign w:val="subscript"/>
              </w:rPr>
              <w:t>2</w:t>
            </w:r>
            <w:r>
              <w:rPr>
                <w:rFonts w:hint="eastAsia"/>
                <w:sz w:val="24"/>
                <w:highlight w:val="none"/>
              </w:rPr>
              <w:t>、PM</w:t>
            </w:r>
            <w:r>
              <w:rPr>
                <w:rFonts w:hint="eastAsia"/>
                <w:sz w:val="24"/>
                <w:highlight w:val="none"/>
                <w:vertAlign w:val="subscript"/>
              </w:rPr>
              <w:t>2.5</w:t>
            </w:r>
            <w:r>
              <w:rPr>
                <w:rFonts w:hint="eastAsia"/>
                <w:sz w:val="24"/>
                <w:highlight w:val="none"/>
              </w:rPr>
              <w:t>、PM</w:t>
            </w:r>
            <w:r>
              <w:rPr>
                <w:rFonts w:hint="eastAsia"/>
                <w:sz w:val="24"/>
                <w:highlight w:val="none"/>
                <w:vertAlign w:val="subscript"/>
              </w:rPr>
              <w:t>10</w:t>
            </w:r>
            <w:r>
              <w:rPr>
                <w:rFonts w:hint="eastAsia"/>
                <w:sz w:val="24"/>
                <w:highlight w:val="none"/>
              </w:rPr>
              <w:t>的年平均质量浓度和O</w:t>
            </w:r>
            <w:r>
              <w:rPr>
                <w:rFonts w:hint="eastAsia"/>
                <w:sz w:val="24"/>
                <w:highlight w:val="none"/>
                <w:vertAlign w:val="subscript"/>
              </w:rPr>
              <w:t>3</w:t>
            </w:r>
            <w:r>
              <w:rPr>
                <w:rFonts w:hint="eastAsia"/>
                <w:sz w:val="24"/>
                <w:highlight w:val="none"/>
              </w:rPr>
              <w:t>的日最大8h平均浓度的第90百分位数不满足《环境空气质量标准》（GB3095-2012）及其修改单中二级标准，根据《环境影响评价技术导则 大气环境》(HJ2.2-2018)，6.4.1.1 城市环境空气质量达标情况评价指标为SO</w:t>
            </w:r>
            <w:r>
              <w:rPr>
                <w:rFonts w:hint="eastAsia"/>
                <w:sz w:val="24"/>
                <w:highlight w:val="none"/>
                <w:vertAlign w:val="subscript"/>
              </w:rPr>
              <w:t>2</w:t>
            </w:r>
            <w:r>
              <w:rPr>
                <w:rFonts w:hint="eastAsia"/>
                <w:sz w:val="24"/>
                <w:highlight w:val="none"/>
              </w:rPr>
              <w:t>、NO</w:t>
            </w:r>
            <w:r>
              <w:rPr>
                <w:rFonts w:hint="eastAsia"/>
                <w:sz w:val="24"/>
                <w:highlight w:val="none"/>
                <w:vertAlign w:val="subscript"/>
              </w:rPr>
              <w:t>2</w:t>
            </w:r>
            <w:r>
              <w:rPr>
                <w:rFonts w:hint="eastAsia"/>
                <w:sz w:val="24"/>
                <w:highlight w:val="none"/>
              </w:rPr>
              <w:t>、PM</w:t>
            </w:r>
            <w:r>
              <w:rPr>
                <w:rFonts w:hint="eastAsia"/>
                <w:sz w:val="24"/>
                <w:highlight w:val="none"/>
                <w:vertAlign w:val="subscript"/>
              </w:rPr>
              <w:t>10</w:t>
            </w:r>
            <w:r>
              <w:rPr>
                <w:rFonts w:hint="eastAsia"/>
                <w:sz w:val="24"/>
                <w:highlight w:val="none"/>
              </w:rPr>
              <w:t>、PM</w:t>
            </w:r>
            <w:r>
              <w:rPr>
                <w:rFonts w:hint="eastAsia"/>
                <w:sz w:val="24"/>
                <w:highlight w:val="none"/>
                <w:vertAlign w:val="subscript"/>
              </w:rPr>
              <w:t>2.5</w:t>
            </w:r>
            <w:r>
              <w:rPr>
                <w:rFonts w:hint="eastAsia"/>
                <w:sz w:val="24"/>
                <w:highlight w:val="none"/>
              </w:rPr>
              <w:t>、CO和O</w:t>
            </w:r>
            <w:r>
              <w:rPr>
                <w:rFonts w:hint="eastAsia"/>
                <w:sz w:val="24"/>
                <w:highlight w:val="none"/>
                <w:vertAlign w:val="subscript"/>
              </w:rPr>
              <w:t>3</w:t>
            </w:r>
            <w:r>
              <w:rPr>
                <w:rFonts w:hint="eastAsia"/>
                <w:sz w:val="24"/>
                <w:highlight w:val="none"/>
              </w:rPr>
              <w:t>，六项污染物全部达标即为城市环境空气质量达标。通过以上数据判定，项目所在区域环境空气质量不达标，属于不达标区。</w:t>
            </w:r>
          </w:p>
          <w:p>
            <w:pPr>
              <w:pStyle w:val="6"/>
              <w:spacing w:line="480" w:lineRule="exact"/>
              <w:ind w:firstLine="480" w:firstLineChars="200"/>
              <w:rPr>
                <w:rFonts w:hint="eastAsia"/>
                <w:bCs/>
                <w:sz w:val="24"/>
                <w:szCs w:val="24"/>
                <w:highlight w:val="none"/>
              </w:rPr>
            </w:pPr>
            <w:r>
              <w:rPr>
                <w:rFonts w:hint="eastAsia" w:hAnsi="宋体"/>
                <w:sz w:val="24"/>
                <w:szCs w:val="24"/>
                <w:highlight w:val="none"/>
              </w:rPr>
              <w:t>（2）</w:t>
            </w:r>
            <w:r>
              <w:rPr>
                <w:bCs/>
                <w:sz w:val="24"/>
                <w:szCs w:val="24"/>
                <w:highlight w:val="none"/>
              </w:rPr>
              <w:t>声环境</w:t>
            </w:r>
          </w:p>
          <w:p>
            <w:pPr>
              <w:pStyle w:val="6"/>
              <w:spacing w:line="480" w:lineRule="exact"/>
              <w:ind w:firstLine="480" w:firstLineChars="200"/>
              <w:rPr>
                <w:rFonts w:hint="eastAsia"/>
                <w:sz w:val="24"/>
                <w:highlight w:val="none"/>
              </w:rPr>
            </w:pPr>
            <w:r>
              <w:rPr>
                <w:sz w:val="24"/>
                <w:szCs w:val="24"/>
                <w:highlight w:val="none"/>
              </w:rPr>
              <w:t>根据迁安市环境监测站声环境现状监测数据，区域环境噪声为：昼间45.6～54.9dB(A)，夜间41.1～44.3dB(A)，声环境现状满足《声环境质量标准》(GB3096-2008)中</w:t>
            </w:r>
            <w:r>
              <w:rPr>
                <w:rFonts w:hint="eastAsia"/>
                <w:sz w:val="24"/>
                <w:szCs w:val="24"/>
                <w:highlight w:val="none"/>
              </w:rPr>
              <w:t>1</w:t>
            </w:r>
            <w:r>
              <w:rPr>
                <w:sz w:val="24"/>
                <w:szCs w:val="24"/>
                <w:highlight w:val="none"/>
              </w:rPr>
              <w:t>类标准要求，声环境质量良好</w:t>
            </w:r>
            <w:r>
              <w:rPr>
                <w:rFonts w:hint="eastAsia"/>
                <w:sz w:val="24"/>
                <w:highlight w:val="none"/>
              </w:rPr>
              <w:t>。</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3</w:t>
            </w:r>
            <w:r>
              <w:rPr>
                <w:rFonts w:ascii="Times New Roman" w:hAnsi="Times New Roman" w:cs="Times New Roman"/>
                <w:b/>
                <w:bCs/>
                <w:sz w:val="24"/>
                <w:szCs w:val="24"/>
                <w:highlight w:val="none"/>
              </w:rPr>
              <w:t>、</w:t>
            </w:r>
            <w:r>
              <w:rPr>
                <w:rFonts w:hint="eastAsia" w:ascii="Times New Roman" w:hAnsi="Times New Roman" w:cs="Times New Roman"/>
                <w:b/>
                <w:bCs/>
                <w:sz w:val="24"/>
                <w:szCs w:val="24"/>
                <w:highlight w:val="none"/>
              </w:rPr>
              <w:t>施工</w:t>
            </w:r>
            <w:r>
              <w:rPr>
                <w:rFonts w:ascii="Times New Roman" w:hAnsi="Times New Roman" w:cs="Times New Roman"/>
                <w:b/>
                <w:bCs/>
                <w:sz w:val="24"/>
                <w:szCs w:val="24"/>
                <w:highlight w:val="none"/>
              </w:rPr>
              <w:t>期主要环境影响</w:t>
            </w:r>
          </w:p>
          <w:p>
            <w:pPr>
              <w:pStyle w:val="6"/>
              <w:spacing w:line="480" w:lineRule="exact"/>
              <w:ind w:left="479" w:leftChars="228" w:firstLine="0"/>
              <w:rPr>
                <w:sz w:val="24"/>
                <w:szCs w:val="24"/>
                <w:highlight w:val="none"/>
              </w:rPr>
            </w:pPr>
            <w:r>
              <w:rPr>
                <w:sz w:val="24"/>
                <w:szCs w:val="24"/>
                <w:highlight w:val="none"/>
              </w:rPr>
              <w:t>⑴废水</w:t>
            </w:r>
          </w:p>
          <w:p>
            <w:pPr>
              <w:pStyle w:val="6"/>
              <w:spacing w:line="480" w:lineRule="exact"/>
              <w:ind w:firstLine="480" w:firstLineChars="200"/>
              <w:rPr>
                <w:sz w:val="24"/>
                <w:szCs w:val="24"/>
                <w:highlight w:val="none"/>
              </w:rPr>
            </w:pPr>
            <w:r>
              <w:rPr>
                <w:rFonts w:hint="eastAsia"/>
                <w:sz w:val="24"/>
                <w:szCs w:val="24"/>
                <w:highlight w:val="none"/>
              </w:rPr>
              <w:t>施工期废水主要来自施工人员的生活废水</w:t>
            </w:r>
            <w:r>
              <w:rPr>
                <w:sz w:val="24"/>
                <w:szCs w:val="24"/>
                <w:highlight w:val="none"/>
              </w:rPr>
              <w:t>。项目不设施工营地，无宿舍、食堂、洗浴等生活设施，生活废水产生量较小，污染物主要是SS和COD，用于泼洒道路抑尘，对地表水环境</w:t>
            </w:r>
            <w:r>
              <w:rPr>
                <w:rFonts w:hint="eastAsia"/>
                <w:sz w:val="24"/>
                <w:szCs w:val="24"/>
                <w:highlight w:val="none"/>
              </w:rPr>
              <w:t>不会产生影响</w:t>
            </w:r>
            <w:r>
              <w:rPr>
                <w:sz w:val="24"/>
                <w:szCs w:val="24"/>
                <w:highlight w:val="none"/>
              </w:rPr>
              <w:t>。</w:t>
            </w:r>
          </w:p>
          <w:p>
            <w:pPr>
              <w:pStyle w:val="6"/>
              <w:spacing w:line="480" w:lineRule="exact"/>
              <w:ind w:left="479" w:leftChars="228" w:firstLine="0"/>
              <w:rPr>
                <w:sz w:val="24"/>
                <w:szCs w:val="24"/>
                <w:highlight w:val="none"/>
              </w:rPr>
            </w:pPr>
            <w:r>
              <w:rPr>
                <w:sz w:val="24"/>
                <w:szCs w:val="24"/>
                <w:highlight w:val="none"/>
              </w:rPr>
              <w:t>⑵废气</w:t>
            </w:r>
          </w:p>
          <w:p>
            <w:pPr>
              <w:pStyle w:val="6"/>
              <w:spacing w:line="480" w:lineRule="exact"/>
              <w:ind w:firstLine="480" w:firstLineChars="200"/>
              <w:rPr>
                <w:bCs/>
                <w:sz w:val="24"/>
                <w:szCs w:val="24"/>
                <w:highlight w:val="none"/>
              </w:rPr>
            </w:pPr>
            <w:r>
              <w:rPr>
                <w:sz w:val="24"/>
                <w:szCs w:val="24"/>
                <w:highlight w:val="none"/>
              </w:rPr>
              <w:t>废气主要为堆放建筑材料、进出车</w:t>
            </w:r>
            <w:r>
              <w:rPr>
                <w:rFonts w:hint="eastAsia"/>
                <w:sz w:val="24"/>
                <w:szCs w:val="24"/>
                <w:highlight w:val="none"/>
              </w:rPr>
              <w:t>辆</w:t>
            </w:r>
            <w:r>
              <w:rPr>
                <w:sz w:val="24"/>
                <w:szCs w:val="24"/>
                <w:highlight w:val="none"/>
              </w:rPr>
              <w:t>、搬运水泥等</w:t>
            </w:r>
            <w:r>
              <w:rPr>
                <w:rFonts w:hint="eastAsia"/>
                <w:sz w:val="24"/>
                <w:szCs w:val="24"/>
                <w:highlight w:val="none"/>
              </w:rPr>
              <w:t>过程</w:t>
            </w:r>
            <w:r>
              <w:rPr>
                <w:sz w:val="24"/>
                <w:szCs w:val="24"/>
                <w:highlight w:val="none"/>
              </w:rPr>
              <w:t>产生的扬尘。</w:t>
            </w:r>
            <w:r>
              <w:rPr>
                <w:bCs/>
                <w:sz w:val="24"/>
                <w:szCs w:val="24"/>
                <w:highlight w:val="none"/>
              </w:rPr>
              <w:t>为降低扬尘产生量，评价要求施工时采取如下措施：</w:t>
            </w:r>
          </w:p>
          <w:p>
            <w:pPr>
              <w:pStyle w:val="6"/>
              <w:spacing w:line="480" w:lineRule="exact"/>
              <w:ind w:firstLine="480" w:firstLineChars="200"/>
              <w:rPr>
                <w:sz w:val="24"/>
                <w:szCs w:val="24"/>
                <w:highlight w:val="none"/>
              </w:rPr>
            </w:pPr>
            <w:r>
              <w:rPr>
                <w:sz w:val="24"/>
                <w:szCs w:val="24"/>
                <w:highlight w:val="none"/>
              </w:rPr>
              <w:t>①施工现场需用2m高围档封闭，出口放置防尘垫；主要运输道路进行简单硬化，临时道路定时洒水；加强雨天土方运输管理，严禁车体带泥上路。</w:t>
            </w:r>
          </w:p>
          <w:p>
            <w:pPr>
              <w:pStyle w:val="6"/>
              <w:spacing w:line="480" w:lineRule="exact"/>
              <w:ind w:firstLine="480" w:firstLineChars="200"/>
              <w:rPr>
                <w:sz w:val="24"/>
                <w:szCs w:val="24"/>
                <w:highlight w:val="none"/>
              </w:rPr>
            </w:pPr>
            <w:r>
              <w:rPr>
                <w:sz w:val="24"/>
                <w:szCs w:val="24"/>
                <w:highlight w:val="none"/>
              </w:rPr>
              <w:t>②施工现场运送土方、渣土的车辆必须封闭或遮盖，严禁沿路遗撒。</w:t>
            </w:r>
          </w:p>
          <w:p>
            <w:pPr>
              <w:pStyle w:val="6"/>
              <w:spacing w:line="480" w:lineRule="exact"/>
              <w:ind w:firstLine="480" w:firstLineChars="200"/>
              <w:rPr>
                <w:rFonts w:hint="eastAsia"/>
                <w:sz w:val="24"/>
                <w:szCs w:val="24"/>
                <w:highlight w:val="none"/>
              </w:rPr>
            </w:pPr>
            <w:r>
              <w:rPr>
                <w:sz w:val="24"/>
                <w:szCs w:val="24"/>
                <w:highlight w:val="none"/>
              </w:rPr>
              <w:t>③设置垃圾存放点，集中堆放并覆盖，及时清运，严禁随意丢弃。</w:t>
            </w:r>
          </w:p>
          <w:p>
            <w:pPr>
              <w:pStyle w:val="6"/>
              <w:spacing w:line="480" w:lineRule="exact"/>
              <w:ind w:firstLine="480" w:firstLineChars="200"/>
              <w:rPr>
                <w:rFonts w:hint="eastAsia"/>
                <w:sz w:val="24"/>
                <w:szCs w:val="24"/>
                <w:highlight w:val="none"/>
              </w:rPr>
            </w:pPr>
            <w:r>
              <w:rPr>
                <w:rFonts w:hint="eastAsia"/>
                <w:sz w:val="24"/>
                <w:szCs w:val="24"/>
                <w:highlight w:val="none"/>
              </w:rPr>
              <w:t>④</w:t>
            </w:r>
            <w:r>
              <w:rPr>
                <w:sz w:val="24"/>
                <w:szCs w:val="24"/>
                <w:highlight w:val="none"/>
              </w:rPr>
              <w:t>施工场地清理阶段，做到先洒水，后清扫，防止扬尘产生</w:t>
            </w:r>
            <w:r>
              <w:rPr>
                <w:rFonts w:hint="eastAsia"/>
                <w:sz w:val="24"/>
                <w:szCs w:val="24"/>
                <w:highlight w:val="none"/>
              </w:rPr>
              <w:t>。</w:t>
            </w:r>
          </w:p>
          <w:p>
            <w:pPr>
              <w:pStyle w:val="6"/>
              <w:spacing w:line="480" w:lineRule="exact"/>
              <w:ind w:firstLine="480" w:firstLineChars="200"/>
              <w:rPr>
                <w:rFonts w:hint="eastAsia" w:ascii="Times New Roman" w:hAnsi="Times New Roman" w:eastAsia="宋体" w:cs="Times New Roman"/>
                <w:sz w:val="24"/>
                <w:szCs w:val="24"/>
                <w:highlight w:val="none"/>
                <w:lang w:eastAsia="zh-CN"/>
              </w:rPr>
            </w:pPr>
            <w:r>
              <w:rPr>
                <w:rFonts w:hint="eastAsia" w:ascii="Times New Roman" w:hAnsi="Times New Roman" w:eastAsia="宋体" w:cs="Times New Roman"/>
                <w:sz w:val="24"/>
                <w:szCs w:val="24"/>
                <w:highlight w:val="none"/>
              </w:rPr>
              <w:t>采取上述措施后，施工扬尘满足《施工场地扬尘排放标准》（DB13/2934-2019）表1扬尘排放浓度限值标准。不会对环境空气造成明显的影</w:t>
            </w:r>
            <w:r>
              <w:rPr>
                <w:rFonts w:hint="eastAsia" w:ascii="Times New Roman" w:hAnsi="Times New Roman" w:eastAsia="宋体" w:cs="Times New Roman"/>
                <w:sz w:val="24"/>
                <w:szCs w:val="24"/>
                <w:highlight w:val="none"/>
                <w:lang w:eastAsia="zh-CN"/>
              </w:rPr>
              <w:t>响。</w:t>
            </w:r>
          </w:p>
          <w:p>
            <w:pPr>
              <w:pStyle w:val="6"/>
              <w:spacing w:line="480" w:lineRule="exact"/>
              <w:ind w:left="479" w:leftChars="228" w:firstLine="0"/>
              <w:rPr>
                <w:rFonts w:hint="eastAsia" w:ascii="Times New Roman" w:hAnsi="Times New Roman" w:eastAsia="宋体" w:cs="Times New Roman"/>
                <w:sz w:val="24"/>
                <w:szCs w:val="24"/>
                <w:highlight w:val="none"/>
              </w:rPr>
            </w:pPr>
            <w:r>
              <w:rPr>
                <w:sz w:val="24"/>
                <w:szCs w:val="24"/>
                <w:highlight w:val="none"/>
              </w:rPr>
              <w:t>⑶噪声</w:t>
            </w:r>
          </w:p>
          <w:p>
            <w:pPr>
              <w:pStyle w:val="6"/>
              <w:spacing w:line="480" w:lineRule="exact"/>
              <w:ind w:firstLine="480" w:firstLineChars="200"/>
              <w:rPr>
                <w:sz w:val="24"/>
                <w:szCs w:val="24"/>
                <w:highlight w:val="none"/>
              </w:rPr>
            </w:pPr>
            <w:r>
              <w:rPr>
                <w:rFonts w:hint="eastAsia"/>
                <w:sz w:val="24"/>
                <w:szCs w:val="24"/>
                <w:highlight w:val="none"/>
              </w:rPr>
              <w:t>项目</w:t>
            </w:r>
            <w:r>
              <w:rPr>
                <w:sz w:val="24"/>
                <w:szCs w:val="24"/>
                <w:highlight w:val="none"/>
              </w:rPr>
              <w:t>施工机械设备噪声厂界噪声排放值，昼间在</w:t>
            </w:r>
            <w:r>
              <w:rPr>
                <w:rFonts w:hint="eastAsia"/>
                <w:sz w:val="24"/>
                <w:szCs w:val="24"/>
                <w:highlight w:val="none"/>
              </w:rPr>
              <w:t>室外10m</w:t>
            </w:r>
            <w:r>
              <w:rPr>
                <w:sz w:val="24"/>
                <w:szCs w:val="24"/>
                <w:highlight w:val="none"/>
              </w:rPr>
              <w:t>处满足《建筑施工场界环境噪声排放标准》(</w:t>
            </w:r>
            <w:r>
              <w:rPr>
                <w:sz w:val="24"/>
                <w:highlight w:val="none"/>
              </w:rPr>
              <w:t>GB12523-2011)</w:t>
            </w:r>
            <w:r>
              <w:rPr>
                <w:sz w:val="24"/>
                <w:szCs w:val="24"/>
                <w:highlight w:val="none"/>
              </w:rPr>
              <w:t>中的</w:t>
            </w:r>
            <w:r>
              <w:rPr>
                <w:rFonts w:hint="eastAsia"/>
                <w:sz w:val="24"/>
                <w:szCs w:val="24"/>
                <w:highlight w:val="none"/>
              </w:rPr>
              <w:t>昼间70dB(A)的</w:t>
            </w:r>
            <w:r>
              <w:rPr>
                <w:sz w:val="24"/>
                <w:szCs w:val="24"/>
                <w:highlight w:val="none"/>
              </w:rPr>
              <w:t>标准</w:t>
            </w:r>
            <w:r>
              <w:rPr>
                <w:rFonts w:hint="eastAsia"/>
                <w:sz w:val="24"/>
                <w:szCs w:val="24"/>
                <w:highlight w:val="none"/>
              </w:rPr>
              <w:t>要求，</w:t>
            </w:r>
            <w:r>
              <w:rPr>
                <w:sz w:val="24"/>
                <w:szCs w:val="24"/>
                <w:highlight w:val="none"/>
              </w:rPr>
              <w:t>夜间在约</w:t>
            </w:r>
            <w:r>
              <w:rPr>
                <w:rFonts w:hint="eastAsia"/>
                <w:sz w:val="24"/>
                <w:szCs w:val="24"/>
                <w:highlight w:val="none"/>
              </w:rPr>
              <w:t>4</w:t>
            </w:r>
            <w:r>
              <w:rPr>
                <w:sz w:val="24"/>
                <w:szCs w:val="24"/>
                <w:highlight w:val="none"/>
              </w:rPr>
              <w:t>0m处满足《建筑施工场界环境噪声排放标准》(</w:t>
            </w:r>
            <w:r>
              <w:rPr>
                <w:sz w:val="24"/>
                <w:highlight w:val="none"/>
              </w:rPr>
              <w:t>GB12523-2011)</w:t>
            </w:r>
            <w:r>
              <w:rPr>
                <w:sz w:val="24"/>
                <w:szCs w:val="24"/>
                <w:highlight w:val="none"/>
              </w:rPr>
              <w:t>中的</w:t>
            </w:r>
            <w:r>
              <w:rPr>
                <w:rFonts w:hint="eastAsia"/>
                <w:sz w:val="24"/>
                <w:szCs w:val="24"/>
                <w:highlight w:val="none"/>
              </w:rPr>
              <w:t>夜间55dB(A)的</w:t>
            </w:r>
            <w:r>
              <w:rPr>
                <w:sz w:val="24"/>
                <w:szCs w:val="24"/>
                <w:highlight w:val="none"/>
              </w:rPr>
              <w:t>标准</w:t>
            </w:r>
            <w:r>
              <w:rPr>
                <w:rFonts w:hint="eastAsia"/>
                <w:sz w:val="24"/>
                <w:szCs w:val="24"/>
                <w:highlight w:val="none"/>
              </w:rPr>
              <w:t>要求</w:t>
            </w:r>
            <w:r>
              <w:rPr>
                <w:sz w:val="24"/>
                <w:szCs w:val="24"/>
                <w:highlight w:val="none"/>
              </w:rPr>
              <w:t>。距离项目</w:t>
            </w:r>
            <w:r>
              <w:rPr>
                <w:rFonts w:hint="eastAsia"/>
                <w:sz w:val="24"/>
                <w:szCs w:val="24"/>
                <w:highlight w:val="none"/>
              </w:rPr>
              <w:t>施工场地</w:t>
            </w:r>
            <w:r>
              <w:rPr>
                <w:sz w:val="24"/>
                <w:szCs w:val="24"/>
                <w:highlight w:val="none"/>
              </w:rPr>
              <w:t>最近的声环境敏感点为项目</w:t>
            </w:r>
            <w:r>
              <w:rPr>
                <w:rFonts w:hint="eastAsia"/>
                <w:sz w:val="24"/>
                <w:szCs w:val="24"/>
                <w:highlight w:val="none"/>
              </w:rPr>
              <w:t>施工场地</w:t>
            </w:r>
            <w:r>
              <w:rPr>
                <w:rFonts w:hint="eastAsia"/>
                <w:sz w:val="24"/>
                <w:szCs w:val="24"/>
                <w:highlight w:val="none"/>
                <w:lang w:eastAsia="zh-CN"/>
              </w:rPr>
              <w:t>东侧</w:t>
            </w:r>
            <w:r>
              <w:rPr>
                <w:rFonts w:hint="eastAsia"/>
                <w:sz w:val="24"/>
                <w:szCs w:val="24"/>
                <w:highlight w:val="none"/>
                <w:lang w:val="en-US" w:eastAsia="zh-CN"/>
              </w:rPr>
              <w:t>67</w:t>
            </w:r>
            <w:r>
              <w:rPr>
                <w:sz w:val="24"/>
                <w:szCs w:val="24"/>
                <w:highlight w:val="none"/>
              </w:rPr>
              <w:t>m的</w:t>
            </w:r>
            <w:r>
              <w:rPr>
                <w:rFonts w:hint="eastAsia"/>
                <w:sz w:val="24"/>
                <w:szCs w:val="24"/>
                <w:highlight w:val="none"/>
                <w:lang w:eastAsia="zh-CN"/>
              </w:rPr>
              <w:t>迁安市人民医院主楼</w:t>
            </w:r>
            <w:r>
              <w:rPr>
                <w:rFonts w:hint="eastAsia"/>
                <w:sz w:val="24"/>
                <w:szCs w:val="24"/>
                <w:highlight w:val="none"/>
              </w:rPr>
              <w:t>。为避免项目建设对住院病人的影响，项目夜间不施工，中午12:00-14:00不施工，</w:t>
            </w:r>
            <w:r>
              <w:rPr>
                <w:sz w:val="24"/>
                <w:szCs w:val="24"/>
                <w:highlight w:val="none"/>
              </w:rPr>
              <w:t>采取上述措施后，项目施工噪声对环境影响能够降到最小。</w:t>
            </w:r>
          </w:p>
          <w:p>
            <w:pPr>
              <w:pStyle w:val="6"/>
              <w:spacing w:line="480" w:lineRule="exact"/>
              <w:ind w:firstLine="480" w:firstLineChars="200"/>
              <w:rPr>
                <w:sz w:val="24"/>
                <w:szCs w:val="24"/>
                <w:highlight w:val="none"/>
              </w:rPr>
            </w:pPr>
            <w:r>
              <w:rPr>
                <w:sz w:val="24"/>
                <w:szCs w:val="24"/>
                <w:highlight w:val="none"/>
              </w:rPr>
              <w:t>⑷固体废物</w:t>
            </w:r>
          </w:p>
          <w:p>
            <w:pPr>
              <w:pStyle w:val="6"/>
              <w:spacing w:line="480" w:lineRule="exact"/>
              <w:ind w:firstLine="480" w:firstLineChars="200"/>
              <w:rPr>
                <w:sz w:val="24"/>
                <w:szCs w:val="24"/>
                <w:highlight w:val="none"/>
              </w:rPr>
            </w:pPr>
            <w:r>
              <w:rPr>
                <w:sz w:val="24"/>
                <w:szCs w:val="24"/>
                <w:highlight w:val="none"/>
              </w:rPr>
              <w:t>施工期固体废弃物主要来源于</w:t>
            </w:r>
            <w:r>
              <w:rPr>
                <w:rFonts w:hint="eastAsia"/>
                <w:sz w:val="24"/>
                <w:szCs w:val="24"/>
                <w:highlight w:val="none"/>
                <w:lang w:eastAsia="zh-CN"/>
              </w:rPr>
              <w:t>装修垃圾</w:t>
            </w:r>
            <w:r>
              <w:rPr>
                <w:sz w:val="24"/>
                <w:szCs w:val="24"/>
                <w:highlight w:val="none"/>
              </w:rPr>
              <w:t>及施工人员生活垃圾。生活垃圾经收集后袋装送环卫部门处理</w:t>
            </w:r>
            <w:r>
              <w:rPr>
                <w:rFonts w:hint="eastAsia"/>
                <w:sz w:val="24"/>
                <w:szCs w:val="24"/>
                <w:highlight w:val="none"/>
              </w:rPr>
              <w:t>，</w:t>
            </w:r>
            <w:r>
              <w:rPr>
                <w:rFonts w:hint="eastAsia" w:ascii="Times New Roman" w:hAnsi="Times New Roman"/>
                <w:sz w:val="24"/>
                <w:szCs w:val="24"/>
                <w:highlight w:val="none"/>
                <w:lang w:eastAsia="zh-CN"/>
              </w:rPr>
              <w:t>装修垃圾清运到城市建设监管部门指定的地点，</w:t>
            </w:r>
            <w:r>
              <w:rPr>
                <w:sz w:val="24"/>
                <w:szCs w:val="24"/>
                <w:highlight w:val="none"/>
              </w:rPr>
              <w:t>不会对周围环境产生影响。固废综合利用或合理处置，不会对外环境产生不利影响。</w:t>
            </w:r>
          </w:p>
          <w:p>
            <w:pPr>
              <w:pStyle w:val="6"/>
              <w:spacing w:line="480" w:lineRule="exact"/>
              <w:ind w:left="479" w:leftChars="228" w:firstLine="0"/>
              <w:rPr>
                <w:rFonts w:hint="eastAsia"/>
                <w:sz w:val="24"/>
                <w:szCs w:val="24"/>
                <w:highlight w:val="none"/>
              </w:rPr>
            </w:pPr>
            <w:r>
              <w:rPr>
                <w:sz w:val="24"/>
                <w:szCs w:val="24"/>
                <w:highlight w:val="none"/>
              </w:rPr>
              <w:t>⑸</w:t>
            </w:r>
            <w:r>
              <w:rPr>
                <w:rFonts w:hint="eastAsia"/>
                <w:sz w:val="24"/>
                <w:szCs w:val="24"/>
                <w:highlight w:val="none"/>
              </w:rPr>
              <w:t>生态环境</w:t>
            </w:r>
          </w:p>
          <w:p>
            <w:pPr>
              <w:pStyle w:val="23"/>
              <w:tabs>
                <w:tab w:val="left" w:pos="4148"/>
              </w:tabs>
              <w:adjustRightInd w:val="0"/>
              <w:snapToGrid w:val="0"/>
              <w:spacing w:line="480" w:lineRule="exact"/>
              <w:ind w:firstLine="480" w:firstLineChars="200"/>
              <w:rPr>
                <w:rFonts w:hint="eastAsia" w:ascii="Times New Roman" w:hAnsi="Times New Roman" w:cs="Times New Roman"/>
                <w:b/>
                <w:bCs/>
                <w:sz w:val="24"/>
                <w:szCs w:val="24"/>
                <w:highlight w:val="none"/>
              </w:rPr>
            </w:pPr>
            <w:r>
              <w:rPr>
                <w:rFonts w:hAnsi="宋体"/>
                <w:kern w:val="24"/>
                <w:sz w:val="24"/>
                <w:szCs w:val="24"/>
                <w:highlight w:val="none"/>
              </w:rPr>
              <w:t>本项目建设过程中进行</w:t>
            </w:r>
            <w:r>
              <w:rPr>
                <w:rFonts w:hint="eastAsia" w:hAnsi="宋体"/>
                <w:kern w:val="24"/>
                <w:sz w:val="24"/>
                <w:szCs w:val="24"/>
                <w:highlight w:val="none"/>
                <w:lang w:eastAsia="zh-CN"/>
              </w:rPr>
              <w:t>建筑装修及</w:t>
            </w:r>
            <w:r>
              <w:rPr>
                <w:rFonts w:hint="eastAsia" w:hAnsi="宋体"/>
                <w:kern w:val="24"/>
                <w:sz w:val="24"/>
                <w:szCs w:val="24"/>
                <w:highlight w:val="none"/>
              </w:rPr>
              <w:t>设备的安装，</w:t>
            </w:r>
            <w:r>
              <w:rPr>
                <w:rFonts w:hAnsi="宋体"/>
                <w:kern w:val="24"/>
                <w:sz w:val="24"/>
                <w:szCs w:val="24"/>
                <w:highlight w:val="none"/>
              </w:rPr>
              <w:t>本项目区无珍稀的动植物，项目建设对当地的生态环境影响不大。</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4</w:t>
            </w:r>
            <w:r>
              <w:rPr>
                <w:rFonts w:ascii="Times New Roman" w:hAnsi="Times New Roman" w:cs="Times New Roman"/>
                <w:b/>
                <w:bCs/>
                <w:sz w:val="24"/>
                <w:szCs w:val="24"/>
                <w:highlight w:val="none"/>
              </w:rPr>
              <w:t>、运营期主要环境影响</w:t>
            </w:r>
          </w:p>
          <w:p>
            <w:pPr>
              <w:pStyle w:val="23"/>
              <w:tabs>
                <w:tab w:val="left" w:pos="4148"/>
              </w:tabs>
              <w:adjustRightInd w:val="0"/>
              <w:snapToGrid w:val="0"/>
              <w:spacing w:line="480" w:lineRule="exact"/>
              <w:ind w:firstLine="480" w:firstLineChars="200"/>
              <w:rPr>
                <w:rFonts w:hint="eastAsia" w:hAnsi="宋体"/>
                <w:kern w:val="24"/>
                <w:sz w:val="24"/>
                <w:szCs w:val="24"/>
                <w:highlight w:val="none"/>
              </w:rPr>
            </w:pPr>
            <w:r>
              <w:rPr>
                <w:rFonts w:hint="eastAsia" w:hAnsi="宋体"/>
                <w:kern w:val="24"/>
                <w:sz w:val="24"/>
                <w:szCs w:val="24"/>
                <w:highlight w:val="none"/>
              </w:rPr>
              <w:t>（1）大气环境影响分析</w:t>
            </w:r>
          </w:p>
          <w:p>
            <w:pPr>
              <w:pStyle w:val="6"/>
              <w:adjustRightInd w:val="0"/>
              <w:snapToGrid w:val="0"/>
              <w:spacing w:line="480" w:lineRule="exact"/>
              <w:ind w:firstLine="480" w:firstLineChars="200"/>
              <w:rPr>
                <w:rFonts w:hint="eastAsia" w:hAnsi="宋体"/>
                <w:kern w:val="24"/>
                <w:sz w:val="24"/>
                <w:szCs w:val="24"/>
                <w:highlight w:val="none"/>
              </w:rPr>
            </w:pPr>
            <w:r>
              <w:rPr>
                <w:rFonts w:hint="eastAsia"/>
                <w:snapToGrid w:val="0"/>
                <w:sz w:val="24"/>
                <w:szCs w:val="24"/>
                <w:highlight w:val="none"/>
              </w:rPr>
              <w:t>本项目不设食堂，不产生食堂油烟等</w:t>
            </w:r>
            <w:r>
              <w:rPr>
                <w:rFonts w:hint="eastAsia"/>
                <w:snapToGrid w:val="0"/>
                <w:sz w:val="24"/>
                <w:szCs w:val="24"/>
                <w:highlight w:val="none"/>
                <w:lang w:eastAsia="zh-CN"/>
              </w:rPr>
              <w:t>，</w:t>
            </w:r>
            <w:r>
              <w:rPr>
                <w:rFonts w:hint="eastAsia"/>
                <w:snapToGrid w:val="0"/>
                <w:sz w:val="24"/>
                <w:szCs w:val="24"/>
                <w:highlight w:val="none"/>
              </w:rPr>
              <w:t>无废气产生</w:t>
            </w:r>
            <w:r>
              <w:rPr>
                <w:rFonts w:hint="eastAsia"/>
                <w:sz w:val="24"/>
                <w:szCs w:val="24"/>
                <w:highlight w:val="none"/>
              </w:rPr>
              <w:t>。</w:t>
            </w:r>
          </w:p>
          <w:p>
            <w:pPr>
              <w:pStyle w:val="6"/>
              <w:adjustRightInd w:val="0"/>
              <w:snapToGrid w:val="0"/>
              <w:spacing w:line="480" w:lineRule="exact"/>
              <w:ind w:firstLine="480" w:firstLineChars="200"/>
              <w:rPr>
                <w:sz w:val="24"/>
                <w:szCs w:val="24"/>
                <w:highlight w:val="none"/>
              </w:rPr>
            </w:pPr>
            <w:r>
              <w:rPr>
                <w:rFonts w:hint="eastAsia"/>
                <w:bCs/>
                <w:sz w:val="24"/>
                <w:szCs w:val="24"/>
                <w:highlight w:val="none"/>
              </w:rPr>
              <w:t>（2）</w:t>
            </w:r>
            <w:r>
              <w:rPr>
                <w:rFonts w:hint="eastAsia"/>
                <w:sz w:val="24"/>
                <w:szCs w:val="24"/>
                <w:highlight w:val="none"/>
              </w:rPr>
              <w:t>水环境影响分析</w:t>
            </w:r>
          </w:p>
          <w:p>
            <w:pPr>
              <w:pStyle w:val="6"/>
              <w:adjustRightInd w:val="0"/>
              <w:snapToGrid w:val="0"/>
              <w:spacing w:line="480" w:lineRule="exact"/>
              <w:ind w:firstLine="480" w:firstLineChars="200"/>
              <w:rPr>
                <w:rFonts w:hint="eastAsia"/>
                <w:sz w:val="24"/>
                <w:szCs w:val="24"/>
                <w:highlight w:val="none"/>
              </w:rPr>
            </w:pPr>
            <w:r>
              <w:rPr>
                <w:rFonts w:hint="eastAsia"/>
                <w:sz w:val="24"/>
                <w:szCs w:val="24"/>
                <w:highlight w:val="none"/>
              </w:rPr>
              <w:t>①地表水环境影响分析</w:t>
            </w:r>
          </w:p>
          <w:p>
            <w:pPr>
              <w:pStyle w:val="6"/>
              <w:adjustRightInd w:val="0"/>
              <w:snapToGrid w:val="0"/>
              <w:spacing w:line="480" w:lineRule="exact"/>
              <w:ind w:firstLine="480" w:firstLineChars="200"/>
              <w:rPr>
                <w:rFonts w:hint="eastAsia"/>
                <w:sz w:val="24"/>
                <w:highlight w:val="none"/>
              </w:rPr>
            </w:pPr>
            <w:r>
              <w:rPr>
                <w:sz w:val="24"/>
                <w:highlight w:val="none"/>
              </w:rPr>
              <w:t>项目营运期</w:t>
            </w:r>
            <w:r>
              <w:rPr>
                <w:rFonts w:hint="eastAsia"/>
                <w:sz w:val="24"/>
                <w:highlight w:val="none"/>
                <w:lang w:eastAsia="zh-CN"/>
              </w:rPr>
              <w:t>用</w:t>
            </w:r>
            <w:r>
              <w:rPr>
                <w:sz w:val="24"/>
                <w:highlight w:val="none"/>
              </w:rPr>
              <w:t>水主要为</w:t>
            </w:r>
            <w:r>
              <w:rPr>
                <w:color w:val="000000"/>
                <w:sz w:val="24"/>
                <w:szCs w:val="24"/>
                <w:highlight w:val="none"/>
              </w:rPr>
              <w:t>医务人员生活用水</w:t>
            </w:r>
            <w:r>
              <w:rPr>
                <w:rFonts w:hint="eastAsia"/>
                <w:color w:val="000000"/>
                <w:sz w:val="24"/>
                <w:szCs w:val="24"/>
                <w:highlight w:val="none"/>
              </w:rPr>
              <w:t>、</w:t>
            </w:r>
            <w:r>
              <w:rPr>
                <w:rFonts w:hint="eastAsia"/>
                <w:sz w:val="24"/>
                <w:szCs w:val="24"/>
                <w:highlight w:val="none"/>
              </w:rPr>
              <w:t>体检</w:t>
            </w:r>
            <w:r>
              <w:rPr>
                <w:color w:val="000000"/>
                <w:sz w:val="24"/>
                <w:szCs w:val="24"/>
                <w:highlight w:val="none"/>
              </w:rPr>
              <w:t>用水</w:t>
            </w:r>
            <w:r>
              <w:rPr>
                <w:rFonts w:hint="eastAsia"/>
                <w:color w:val="000000"/>
                <w:sz w:val="24"/>
                <w:szCs w:val="24"/>
                <w:highlight w:val="none"/>
              </w:rPr>
              <w:t>、健康养护用水、洗衣用水和绿化灌溉用水</w:t>
            </w:r>
            <w:r>
              <w:rPr>
                <w:sz w:val="24"/>
                <w:highlight w:val="none"/>
              </w:rPr>
              <w:t>，</w:t>
            </w:r>
            <w:r>
              <w:rPr>
                <w:rFonts w:hint="eastAsia"/>
                <w:sz w:val="24"/>
                <w:szCs w:val="24"/>
                <w:highlight w:val="none"/>
              </w:rPr>
              <w:t>排水主要为生活污水</w:t>
            </w:r>
            <w:r>
              <w:rPr>
                <w:rFonts w:hint="eastAsia"/>
                <w:sz w:val="24"/>
                <w:szCs w:val="24"/>
                <w:highlight w:val="none"/>
                <w:lang w:eastAsia="zh-CN"/>
              </w:rPr>
              <w:t>和医疗废水，医疗废水包括</w:t>
            </w:r>
            <w:r>
              <w:rPr>
                <w:rFonts w:hint="eastAsia"/>
                <w:sz w:val="24"/>
                <w:szCs w:val="24"/>
                <w:highlight w:val="none"/>
              </w:rPr>
              <w:t>体检废水、</w:t>
            </w:r>
            <w:r>
              <w:rPr>
                <w:rFonts w:hint="eastAsia"/>
                <w:color w:val="000000"/>
                <w:sz w:val="24"/>
                <w:szCs w:val="24"/>
                <w:highlight w:val="none"/>
              </w:rPr>
              <w:t>健康养护废水、洗衣废水</w:t>
            </w:r>
            <w:r>
              <w:rPr>
                <w:rFonts w:hint="eastAsia"/>
                <w:sz w:val="24"/>
                <w:szCs w:val="24"/>
                <w:highlight w:val="none"/>
              </w:rPr>
              <w:t>，</w:t>
            </w:r>
            <w:r>
              <w:rPr>
                <w:sz w:val="24"/>
                <w:highlight w:val="none"/>
              </w:rPr>
              <w:t>总排水量为</w:t>
            </w:r>
            <w:r>
              <w:rPr>
                <w:rFonts w:hint="eastAsia"/>
                <w:sz w:val="24"/>
                <w:szCs w:val="24"/>
                <w:highlight w:val="none"/>
              </w:rPr>
              <w:t>14</w:t>
            </w:r>
            <w:r>
              <w:rPr>
                <w:sz w:val="24"/>
                <w:szCs w:val="24"/>
                <w:highlight w:val="none"/>
              </w:rPr>
              <w:t>m</w:t>
            </w:r>
            <w:r>
              <w:rPr>
                <w:sz w:val="24"/>
                <w:szCs w:val="24"/>
                <w:highlight w:val="none"/>
                <w:vertAlign w:val="superscript"/>
              </w:rPr>
              <w:t>3</w:t>
            </w:r>
            <w:r>
              <w:rPr>
                <w:sz w:val="24"/>
                <w:szCs w:val="24"/>
                <w:highlight w:val="none"/>
              </w:rPr>
              <w:t>/d</w:t>
            </w:r>
            <w:r>
              <w:rPr>
                <w:sz w:val="24"/>
                <w:highlight w:val="none"/>
              </w:rPr>
              <w:t>，</w:t>
            </w:r>
            <w:r>
              <w:rPr>
                <w:rFonts w:hint="eastAsia"/>
                <w:sz w:val="24"/>
                <w:highlight w:val="none"/>
                <w:lang w:eastAsia="zh-CN"/>
              </w:rPr>
              <w:t>医疗废水排入人民医院污水处理站处理后排入迁安市污水处理厂，生活废水经化粪池处理排入人民医院污水处理站处理后排入迁安市污水处理厂。</w:t>
            </w:r>
            <w:r>
              <w:rPr>
                <w:sz w:val="24"/>
                <w:highlight w:val="none"/>
              </w:rPr>
              <w:t>废水中主要污染物</w:t>
            </w:r>
            <w:r>
              <w:rPr>
                <w:rFonts w:hint="eastAsia"/>
                <w:sz w:val="24"/>
                <w:highlight w:val="none"/>
              </w:rPr>
              <w:t>为</w:t>
            </w:r>
            <w:r>
              <w:rPr>
                <w:sz w:val="24"/>
                <w:highlight w:val="none"/>
              </w:rPr>
              <w:t>COD</w:t>
            </w:r>
            <w:r>
              <w:rPr>
                <w:rFonts w:hint="eastAsia"/>
                <w:sz w:val="24"/>
                <w:highlight w:val="none"/>
              </w:rPr>
              <w:t>、</w:t>
            </w:r>
            <w:r>
              <w:rPr>
                <w:sz w:val="24"/>
                <w:highlight w:val="none"/>
              </w:rPr>
              <w:t>BOD</w:t>
            </w:r>
            <w:r>
              <w:rPr>
                <w:rFonts w:hint="eastAsia"/>
                <w:sz w:val="24"/>
                <w:highlight w:val="none"/>
              </w:rPr>
              <w:t>、</w:t>
            </w:r>
            <w:r>
              <w:rPr>
                <w:sz w:val="24"/>
                <w:highlight w:val="none"/>
              </w:rPr>
              <w:t>SS</w:t>
            </w:r>
            <w:r>
              <w:rPr>
                <w:rFonts w:hint="eastAsia"/>
                <w:sz w:val="24"/>
                <w:highlight w:val="none"/>
              </w:rPr>
              <w:t>、氨氮、粪大肠菌群</w:t>
            </w:r>
            <w:r>
              <w:rPr>
                <w:rFonts w:hint="eastAsia"/>
                <w:sz w:val="24"/>
                <w:highlight w:val="none"/>
                <w:lang w:eastAsia="zh-CN"/>
              </w:rPr>
              <w:t>和阴离子表面活性剂</w:t>
            </w:r>
            <w:r>
              <w:rPr>
                <w:rFonts w:hint="eastAsia"/>
                <w:sz w:val="24"/>
                <w:szCs w:val="24"/>
                <w:highlight w:val="none"/>
              </w:rPr>
              <w:t>。各污染浓度</w:t>
            </w:r>
            <w:r>
              <w:rPr>
                <w:sz w:val="24"/>
                <w:highlight w:val="none"/>
              </w:rPr>
              <w:t>可以满足《医疗机构水污染物排放标准》（GB18466-2005）表2中的</w:t>
            </w:r>
            <w:r>
              <w:rPr>
                <w:rFonts w:hint="eastAsia"/>
                <w:sz w:val="24"/>
                <w:highlight w:val="none"/>
              </w:rPr>
              <w:t>排放</w:t>
            </w:r>
            <w:r>
              <w:rPr>
                <w:sz w:val="24"/>
                <w:highlight w:val="none"/>
              </w:rPr>
              <w:t>标准</w:t>
            </w:r>
            <w:r>
              <w:rPr>
                <w:rFonts w:hint="eastAsia"/>
                <w:sz w:val="24"/>
                <w:highlight w:val="none"/>
                <w:lang w:eastAsia="zh-CN"/>
              </w:rPr>
              <w:t>和迁安市污水处理厂收水标准</w:t>
            </w:r>
            <w:r>
              <w:rPr>
                <w:rFonts w:hint="eastAsia"/>
                <w:sz w:val="24"/>
                <w:highlight w:val="none"/>
              </w:rPr>
              <w:t>。</w:t>
            </w:r>
          </w:p>
          <w:p>
            <w:pPr>
              <w:adjustRightInd w:val="0"/>
              <w:snapToGrid w:val="0"/>
              <w:spacing w:line="480" w:lineRule="exact"/>
              <w:ind w:firstLine="480" w:firstLineChars="200"/>
              <w:rPr>
                <w:rFonts w:hint="eastAsia"/>
                <w:color w:val="FF0000"/>
                <w:sz w:val="24"/>
                <w:highlight w:val="none"/>
              </w:rPr>
            </w:pPr>
            <w:r>
              <w:rPr>
                <w:rFonts w:hint="eastAsia"/>
                <w:sz w:val="24"/>
                <w:highlight w:val="none"/>
              </w:rPr>
              <w:t>②地下水环境影响分析</w:t>
            </w:r>
          </w:p>
          <w:p>
            <w:pPr>
              <w:adjustRightInd w:val="0"/>
              <w:snapToGrid w:val="0"/>
              <w:spacing w:line="480" w:lineRule="exact"/>
              <w:ind w:firstLine="480" w:firstLineChars="200"/>
              <w:rPr>
                <w:rFonts w:hint="eastAsia" w:hAnsi="宋体"/>
                <w:kern w:val="24"/>
                <w:sz w:val="24"/>
                <w:highlight w:val="none"/>
              </w:rPr>
            </w:pPr>
            <w:r>
              <w:rPr>
                <w:rFonts w:hint="eastAsia"/>
                <w:sz w:val="24"/>
                <w:highlight w:val="none"/>
              </w:rPr>
              <w:t>项目</w:t>
            </w:r>
            <w:r>
              <w:rPr>
                <w:sz w:val="24"/>
                <w:highlight w:val="none"/>
              </w:rPr>
              <w:t>污</w:t>
            </w:r>
            <w:r>
              <w:rPr>
                <w:rFonts w:hint="eastAsia"/>
                <w:sz w:val="24"/>
                <w:highlight w:val="none"/>
                <w:lang w:eastAsia="zh-CN"/>
              </w:rPr>
              <w:t>水管道、化粪池</w:t>
            </w:r>
            <w:r>
              <w:rPr>
                <w:rFonts w:hint="eastAsia"/>
                <w:sz w:val="24"/>
                <w:highlight w:val="none"/>
              </w:rPr>
              <w:t>和医疗废物暂存间做防渗处理，</w:t>
            </w:r>
            <w:r>
              <w:rPr>
                <w:rFonts w:hint="eastAsia"/>
                <w:sz w:val="24"/>
                <w:szCs w:val="24"/>
                <w:highlight w:val="none"/>
              </w:rPr>
              <w:t>污水管道</w:t>
            </w:r>
            <w:r>
              <w:rPr>
                <w:rFonts w:hint="eastAsia"/>
                <w:sz w:val="24"/>
                <w:szCs w:val="24"/>
                <w:highlight w:val="none"/>
                <w:lang w:eastAsia="zh-CN"/>
              </w:rPr>
              <w:t>和</w:t>
            </w:r>
            <w:r>
              <w:rPr>
                <w:rFonts w:hint="eastAsia"/>
                <w:sz w:val="24"/>
                <w:highlight w:val="none"/>
              </w:rPr>
              <w:t>医疗废物暂存间渗透系数达到</w:t>
            </w:r>
            <w:r>
              <w:rPr>
                <w:sz w:val="24"/>
                <w:highlight w:val="none"/>
              </w:rPr>
              <w:t>10</w:t>
            </w:r>
            <w:r>
              <w:rPr>
                <w:sz w:val="24"/>
                <w:highlight w:val="none"/>
                <w:vertAlign w:val="superscript"/>
              </w:rPr>
              <w:t>-</w:t>
            </w:r>
            <w:r>
              <w:rPr>
                <w:rFonts w:hint="eastAsia"/>
                <w:sz w:val="24"/>
                <w:highlight w:val="none"/>
                <w:vertAlign w:val="superscript"/>
              </w:rPr>
              <w:t>10</w:t>
            </w:r>
            <w:r>
              <w:rPr>
                <w:sz w:val="24"/>
                <w:highlight w:val="none"/>
              </w:rPr>
              <w:t>cm/s</w:t>
            </w:r>
            <w:r>
              <w:rPr>
                <w:rFonts w:hint="eastAsia"/>
                <w:sz w:val="24"/>
                <w:szCs w:val="24"/>
                <w:highlight w:val="none"/>
              </w:rPr>
              <w:t>，</w:t>
            </w:r>
            <w:r>
              <w:rPr>
                <w:rFonts w:hint="eastAsia"/>
                <w:sz w:val="24"/>
                <w:szCs w:val="24"/>
                <w:highlight w:val="none"/>
                <w:lang w:eastAsia="zh-CN"/>
              </w:rPr>
              <w:t>化粪池</w:t>
            </w:r>
            <w:r>
              <w:rPr>
                <w:rFonts w:hint="eastAsia"/>
                <w:sz w:val="24"/>
                <w:highlight w:val="none"/>
              </w:rPr>
              <w:t>渗透系数达到</w:t>
            </w:r>
            <w:r>
              <w:rPr>
                <w:sz w:val="24"/>
                <w:highlight w:val="none"/>
              </w:rPr>
              <w:t>10</w:t>
            </w:r>
            <w:r>
              <w:rPr>
                <w:sz w:val="24"/>
                <w:highlight w:val="none"/>
                <w:vertAlign w:val="superscript"/>
              </w:rPr>
              <w:t>-</w:t>
            </w:r>
            <w:r>
              <w:rPr>
                <w:rFonts w:hint="eastAsia"/>
                <w:sz w:val="24"/>
                <w:highlight w:val="none"/>
                <w:vertAlign w:val="superscript"/>
              </w:rPr>
              <w:t>7</w:t>
            </w:r>
            <w:r>
              <w:rPr>
                <w:sz w:val="24"/>
                <w:highlight w:val="none"/>
              </w:rPr>
              <w:t>cm/s</w:t>
            </w:r>
            <w:r>
              <w:rPr>
                <w:rFonts w:hint="eastAsia"/>
                <w:sz w:val="24"/>
                <w:highlight w:val="none"/>
              </w:rPr>
              <w:t>，</w:t>
            </w:r>
            <w:r>
              <w:rPr>
                <w:rFonts w:hint="eastAsia"/>
                <w:spacing w:val="-1"/>
                <w:sz w:val="24"/>
                <w:szCs w:val="24"/>
                <w:highlight w:val="none"/>
              </w:rPr>
              <w:t>不会对地下水水质造成影响</w:t>
            </w:r>
            <w:r>
              <w:rPr>
                <w:rFonts w:hint="eastAsia" w:hAnsi="宋体"/>
                <w:kern w:val="24"/>
                <w:sz w:val="24"/>
                <w:highlight w:val="none"/>
              </w:rPr>
              <w:t>。综上，项目对水环境的影响较小。</w:t>
            </w:r>
          </w:p>
          <w:p>
            <w:pPr>
              <w:pStyle w:val="6"/>
              <w:adjustRightInd w:val="0"/>
              <w:snapToGrid w:val="0"/>
              <w:spacing w:line="480" w:lineRule="exact"/>
              <w:ind w:firstLine="480" w:firstLineChars="200"/>
              <w:rPr>
                <w:rFonts w:hint="eastAsia"/>
                <w:sz w:val="24"/>
                <w:szCs w:val="24"/>
                <w:highlight w:val="none"/>
              </w:rPr>
            </w:pPr>
            <w:r>
              <w:rPr>
                <w:rFonts w:hint="eastAsia"/>
                <w:sz w:val="24"/>
                <w:szCs w:val="24"/>
                <w:highlight w:val="none"/>
              </w:rPr>
              <w:t>（3）</w:t>
            </w:r>
            <w:r>
              <w:rPr>
                <w:sz w:val="24"/>
                <w:szCs w:val="24"/>
                <w:highlight w:val="none"/>
              </w:rPr>
              <w:t>固废</w:t>
            </w:r>
          </w:p>
          <w:p>
            <w:pPr>
              <w:adjustRightInd w:val="0"/>
              <w:snapToGrid w:val="0"/>
              <w:spacing w:line="480" w:lineRule="exact"/>
              <w:ind w:firstLine="480" w:firstLineChars="200"/>
              <w:rPr>
                <w:sz w:val="24"/>
                <w:highlight w:val="none"/>
              </w:rPr>
            </w:pPr>
            <w:r>
              <w:rPr>
                <w:sz w:val="24"/>
                <w:highlight w:val="none"/>
              </w:rPr>
              <w:t>医院产生的固废包括办公生活垃圾、医疗废物</w:t>
            </w:r>
            <w:r>
              <w:rPr>
                <w:rFonts w:hint="eastAsia"/>
                <w:sz w:val="24"/>
                <w:highlight w:val="none"/>
                <w:lang w:eastAsia="zh-CN"/>
              </w:rPr>
              <w:t>和化粪池污泥</w:t>
            </w:r>
            <w:r>
              <w:rPr>
                <w:sz w:val="24"/>
                <w:highlight w:val="none"/>
              </w:rPr>
              <w:t>。</w:t>
            </w:r>
          </w:p>
          <w:p>
            <w:pPr>
              <w:pStyle w:val="6"/>
              <w:adjustRightInd w:val="0"/>
              <w:snapToGrid w:val="0"/>
              <w:spacing w:line="480" w:lineRule="exact"/>
              <w:ind w:firstLine="480" w:firstLineChars="200"/>
              <w:rPr>
                <w:rFonts w:hint="eastAsia"/>
                <w:bCs/>
                <w:sz w:val="24"/>
                <w:szCs w:val="24"/>
                <w:highlight w:val="none"/>
              </w:rPr>
            </w:pPr>
            <w:r>
              <w:rPr>
                <w:rFonts w:hint="eastAsia"/>
                <w:bCs/>
                <w:sz w:val="24"/>
                <w:szCs w:val="24"/>
                <w:highlight w:val="none"/>
              </w:rPr>
              <w:t>项目产生的一般生活垃圾交由环卫部门处理。</w:t>
            </w:r>
          </w:p>
          <w:p>
            <w:pPr>
              <w:pStyle w:val="6"/>
              <w:adjustRightInd w:val="0"/>
              <w:snapToGrid w:val="0"/>
              <w:spacing w:line="480" w:lineRule="exact"/>
              <w:ind w:firstLine="480" w:firstLineChars="200"/>
              <w:rPr>
                <w:rFonts w:hint="eastAsia"/>
                <w:sz w:val="24"/>
                <w:highlight w:val="none"/>
              </w:rPr>
            </w:pPr>
            <w:r>
              <w:rPr>
                <w:rFonts w:hint="eastAsia"/>
                <w:sz w:val="24"/>
                <w:szCs w:val="24"/>
                <w:highlight w:val="none"/>
              </w:rPr>
              <w:t>产生的医疗废物属于《国家危险废物名录》（</w:t>
            </w:r>
            <w:r>
              <w:rPr>
                <w:sz w:val="24"/>
                <w:szCs w:val="24"/>
                <w:highlight w:val="none"/>
              </w:rPr>
              <w:t>2016</w:t>
            </w:r>
            <w:r>
              <w:rPr>
                <w:rFonts w:hint="eastAsia"/>
                <w:sz w:val="24"/>
                <w:szCs w:val="24"/>
                <w:highlight w:val="none"/>
              </w:rPr>
              <w:t>年）中的</w:t>
            </w:r>
            <w:r>
              <w:rPr>
                <w:sz w:val="24"/>
                <w:szCs w:val="24"/>
                <w:highlight w:val="none"/>
              </w:rPr>
              <w:t xml:space="preserve">“HW01 </w:t>
            </w:r>
            <w:r>
              <w:rPr>
                <w:rFonts w:hint="eastAsia"/>
                <w:sz w:val="24"/>
                <w:szCs w:val="24"/>
                <w:highlight w:val="none"/>
              </w:rPr>
              <w:t>医疗废物</w:t>
            </w:r>
            <w:r>
              <w:rPr>
                <w:sz w:val="24"/>
                <w:szCs w:val="24"/>
                <w:highlight w:val="none"/>
              </w:rPr>
              <w:t>”</w:t>
            </w:r>
            <w:r>
              <w:rPr>
                <w:sz w:val="24"/>
                <w:highlight w:val="none"/>
              </w:rPr>
              <w:t>，</w:t>
            </w:r>
            <w:r>
              <w:rPr>
                <w:rFonts w:hint="eastAsia"/>
                <w:sz w:val="24"/>
                <w:szCs w:val="24"/>
                <w:highlight w:val="none"/>
              </w:rPr>
              <w:t>暂存于人民医院医疗废物暂存间，</w:t>
            </w:r>
            <w:r>
              <w:rPr>
                <w:sz w:val="24"/>
                <w:szCs w:val="24"/>
                <w:highlight w:val="none"/>
              </w:rPr>
              <w:t>交</w:t>
            </w:r>
            <w:r>
              <w:rPr>
                <w:rFonts w:hint="eastAsia"/>
                <w:sz w:val="24"/>
                <w:szCs w:val="24"/>
                <w:highlight w:val="none"/>
                <w:lang w:eastAsia="zh-CN"/>
              </w:rPr>
              <w:t>有资质单位</w:t>
            </w:r>
            <w:r>
              <w:rPr>
                <w:rFonts w:hint="eastAsia"/>
                <w:sz w:val="24"/>
                <w:szCs w:val="24"/>
                <w:highlight w:val="none"/>
              </w:rPr>
              <w:t>处置</w:t>
            </w:r>
            <w:r>
              <w:rPr>
                <w:rFonts w:hint="eastAsia"/>
                <w:sz w:val="24"/>
                <w:highlight w:val="none"/>
              </w:rPr>
              <w:t>。</w:t>
            </w:r>
          </w:p>
          <w:p>
            <w:pPr>
              <w:adjustRightInd w:val="0"/>
              <w:snapToGrid w:val="0"/>
              <w:spacing w:line="480" w:lineRule="exact"/>
              <w:ind w:firstLine="480" w:firstLineChars="200"/>
              <w:rPr>
                <w:sz w:val="24"/>
                <w:szCs w:val="24"/>
                <w:highlight w:val="none"/>
              </w:rPr>
            </w:pPr>
            <w:r>
              <w:rPr>
                <w:rFonts w:hint="eastAsia"/>
                <w:color w:val="000000"/>
                <w:sz w:val="24"/>
                <w:szCs w:val="24"/>
                <w:highlight w:val="none"/>
              </w:rPr>
              <w:t>化粪池污泥</w:t>
            </w:r>
            <w:r>
              <w:rPr>
                <w:bCs/>
                <w:sz w:val="24"/>
                <w:szCs w:val="24"/>
                <w:highlight w:val="none"/>
              </w:rPr>
              <w:t>经过</w:t>
            </w:r>
            <w:r>
              <w:rPr>
                <w:rFonts w:hint="eastAsia"/>
                <w:bCs/>
                <w:sz w:val="24"/>
                <w:szCs w:val="24"/>
                <w:highlight w:val="none"/>
              </w:rPr>
              <w:t>消毒满足</w:t>
            </w:r>
            <w:r>
              <w:rPr>
                <w:color w:val="000000"/>
                <w:sz w:val="24"/>
                <w:szCs w:val="24"/>
                <w:highlight w:val="none"/>
              </w:rPr>
              <w:t>《医疗机构水污染物排放标准》（GB18466-2005）</w:t>
            </w:r>
            <w:r>
              <w:rPr>
                <w:rFonts w:hint="eastAsia"/>
                <w:color w:val="000000"/>
                <w:sz w:val="24"/>
                <w:szCs w:val="24"/>
                <w:highlight w:val="none"/>
              </w:rPr>
              <w:t>表4要求后，</w:t>
            </w:r>
            <w:r>
              <w:rPr>
                <w:bCs/>
                <w:sz w:val="24"/>
                <w:szCs w:val="24"/>
                <w:highlight w:val="none"/>
              </w:rPr>
              <w:t>交</w:t>
            </w:r>
            <w:r>
              <w:rPr>
                <w:rFonts w:hint="eastAsia"/>
                <w:bCs/>
                <w:sz w:val="24"/>
                <w:szCs w:val="24"/>
                <w:highlight w:val="none"/>
                <w:lang w:eastAsia="zh-CN"/>
              </w:rPr>
              <w:t>有</w:t>
            </w:r>
            <w:r>
              <w:rPr>
                <w:rFonts w:hint="eastAsia"/>
                <w:sz w:val="24"/>
                <w:szCs w:val="24"/>
                <w:highlight w:val="none"/>
              </w:rPr>
              <w:t>资质单位</w:t>
            </w:r>
            <w:r>
              <w:rPr>
                <w:sz w:val="24"/>
                <w:szCs w:val="24"/>
                <w:highlight w:val="none"/>
              </w:rPr>
              <w:t>处置。</w:t>
            </w:r>
          </w:p>
          <w:p>
            <w:pPr>
              <w:adjustRightInd w:val="0"/>
              <w:snapToGrid w:val="0"/>
              <w:spacing w:line="480" w:lineRule="exact"/>
              <w:ind w:firstLine="480" w:firstLineChars="200"/>
              <w:rPr>
                <w:rFonts w:hint="eastAsia" w:hAnsi="宋体"/>
                <w:kern w:val="24"/>
                <w:sz w:val="24"/>
                <w:highlight w:val="none"/>
              </w:rPr>
            </w:pPr>
            <w:r>
              <w:rPr>
                <w:sz w:val="24"/>
                <w:highlight w:val="none"/>
              </w:rPr>
              <w:t>项目产生的固体废物均得到了合理处置，不会对周围环境产生不良影响。</w:t>
            </w:r>
          </w:p>
          <w:p>
            <w:pPr>
              <w:pStyle w:val="6"/>
              <w:adjustRightInd w:val="0"/>
              <w:snapToGrid w:val="0"/>
              <w:spacing w:line="480" w:lineRule="exact"/>
              <w:ind w:firstLine="480" w:firstLineChars="200"/>
              <w:rPr>
                <w:color w:val="FF0000"/>
                <w:sz w:val="24"/>
                <w:szCs w:val="24"/>
                <w:highlight w:val="none"/>
              </w:rPr>
            </w:pPr>
            <w:r>
              <w:rPr>
                <w:rFonts w:hint="eastAsia"/>
                <w:bCs/>
                <w:sz w:val="24"/>
                <w:szCs w:val="24"/>
                <w:highlight w:val="none"/>
              </w:rPr>
              <w:t>（4）</w:t>
            </w:r>
            <w:r>
              <w:rPr>
                <w:bCs/>
                <w:color w:val="000000"/>
                <w:sz w:val="24"/>
                <w:szCs w:val="24"/>
                <w:highlight w:val="none"/>
              </w:rPr>
              <w:t>声</w:t>
            </w:r>
            <w:r>
              <w:rPr>
                <w:rFonts w:hint="eastAsia"/>
                <w:bCs/>
                <w:color w:val="000000"/>
                <w:sz w:val="24"/>
                <w:szCs w:val="24"/>
                <w:highlight w:val="none"/>
              </w:rPr>
              <w:t>环境影响分析</w:t>
            </w:r>
          </w:p>
          <w:p>
            <w:pPr>
              <w:adjustRightInd w:val="0"/>
              <w:snapToGrid w:val="0"/>
              <w:spacing w:line="480" w:lineRule="exact"/>
              <w:ind w:firstLine="480" w:firstLineChars="200"/>
              <w:rPr>
                <w:rFonts w:hint="eastAsia" w:hAnsi="宋体"/>
                <w:sz w:val="24"/>
                <w:szCs w:val="24"/>
                <w:highlight w:val="none"/>
              </w:rPr>
            </w:pPr>
            <w:r>
              <w:rPr>
                <w:sz w:val="24"/>
                <w:szCs w:val="24"/>
                <w:highlight w:val="none"/>
              </w:rPr>
              <w:t>项目主要噪声为</w:t>
            </w:r>
            <w:r>
              <w:rPr>
                <w:rFonts w:hint="eastAsia"/>
                <w:sz w:val="24"/>
                <w:szCs w:val="24"/>
                <w:highlight w:val="none"/>
              </w:rPr>
              <w:t>空调</w:t>
            </w:r>
            <w:r>
              <w:rPr>
                <w:sz w:val="24"/>
                <w:szCs w:val="24"/>
                <w:highlight w:val="none"/>
              </w:rPr>
              <w:t>风机产生的机械噪声。项目采用低噪声及振动小的设备，并采取基础减振</w:t>
            </w:r>
            <w:r>
              <w:rPr>
                <w:rFonts w:hint="eastAsia"/>
                <w:sz w:val="24"/>
                <w:szCs w:val="24"/>
                <w:highlight w:val="none"/>
              </w:rPr>
              <w:t>、</w:t>
            </w:r>
            <w:r>
              <w:rPr>
                <w:sz w:val="24"/>
                <w:szCs w:val="24"/>
                <w:highlight w:val="none"/>
              </w:rPr>
              <w:t>隔声</w:t>
            </w:r>
            <w:r>
              <w:rPr>
                <w:rFonts w:hint="eastAsia"/>
                <w:sz w:val="24"/>
                <w:szCs w:val="24"/>
                <w:highlight w:val="none"/>
              </w:rPr>
              <w:t>罩等措施</w:t>
            </w:r>
            <w:r>
              <w:rPr>
                <w:sz w:val="24"/>
                <w:szCs w:val="24"/>
                <w:highlight w:val="none"/>
              </w:rPr>
              <w:t>后对外界声环境影响较小</w:t>
            </w:r>
            <w:r>
              <w:rPr>
                <w:rFonts w:hint="eastAsia"/>
                <w:sz w:val="24"/>
                <w:szCs w:val="24"/>
                <w:highlight w:val="none"/>
              </w:rPr>
              <w:t>。</w:t>
            </w:r>
            <w:r>
              <w:rPr>
                <w:rFonts w:hint="eastAsia"/>
                <w:sz w:val="24"/>
                <w:highlight w:val="none"/>
              </w:rPr>
              <w:t>项目</w:t>
            </w:r>
            <w:r>
              <w:rPr>
                <w:rFonts w:hint="eastAsia" w:hAnsi="宋体"/>
                <w:sz w:val="24"/>
                <w:highlight w:val="none"/>
              </w:rPr>
              <w:t>南厂界、东厂界、北厂界的噪声排放能够满足《工业企业厂界环境噪声排放标准》(</w:t>
            </w:r>
            <w:r>
              <w:rPr>
                <w:sz w:val="24"/>
                <w:highlight w:val="none"/>
              </w:rPr>
              <w:t>GB</w:t>
            </w:r>
            <w:r>
              <w:rPr>
                <w:rFonts w:hint="eastAsia"/>
                <w:sz w:val="24"/>
                <w:highlight w:val="none"/>
              </w:rPr>
              <w:t>12348-20</w:t>
            </w:r>
            <w:r>
              <w:rPr>
                <w:sz w:val="24"/>
                <w:highlight w:val="none"/>
              </w:rPr>
              <w:t>0</w:t>
            </w:r>
            <w:r>
              <w:rPr>
                <w:rFonts w:hint="eastAsia"/>
                <w:sz w:val="24"/>
                <w:highlight w:val="none"/>
              </w:rPr>
              <w:t>8</w:t>
            </w:r>
            <w:r>
              <w:rPr>
                <w:rFonts w:hint="eastAsia" w:hAnsi="宋体"/>
                <w:sz w:val="24"/>
                <w:highlight w:val="none"/>
              </w:rPr>
              <w:t>)中</w:t>
            </w:r>
            <w:r>
              <w:rPr>
                <w:rFonts w:hint="eastAsia" w:hAnsi="宋体"/>
                <w:sz w:val="24"/>
                <w:highlight w:val="none"/>
                <w:lang w:val="en-US" w:eastAsia="zh-CN"/>
              </w:rPr>
              <w:t>1</w:t>
            </w:r>
            <w:r>
              <w:rPr>
                <w:rFonts w:hint="eastAsia"/>
                <w:sz w:val="24"/>
                <w:highlight w:val="none"/>
              </w:rPr>
              <w:t>类</w:t>
            </w:r>
            <w:r>
              <w:rPr>
                <w:rFonts w:hint="eastAsia" w:hAnsi="宋体"/>
                <w:sz w:val="24"/>
                <w:highlight w:val="none"/>
              </w:rPr>
              <w:t>标准，西厂界能够满足《工业企业厂界环境噪声排放标准》(</w:t>
            </w:r>
            <w:r>
              <w:rPr>
                <w:sz w:val="24"/>
                <w:highlight w:val="none"/>
              </w:rPr>
              <w:t>GB</w:t>
            </w:r>
            <w:r>
              <w:rPr>
                <w:rFonts w:hint="eastAsia"/>
                <w:sz w:val="24"/>
                <w:highlight w:val="none"/>
              </w:rPr>
              <w:t>12348-20</w:t>
            </w:r>
            <w:r>
              <w:rPr>
                <w:sz w:val="24"/>
                <w:highlight w:val="none"/>
              </w:rPr>
              <w:t>0</w:t>
            </w:r>
            <w:r>
              <w:rPr>
                <w:rFonts w:hint="eastAsia"/>
                <w:sz w:val="24"/>
                <w:highlight w:val="none"/>
              </w:rPr>
              <w:t>8</w:t>
            </w:r>
            <w:r>
              <w:rPr>
                <w:rFonts w:hint="eastAsia" w:hAnsi="宋体"/>
                <w:sz w:val="24"/>
                <w:highlight w:val="none"/>
              </w:rPr>
              <w:t>)中</w:t>
            </w:r>
            <w:r>
              <w:rPr>
                <w:rFonts w:hint="eastAsia"/>
                <w:sz w:val="24"/>
                <w:highlight w:val="none"/>
              </w:rPr>
              <w:t>4类</w:t>
            </w:r>
            <w:r>
              <w:rPr>
                <w:rFonts w:hint="eastAsia" w:hAnsi="宋体"/>
                <w:sz w:val="24"/>
                <w:highlight w:val="none"/>
              </w:rPr>
              <w:t>标准。</w:t>
            </w:r>
          </w:p>
          <w:p>
            <w:pPr>
              <w:pStyle w:val="23"/>
              <w:tabs>
                <w:tab w:val="left" w:pos="4148"/>
              </w:tabs>
              <w:adjustRightInd w:val="0"/>
              <w:snapToGrid w:val="0"/>
              <w:spacing w:line="480" w:lineRule="exact"/>
              <w:ind w:firstLine="482" w:firstLineChars="200"/>
              <w:rPr>
                <w:rFonts w:hint="eastAsia"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5</w:t>
            </w:r>
            <w:r>
              <w:rPr>
                <w:rFonts w:ascii="Times New Roman" w:hAnsi="Times New Roman" w:cs="Times New Roman"/>
                <w:b/>
                <w:bCs/>
                <w:sz w:val="24"/>
                <w:szCs w:val="24"/>
                <w:highlight w:val="none"/>
              </w:rPr>
              <w:t>、</w:t>
            </w:r>
            <w:r>
              <w:rPr>
                <w:rFonts w:hint="eastAsia" w:ascii="Times New Roman" w:hAnsi="Times New Roman" w:cs="Times New Roman"/>
                <w:b/>
                <w:bCs/>
                <w:sz w:val="24"/>
                <w:szCs w:val="24"/>
                <w:highlight w:val="none"/>
              </w:rPr>
              <w:t>环境风险</w:t>
            </w:r>
          </w:p>
          <w:p>
            <w:pPr>
              <w:adjustRightInd w:val="0"/>
              <w:snapToGrid w:val="0"/>
              <w:spacing w:line="480" w:lineRule="exact"/>
              <w:ind w:firstLine="480" w:firstLineChars="200"/>
              <w:rPr>
                <w:rFonts w:hint="eastAsia"/>
                <w:kern w:val="24"/>
                <w:sz w:val="24"/>
                <w:szCs w:val="24"/>
                <w:highlight w:val="none"/>
              </w:rPr>
            </w:pPr>
            <w:r>
              <w:rPr>
                <w:sz w:val="24"/>
                <w:szCs w:val="24"/>
                <w:highlight w:val="none"/>
              </w:rPr>
              <w:t>项目</w:t>
            </w:r>
            <w:r>
              <w:rPr>
                <w:rFonts w:hint="eastAsia"/>
                <w:sz w:val="24"/>
                <w:szCs w:val="24"/>
                <w:highlight w:val="none"/>
              </w:rPr>
              <w:t>环境风险主要为</w:t>
            </w:r>
            <w:r>
              <w:rPr>
                <w:sz w:val="24"/>
                <w:szCs w:val="24"/>
                <w:highlight w:val="none"/>
              </w:rPr>
              <w:t>主要来自</w:t>
            </w:r>
            <w:r>
              <w:rPr>
                <w:rFonts w:hint="eastAsia"/>
                <w:sz w:val="24"/>
                <w:highlight w:val="none"/>
              </w:rPr>
              <w:t>医疗污水泄漏和医疗废物泄漏</w:t>
            </w:r>
            <w:r>
              <w:rPr>
                <w:rFonts w:hint="eastAsia"/>
                <w:sz w:val="24"/>
                <w:szCs w:val="24"/>
                <w:highlight w:val="none"/>
              </w:rPr>
              <w:t>。通过采取等风险防范措施，项目建成运营后风险较小，在可接受范围内。</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6</w:t>
            </w:r>
            <w:r>
              <w:rPr>
                <w:rFonts w:ascii="Times New Roman" w:hAnsi="Times New Roman" w:cs="Times New Roman"/>
                <w:b/>
                <w:bCs/>
                <w:sz w:val="24"/>
                <w:szCs w:val="24"/>
                <w:highlight w:val="none"/>
              </w:rPr>
              <w:t>、政策符合性</w:t>
            </w:r>
          </w:p>
          <w:p>
            <w:pPr>
              <w:pStyle w:val="6"/>
              <w:adjustRightInd w:val="0"/>
              <w:snapToGrid w:val="0"/>
              <w:spacing w:line="480" w:lineRule="exact"/>
              <w:ind w:firstLine="480" w:firstLineChars="200"/>
              <w:rPr>
                <w:sz w:val="24"/>
                <w:szCs w:val="24"/>
                <w:highlight w:val="none"/>
              </w:rPr>
            </w:pPr>
            <w:r>
              <w:rPr>
                <w:rFonts w:hint="eastAsia"/>
                <w:sz w:val="24"/>
                <w:szCs w:val="24"/>
                <w:highlight w:val="none"/>
              </w:rPr>
              <w:t>根据《产业结构调整指导目录》(2019年修本)，项目属于第三十七条“卫生健康”中第5条“医疗卫生服务设施建设”，为鼓励类项目，符合国家产业政策。</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7</w:t>
            </w:r>
            <w:r>
              <w:rPr>
                <w:rFonts w:ascii="Times New Roman" w:hAnsi="Times New Roman" w:cs="Times New Roman"/>
                <w:b/>
                <w:bCs/>
                <w:sz w:val="24"/>
                <w:szCs w:val="24"/>
                <w:highlight w:val="none"/>
              </w:rPr>
              <w:t>、总量控制</w:t>
            </w:r>
          </w:p>
          <w:p>
            <w:pPr>
              <w:spacing w:line="360" w:lineRule="auto"/>
              <w:ind w:firstLine="480" w:firstLineChars="200"/>
              <w:rPr>
                <w:rFonts w:hint="eastAsia" w:hAnsi="宋体"/>
                <w:sz w:val="24"/>
                <w:szCs w:val="24"/>
                <w:highlight w:val="none"/>
              </w:rPr>
            </w:pPr>
            <w:r>
              <w:rPr>
                <w:rFonts w:hint="eastAsia"/>
                <w:sz w:val="24"/>
                <w:highlight w:val="none"/>
              </w:rPr>
              <w:t>根据《国家</w:t>
            </w:r>
            <w:r>
              <w:rPr>
                <w:sz w:val="24"/>
                <w:highlight w:val="none"/>
              </w:rPr>
              <w:t>“</w:t>
            </w:r>
            <w:r>
              <w:rPr>
                <w:rFonts w:hint="eastAsia"/>
                <w:sz w:val="24"/>
                <w:highlight w:val="none"/>
              </w:rPr>
              <w:t>十三五</w:t>
            </w:r>
            <w:r>
              <w:rPr>
                <w:sz w:val="24"/>
                <w:highlight w:val="none"/>
              </w:rPr>
              <w:t>”</w:t>
            </w:r>
            <w:r>
              <w:rPr>
                <w:rFonts w:hint="eastAsia"/>
                <w:sz w:val="24"/>
                <w:highlight w:val="none"/>
              </w:rPr>
              <w:t>主要污染物总量控制规划》，总量控制因子包括化学需氧量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sz w:val="24"/>
                <w:highlight w:val="none"/>
              </w:rPr>
              <w:t>)</w:t>
            </w:r>
            <w:r>
              <w:rPr>
                <w:rFonts w:hint="eastAsia"/>
                <w:sz w:val="24"/>
                <w:highlight w:val="none"/>
              </w:rPr>
              <w:t>、氮氧化物</w:t>
            </w:r>
            <w:r>
              <w:rPr>
                <w:sz w:val="24"/>
                <w:highlight w:val="none"/>
              </w:rPr>
              <w:t>(NO</w:t>
            </w:r>
            <w:r>
              <w:rPr>
                <w:sz w:val="24"/>
                <w:highlight w:val="none"/>
                <w:vertAlign w:val="subscript"/>
              </w:rPr>
              <w:t>X</w:t>
            </w:r>
            <w:r>
              <w:rPr>
                <w:sz w:val="24"/>
                <w:highlight w:val="none"/>
              </w:rPr>
              <w:t>)</w:t>
            </w:r>
            <w:r>
              <w:rPr>
                <w:rFonts w:hint="eastAsia"/>
                <w:sz w:val="24"/>
                <w:highlight w:val="none"/>
              </w:rPr>
              <w:t>和</w:t>
            </w:r>
            <w:r>
              <w:rPr>
                <w:sz w:val="24"/>
                <w:highlight w:val="none"/>
              </w:rPr>
              <w:t>VOCs</w:t>
            </w:r>
            <w:r>
              <w:rPr>
                <w:rFonts w:hint="eastAsia"/>
                <w:sz w:val="24"/>
                <w:highlight w:val="none"/>
              </w:rPr>
              <w:t>。</w:t>
            </w:r>
            <w:r>
              <w:rPr>
                <w:rFonts w:hint="eastAsia"/>
                <w:sz w:val="24"/>
                <w:szCs w:val="22"/>
                <w:highlight w:val="none"/>
              </w:rPr>
              <w:t>迁安市健康体检管理中心新建项目废水经过污水处理站处理后排入市政污水管网。本</w:t>
            </w:r>
            <w:r>
              <w:rPr>
                <w:rFonts w:hint="eastAsia" w:hAnsi="宋体"/>
                <w:sz w:val="24"/>
                <w:szCs w:val="24"/>
                <w:highlight w:val="none"/>
              </w:rPr>
              <w:t>项目排水量为</w:t>
            </w:r>
            <w:r>
              <w:rPr>
                <w:rFonts w:hint="eastAsia"/>
                <w:sz w:val="24"/>
                <w:szCs w:val="24"/>
                <w:highlight w:val="none"/>
              </w:rPr>
              <w:t>4620</w:t>
            </w:r>
            <w:r>
              <w:rPr>
                <w:rFonts w:hAnsi="宋体"/>
                <w:sz w:val="24"/>
                <w:szCs w:val="24"/>
                <w:highlight w:val="none"/>
              </w:rPr>
              <w:t>m</w:t>
            </w:r>
            <w:r>
              <w:rPr>
                <w:rFonts w:hAnsi="宋体"/>
                <w:sz w:val="24"/>
                <w:szCs w:val="24"/>
                <w:highlight w:val="none"/>
                <w:vertAlign w:val="superscript"/>
              </w:rPr>
              <w:t>3</w:t>
            </w:r>
            <w:r>
              <w:rPr>
                <w:rFonts w:hAnsi="宋体"/>
                <w:sz w:val="24"/>
                <w:szCs w:val="24"/>
                <w:highlight w:val="none"/>
              </w:rPr>
              <w:t>/a</w:t>
            </w:r>
            <w:r>
              <w:rPr>
                <w:rFonts w:hint="eastAsia" w:hAnsi="宋体"/>
                <w:sz w:val="24"/>
                <w:szCs w:val="24"/>
                <w:highlight w:val="none"/>
              </w:rPr>
              <w:t>，污染物排放浓度为</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205</w:t>
            </w:r>
            <w:r>
              <w:rPr>
                <w:rFonts w:hAnsi="宋体"/>
                <w:sz w:val="24"/>
                <w:szCs w:val="24"/>
                <w:highlight w:val="none"/>
              </w:rPr>
              <w:t>mg/L</w:t>
            </w:r>
            <w:r>
              <w:rPr>
                <w:rFonts w:hint="eastAsia" w:hAnsi="宋体"/>
                <w:sz w:val="24"/>
                <w:szCs w:val="24"/>
                <w:highlight w:val="none"/>
              </w:rPr>
              <w:t>，氨氮：</w:t>
            </w:r>
            <w:r>
              <w:rPr>
                <w:rFonts w:hint="eastAsia" w:hAnsi="宋体"/>
                <w:sz w:val="24"/>
                <w:szCs w:val="24"/>
                <w:highlight w:val="none"/>
                <w:lang w:val="en-US" w:eastAsia="zh-CN"/>
              </w:rPr>
              <w:t>22.5</w:t>
            </w:r>
            <w:r>
              <w:rPr>
                <w:rFonts w:hAnsi="宋体"/>
                <w:sz w:val="24"/>
                <w:szCs w:val="24"/>
                <w:highlight w:val="none"/>
              </w:rPr>
              <w:t>mg/L</w:t>
            </w:r>
            <w:r>
              <w:rPr>
                <w:rFonts w:hint="eastAsia" w:hAnsi="宋体"/>
                <w:sz w:val="24"/>
                <w:szCs w:val="24"/>
                <w:highlight w:val="none"/>
              </w:rPr>
              <w:t>；TN：35mg/L，则：</w:t>
            </w:r>
          </w:p>
          <w:p>
            <w:pPr>
              <w:spacing w:line="480" w:lineRule="exact"/>
              <w:ind w:firstLine="480" w:firstLineChars="200"/>
              <w:rPr>
                <w:sz w:val="24"/>
                <w:highlight w:val="none"/>
              </w:rPr>
            </w:pPr>
            <w:r>
              <w:rPr>
                <w:sz w:val="24"/>
                <w:highlight w:val="none"/>
              </w:rPr>
              <w:t>COD</w:t>
            </w:r>
            <w:r>
              <w:rPr>
                <w:rFonts w:hint="eastAsia"/>
                <w:sz w:val="24"/>
                <w:highlight w:val="none"/>
              </w:rPr>
              <w:t>：</w:t>
            </w:r>
            <w:r>
              <w:rPr>
                <w:sz w:val="24"/>
                <w:highlight w:val="none"/>
              </w:rPr>
              <w:t>20</w:t>
            </w:r>
            <w:r>
              <w:rPr>
                <w:rFonts w:hint="eastAsia"/>
                <w:sz w:val="24"/>
                <w:highlight w:val="none"/>
                <w:lang w:val="en-US" w:eastAsia="zh-CN"/>
              </w:rPr>
              <w:t>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w:t>
            </w:r>
            <w:r>
              <w:rPr>
                <w:rFonts w:hint="eastAsia"/>
                <w:sz w:val="24"/>
                <w:highlight w:val="none"/>
                <w:lang w:val="en-US" w:eastAsia="zh-CN"/>
              </w:rPr>
              <w:t>0.947</w:t>
            </w:r>
            <w:r>
              <w:rPr>
                <w:sz w:val="24"/>
                <w:highlight w:val="none"/>
              </w:rPr>
              <w:t>t/a</w:t>
            </w:r>
            <w:r>
              <w:rPr>
                <w:rFonts w:hint="eastAsia"/>
                <w:sz w:val="24"/>
                <w:highlight w:val="none"/>
              </w:rPr>
              <w:t>；</w:t>
            </w:r>
          </w:p>
          <w:p>
            <w:pPr>
              <w:spacing w:line="480" w:lineRule="exact"/>
              <w:ind w:firstLine="480" w:firstLineChars="200"/>
              <w:rPr>
                <w:sz w:val="24"/>
                <w:highlight w:val="none"/>
              </w:rPr>
            </w:pP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sz w:val="24"/>
                <w:highlight w:val="none"/>
              </w:rPr>
              <w:t>：</w:t>
            </w:r>
            <w:r>
              <w:rPr>
                <w:rFonts w:hint="eastAsia"/>
                <w:sz w:val="24"/>
                <w:highlight w:val="none"/>
                <w:lang w:val="en-US" w:eastAsia="zh-CN"/>
              </w:rPr>
              <w:t>22.5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04</w:t>
            </w:r>
            <w:r>
              <w:rPr>
                <w:sz w:val="24"/>
                <w:highlight w:val="none"/>
              </w:rPr>
              <w:t>t/a</w:t>
            </w:r>
            <w:r>
              <w:rPr>
                <w:rFonts w:hint="eastAsia"/>
                <w:sz w:val="24"/>
                <w:highlight w:val="none"/>
              </w:rPr>
              <w:t>；</w:t>
            </w:r>
          </w:p>
          <w:p>
            <w:pPr>
              <w:spacing w:line="480" w:lineRule="exact"/>
              <w:ind w:firstLine="480" w:firstLineChars="200"/>
              <w:rPr>
                <w:sz w:val="24"/>
                <w:highlight w:val="none"/>
              </w:rPr>
            </w:pPr>
            <w:r>
              <w:rPr>
                <w:rFonts w:hint="eastAsia" w:hAnsi="宋体"/>
                <w:sz w:val="24"/>
                <w:szCs w:val="24"/>
                <w:highlight w:val="none"/>
              </w:rPr>
              <w:t>TN：</w:t>
            </w:r>
            <w:r>
              <w:rPr>
                <w:rFonts w:hint="eastAsia"/>
                <w:sz w:val="24"/>
                <w:highlight w:val="none"/>
                <w:lang w:val="en-US" w:eastAsia="zh-CN"/>
              </w:rPr>
              <w:t>35</w:t>
            </w:r>
            <w:r>
              <w:rPr>
                <w:sz w:val="24"/>
                <w:highlight w:val="none"/>
              </w:rPr>
              <w:t>mg/L×</w:t>
            </w:r>
            <w:r>
              <w:rPr>
                <w:rFonts w:hint="eastAsia"/>
                <w:sz w:val="24"/>
                <w:szCs w:val="24"/>
                <w:highlight w:val="none"/>
              </w:rPr>
              <w:t>4620</w:t>
            </w:r>
            <w:r>
              <w:rPr>
                <w:sz w:val="24"/>
                <w:highlight w:val="none"/>
              </w:rPr>
              <w:t>m</w:t>
            </w:r>
            <w:r>
              <w:rPr>
                <w:sz w:val="24"/>
                <w:highlight w:val="none"/>
                <w:vertAlign w:val="superscript"/>
              </w:rPr>
              <w:t>3</w:t>
            </w:r>
            <w:r>
              <w:rPr>
                <w:sz w:val="24"/>
                <w:highlight w:val="none"/>
              </w:rPr>
              <w:t>/a×10</w:t>
            </w:r>
            <w:r>
              <w:rPr>
                <w:sz w:val="24"/>
                <w:highlight w:val="none"/>
                <w:vertAlign w:val="superscript"/>
              </w:rPr>
              <w:t>-6</w:t>
            </w:r>
            <w:r>
              <w:rPr>
                <w:sz w:val="24"/>
                <w:highlight w:val="none"/>
              </w:rPr>
              <w:t>=0.</w:t>
            </w:r>
            <w:r>
              <w:rPr>
                <w:rFonts w:hint="eastAsia"/>
                <w:sz w:val="24"/>
                <w:highlight w:val="none"/>
              </w:rPr>
              <w:t>1</w:t>
            </w:r>
            <w:r>
              <w:rPr>
                <w:rFonts w:hint="eastAsia"/>
                <w:sz w:val="24"/>
                <w:highlight w:val="none"/>
                <w:lang w:val="en-US" w:eastAsia="zh-CN"/>
              </w:rPr>
              <w:t>62</w:t>
            </w:r>
            <w:r>
              <w:rPr>
                <w:sz w:val="24"/>
                <w:highlight w:val="none"/>
              </w:rPr>
              <w:t>t/a</w:t>
            </w:r>
            <w:r>
              <w:rPr>
                <w:rFonts w:hint="eastAsia"/>
                <w:sz w:val="24"/>
                <w:highlight w:val="none"/>
              </w:rPr>
              <w:t>；</w:t>
            </w:r>
          </w:p>
          <w:p>
            <w:pPr>
              <w:snapToGrid w:val="0"/>
              <w:spacing w:line="480" w:lineRule="exact"/>
              <w:ind w:firstLine="480" w:firstLineChars="200"/>
              <w:rPr>
                <w:sz w:val="24"/>
                <w:szCs w:val="24"/>
                <w:highlight w:val="none"/>
              </w:rPr>
            </w:pPr>
            <w:r>
              <w:rPr>
                <w:rFonts w:hint="eastAsia" w:hAnsi="宋体"/>
                <w:sz w:val="24"/>
                <w:szCs w:val="24"/>
                <w:highlight w:val="none"/>
              </w:rPr>
              <w:t>则项目污染物排放总量控制指标为：</w:t>
            </w:r>
          </w:p>
          <w:p>
            <w:pPr>
              <w:snapToGrid w:val="0"/>
              <w:spacing w:line="480" w:lineRule="exact"/>
              <w:ind w:firstLine="480" w:firstLineChars="200"/>
              <w:rPr>
                <w:rFonts w:hAnsi="宋体"/>
                <w:sz w:val="24"/>
                <w:highlight w:val="none"/>
              </w:rPr>
            </w:pPr>
            <w:r>
              <w:rPr>
                <w:rFonts w:hint="eastAsia" w:hAnsi="宋体"/>
                <w:sz w:val="24"/>
                <w:highlight w:val="none"/>
              </w:rPr>
              <w:t>废气：</w:t>
            </w:r>
            <w:r>
              <w:rPr>
                <w:rFonts w:hAnsi="宋体"/>
                <w:sz w:val="24"/>
                <w:szCs w:val="24"/>
                <w:highlight w:val="none"/>
              </w:rPr>
              <w:t>SO</w:t>
            </w:r>
            <w:r>
              <w:rPr>
                <w:rFonts w:hAnsi="宋体"/>
                <w:sz w:val="24"/>
                <w:szCs w:val="24"/>
                <w:highlight w:val="none"/>
                <w:vertAlign w:val="subscript"/>
              </w:rPr>
              <w:t>2</w:t>
            </w:r>
            <w:r>
              <w:rPr>
                <w:rFonts w:hint="eastAsia" w:hAnsi="宋体"/>
                <w:sz w:val="24"/>
                <w:szCs w:val="24"/>
                <w:highlight w:val="none"/>
              </w:rPr>
              <w:t>：</w:t>
            </w:r>
            <w:r>
              <w:rPr>
                <w:rFonts w:hAnsi="宋体"/>
                <w:sz w:val="24"/>
                <w:szCs w:val="24"/>
                <w:highlight w:val="none"/>
              </w:rPr>
              <w:t>0t/a</w:t>
            </w:r>
            <w:r>
              <w:rPr>
                <w:rFonts w:hint="eastAsia" w:hAnsi="宋体"/>
                <w:sz w:val="24"/>
                <w:szCs w:val="24"/>
                <w:highlight w:val="none"/>
              </w:rPr>
              <w:t>；</w:t>
            </w:r>
            <w:r>
              <w:rPr>
                <w:rFonts w:hAnsi="宋体"/>
                <w:sz w:val="24"/>
                <w:szCs w:val="24"/>
                <w:highlight w:val="none"/>
              </w:rPr>
              <w:t>NO</w:t>
            </w:r>
            <w:r>
              <w:rPr>
                <w:rFonts w:hAnsi="宋体"/>
                <w:sz w:val="24"/>
                <w:szCs w:val="24"/>
                <w:highlight w:val="none"/>
                <w:vertAlign w:val="subscript"/>
              </w:rPr>
              <w:t>x</w:t>
            </w:r>
            <w:r>
              <w:rPr>
                <w:rFonts w:hint="eastAsia" w:hAnsi="宋体"/>
                <w:sz w:val="24"/>
                <w:szCs w:val="24"/>
                <w:highlight w:val="none"/>
              </w:rPr>
              <w:t>：</w:t>
            </w:r>
            <w:r>
              <w:rPr>
                <w:rFonts w:hAnsi="宋体"/>
                <w:sz w:val="24"/>
                <w:szCs w:val="24"/>
                <w:highlight w:val="none"/>
              </w:rPr>
              <w:t>0t/a</w:t>
            </w:r>
          </w:p>
          <w:p>
            <w:pPr>
              <w:spacing w:line="360" w:lineRule="auto"/>
              <w:ind w:firstLine="480" w:firstLineChars="200"/>
              <w:rPr>
                <w:rFonts w:hint="eastAsia" w:hAnsi="宋体"/>
                <w:sz w:val="24"/>
                <w:szCs w:val="24"/>
                <w:highlight w:val="none"/>
              </w:rPr>
            </w:pPr>
            <w:r>
              <w:rPr>
                <w:rFonts w:hint="eastAsia" w:hAnsi="宋体"/>
                <w:sz w:val="24"/>
                <w:highlight w:val="none"/>
              </w:rPr>
              <w:t>废水：</w:t>
            </w:r>
            <w:r>
              <w:rPr>
                <w:rFonts w:hAnsi="宋体"/>
                <w:sz w:val="24"/>
                <w:szCs w:val="24"/>
                <w:highlight w:val="none"/>
              </w:rPr>
              <w:t>COD</w:t>
            </w:r>
            <w:r>
              <w:rPr>
                <w:rFonts w:hint="eastAsia" w:hAnsi="宋体"/>
                <w:sz w:val="24"/>
                <w:szCs w:val="24"/>
                <w:highlight w:val="none"/>
              </w:rPr>
              <w:t>：</w:t>
            </w:r>
            <w:r>
              <w:rPr>
                <w:rFonts w:hint="eastAsia" w:hAnsi="宋体"/>
                <w:sz w:val="24"/>
                <w:szCs w:val="24"/>
                <w:highlight w:val="none"/>
                <w:lang w:val="en-US" w:eastAsia="zh-CN"/>
              </w:rPr>
              <w:t>0.947</w:t>
            </w:r>
            <w:r>
              <w:rPr>
                <w:rFonts w:hAnsi="宋体"/>
                <w:sz w:val="24"/>
                <w:szCs w:val="24"/>
                <w:highlight w:val="none"/>
              </w:rPr>
              <w:t>t/a</w:t>
            </w:r>
            <w:r>
              <w:rPr>
                <w:rFonts w:hint="eastAsia" w:hAnsi="宋体"/>
                <w:sz w:val="24"/>
                <w:szCs w:val="24"/>
                <w:highlight w:val="none"/>
              </w:rPr>
              <w:t>；</w:t>
            </w:r>
            <w:r>
              <w:rPr>
                <w:rFonts w:hAnsi="宋体"/>
                <w:sz w:val="24"/>
                <w:szCs w:val="24"/>
                <w:highlight w:val="none"/>
              </w:rPr>
              <w:t>NH</w:t>
            </w:r>
            <w:r>
              <w:rPr>
                <w:rFonts w:hAnsi="宋体"/>
                <w:sz w:val="24"/>
                <w:szCs w:val="24"/>
                <w:highlight w:val="none"/>
                <w:vertAlign w:val="subscript"/>
              </w:rPr>
              <w:t>3</w:t>
            </w:r>
            <w:r>
              <w:rPr>
                <w:rFonts w:hAnsi="宋体"/>
                <w:sz w:val="24"/>
                <w:szCs w:val="24"/>
                <w:highlight w:val="none"/>
              </w:rPr>
              <w:t>-N</w:t>
            </w:r>
            <w:r>
              <w:rPr>
                <w:rFonts w:hint="eastAsia" w:hAnsi="宋体"/>
                <w:sz w:val="24"/>
                <w:szCs w:val="24"/>
                <w:highlight w:val="none"/>
              </w:rPr>
              <w:t>：</w:t>
            </w:r>
            <w:r>
              <w:rPr>
                <w:sz w:val="24"/>
                <w:highlight w:val="none"/>
              </w:rPr>
              <w:t>0.</w:t>
            </w:r>
            <w:r>
              <w:rPr>
                <w:rFonts w:hint="eastAsia"/>
                <w:sz w:val="24"/>
                <w:highlight w:val="none"/>
              </w:rPr>
              <w:t>1</w:t>
            </w:r>
            <w:r>
              <w:rPr>
                <w:rFonts w:hint="eastAsia"/>
                <w:sz w:val="24"/>
                <w:highlight w:val="none"/>
                <w:lang w:val="en-US" w:eastAsia="zh-CN"/>
              </w:rPr>
              <w:t>04</w:t>
            </w:r>
            <w:r>
              <w:rPr>
                <w:rFonts w:hAnsi="宋体"/>
                <w:sz w:val="24"/>
                <w:szCs w:val="24"/>
                <w:highlight w:val="none"/>
              </w:rPr>
              <w:t>t/a</w:t>
            </w:r>
            <w:r>
              <w:rPr>
                <w:rFonts w:hint="eastAsia" w:hAnsi="宋体"/>
                <w:sz w:val="24"/>
                <w:szCs w:val="24"/>
                <w:highlight w:val="none"/>
              </w:rPr>
              <w:t>；TN：</w:t>
            </w:r>
            <w:r>
              <w:rPr>
                <w:sz w:val="24"/>
                <w:highlight w:val="none"/>
              </w:rPr>
              <w:t>0.</w:t>
            </w:r>
            <w:r>
              <w:rPr>
                <w:rFonts w:hint="eastAsia"/>
                <w:sz w:val="24"/>
                <w:highlight w:val="none"/>
              </w:rPr>
              <w:t>1</w:t>
            </w:r>
            <w:r>
              <w:rPr>
                <w:rFonts w:hint="eastAsia"/>
                <w:sz w:val="24"/>
                <w:highlight w:val="none"/>
                <w:lang w:val="en-US" w:eastAsia="zh-CN"/>
              </w:rPr>
              <w:t>62</w:t>
            </w:r>
            <w:r>
              <w:rPr>
                <w:rFonts w:hint="eastAsia" w:hAnsi="宋体"/>
                <w:sz w:val="24"/>
                <w:szCs w:val="24"/>
                <w:highlight w:val="none"/>
              </w:rPr>
              <w:t>t/a。</w:t>
            </w:r>
          </w:p>
          <w:p>
            <w:pPr>
              <w:spacing w:line="360" w:lineRule="auto"/>
              <w:ind w:firstLine="480" w:firstLineChars="200"/>
              <w:rPr>
                <w:sz w:val="24"/>
                <w:highlight w:val="none"/>
              </w:rPr>
            </w:pPr>
            <w:r>
              <w:rPr>
                <w:rFonts w:hint="eastAsia"/>
                <w:sz w:val="24"/>
                <w:highlight w:val="none"/>
              </w:rPr>
              <w:t>按照《国家</w:t>
            </w:r>
            <w:r>
              <w:rPr>
                <w:sz w:val="24"/>
                <w:highlight w:val="none"/>
              </w:rPr>
              <w:t>“</w:t>
            </w:r>
            <w:r>
              <w:rPr>
                <w:rFonts w:hint="eastAsia"/>
                <w:sz w:val="24"/>
                <w:highlight w:val="none"/>
              </w:rPr>
              <w:t>十二五</w:t>
            </w:r>
            <w:r>
              <w:rPr>
                <w:sz w:val="24"/>
                <w:highlight w:val="none"/>
              </w:rPr>
              <w:t>”</w:t>
            </w:r>
            <w:r>
              <w:rPr>
                <w:rFonts w:hint="eastAsia"/>
                <w:sz w:val="24"/>
                <w:highlight w:val="none"/>
              </w:rPr>
              <w:t>主要污染物总量控制规划》，污染物排放总量控制因子为化学需氧量（</w:t>
            </w:r>
            <w:r>
              <w:rPr>
                <w:sz w:val="24"/>
                <w:highlight w:val="none"/>
              </w:rPr>
              <w:t>COD</w:t>
            </w:r>
            <w:r>
              <w:rPr>
                <w:rFonts w:hint="eastAsia"/>
                <w:sz w:val="24"/>
                <w:highlight w:val="none"/>
              </w:rPr>
              <w:t>）、氨氮（</w:t>
            </w:r>
            <w:r>
              <w:rPr>
                <w:sz w:val="24"/>
                <w:highlight w:val="none"/>
              </w:rPr>
              <w:t>NH</w:t>
            </w:r>
            <w:r>
              <w:rPr>
                <w:sz w:val="24"/>
                <w:highlight w:val="none"/>
                <w:vertAlign w:val="subscript"/>
              </w:rPr>
              <w:t>3</w:t>
            </w:r>
            <w:r>
              <w:rPr>
                <w:sz w:val="24"/>
                <w:highlight w:val="none"/>
              </w:rPr>
              <w:t>-N</w:t>
            </w:r>
            <w:r>
              <w:rPr>
                <w:rFonts w:hint="eastAsia"/>
                <w:sz w:val="24"/>
                <w:highlight w:val="none"/>
              </w:rPr>
              <w:t>）、二氧化硫（</w:t>
            </w:r>
            <w:r>
              <w:rPr>
                <w:sz w:val="24"/>
                <w:highlight w:val="none"/>
              </w:rPr>
              <w:t>SO</w:t>
            </w:r>
            <w:r>
              <w:rPr>
                <w:sz w:val="24"/>
                <w:highlight w:val="none"/>
                <w:vertAlign w:val="subscript"/>
              </w:rPr>
              <w:t>2</w:t>
            </w:r>
            <w:r>
              <w:rPr>
                <w:rFonts w:hint="eastAsia"/>
                <w:sz w:val="24"/>
                <w:highlight w:val="none"/>
              </w:rPr>
              <w:t>）和氮氧化物（</w:t>
            </w:r>
            <w:r>
              <w:rPr>
                <w:sz w:val="24"/>
                <w:highlight w:val="none"/>
              </w:rPr>
              <w:t>NO</w:t>
            </w:r>
            <w:r>
              <w:rPr>
                <w:sz w:val="24"/>
                <w:highlight w:val="none"/>
                <w:vertAlign w:val="subscript"/>
              </w:rPr>
              <w:t>X</w:t>
            </w:r>
            <w:r>
              <w:rPr>
                <w:rFonts w:hint="eastAsia"/>
                <w:sz w:val="24"/>
                <w:highlight w:val="none"/>
              </w:rPr>
              <w:t>）。另根据国家《</w:t>
            </w:r>
            <w:r>
              <w:rPr>
                <w:sz w:val="24"/>
                <w:highlight w:val="none"/>
              </w:rPr>
              <w:t>“</w:t>
            </w:r>
            <w:r>
              <w:rPr>
                <w:rFonts w:hint="eastAsia"/>
                <w:sz w:val="24"/>
                <w:highlight w:val="none"/>
              </w:rPr>
              <w:t>十三五</w:t>
            </w:r>
            <w:r>
              <w:rPr>
                <w:sz w:val="24"/>
                <w:highlight w:val="none"/>
              </w:rPr>
              <w:t>”</w:t>
            </w:r>
            <w:r>
              <w:rPr>
                <w:rFonts w:hint="eastAsia"/>
                <w:sz w:val="24"/>
                <w:highlight w:val="none"/>
              </w:rPr>
              <w:t>生态环境保护规划》，河北省唐山市区域应增加</w:t>
            </w:r>
            <w:r>
              <w:rPr>
                <w:sz w:val="24"/>
                <w:highlight w:val="none"/>
              </w:rPr>
              <w:t>TN</w:t>
            </w:r>
            <w:r>
              <w:rPr>
                <w:rFonts w:hint="eastAsia"/>
                <w:sz w:val="24"/>
                <w:highlight w:val="none"/>
              </w:rPr>
              <w:t>、颗粒物的总量控制。</w:t>
            </w:r>
          </w:p>
          <w:p>
            <w:pPr>
              <w:spacing w:line="480" w:lineRule="exact"/>
              <w:ind w:firstLine="480" w:firstLineChars="200"/>
              <w:rPr>
                <w:rFonts w:hint="eastAsia"/>
                <w:sz w:val="24"/>
                <w:szCs w:val="24"/>
                <w:highlight w:val="none"/>
              </w:rPr>
            </w:pPr>
            <w:r>
              <w:rPr>
                <w:rFonts w:hint="eastAsia"/>
                <w:color w:val="000000"/>
                <w:sz w:val="24"/>
                <w:highlight w:val="none"/>
              </w:rPr>
              <w:t>根据环境保护部《关于印发</w:t>
            </w:r>
            <w:r>
              <w:rPr>
                <w:color w:val="000000"/>
                <w:sz w:val="24"/>
                <w:highlight w:val="none"/>
              </w:rPr>
              <w:t>&lt;</w:t>
            </w:r>
            <w:r>
              <w:rPr>
                <w:rFonts w:hint="eastAsia"/>
                <w:color w:val="000000"/>
                <w:sz w:val="24"/>
                <w:highlight w:val="none"/>
              </w:rPr>
              <w:t>建设项目主要污染物排放总量指标审核及管理暂行办法</w:t>
            </w:r>
            <w:r>
              <w:rPr>
                <w:color w:val="000000"/>
                <w:sz w:val="24"/>
                <w:highlight w:val="none"/>
              </w:rPr>
              <w:t>&gt;</w:t>
            </w:r>
            <w:r>
              <w:rPr>
                <w:rFonts w:hint="eastAsia"/>
                <w:color w:val="000000"/>
                <w:sz w:val="24"/>
                <w:highlight w:val="none"/>
              </w:rPr>
              <w:t>的通知》（环发</w:t>
            </w:r>
            <w:r>
              <w:rPr>
                <w:color w:val="000000"/>
                <w:sz w:val="24"/>
                <w:highlight w:val="none"/>
              </w:rPr>
              <w:t>[2014]197</w:t>
            </w:r>
            <w:r>
              <w:rPr>
                <w:rFonts w:hint="eastAsia"/>
                <w:color w:val="000000"/>
                <w:sz w:val="24"/>
                <w:highlight w:val="none"/>
              </w:rPr>
              <w:t>号），总量控制指标按国家或地方污染物排放标准核定，项目污水排入</w:t>
            </w:r>
            <w:r>
              <w:rPr>
                <w:rFonts w:hint="eastAsia"/>
                <w:color w:val="000000"/>
                <w:kern w:val="0"/>
                <w:sz w:val="24"/>
                <w:highlight w:val="none"/>
                <w:lang w:bidi="ar"/>
              </w:rPr>
              <w:t>迁安市污水处理厂</w:t>
            </w:r>
            <w:r>
              <w:rPr>
                <w:rFonts w:hint="eastAsia"/>
                <w:color w:val="000000"/>
                <w:sz w:val="24"/>
                <w:highlight w:val="none"/>
              </w:rPr>
              <w:t>，按污水处理厂排水标准核算项目总量，项目</w:t>
            </w:r>
            <w:r>
              <w:rPr>
                <w:rFonts w:hint="eastAsia" w:hAnsi="宋体"/>
                <w:color w:val="000000"/>
                <w:sz w:val="24"/>
                <w:szCs w:val="24"/>
                <w:highlight w:val="none"/>
              </w:rPr>
              <w:t>污水排放总量为4620m</w:t>
            </w:r>
            <w:r>
              <w:rPr>
                <w:rFonts w:hint="eastAsia" w:hAnsi="宋体"/>
                <w:color w:val="000000"/>
                <w:sz w:val="24"/>
                <w:szCs w:val="24"/>
                <w:highlight w:val="none"/>
                <w:vertAlign w:val="superscript"/>
              </w:rPr>
              <w:t>3</w:t>
            </w:r>
            <w:r>
              <w:rPr>
                <w:rFonts w:hint="eastAsia" w:hAnsi="宋体"/>
                <w:color w:val="000000"/>
                <w:sz w:val="24"/>
                <w:szCs w:val="24"/>
                <w:highlight w:val="none"/>
              </w:rPr>
              <w:t>/a，</w:t>
            </w:r>
            <w:r>
              <w:rPr>
                <w:rFonts w:hint="eastAsia"/>
                <w:color w:val="000000"/>
                <w:sz w:val="24"/>
                <w:highlight w:val="none"/>
              </w:rPr>
              <w:t>排水标准为：</w:t>
            </w:r>
            <w:r>
              <w:rPr>
                <w:color w:val="000000"/>
                <w:sz w:val="24"/>
                <w:highlight w:val="none"/>
              </w:rPr>
              <w:t>COD</w:t>
            </w:r>
            <w:r>
              <w:rPr>
                <w:rFonts w:hint="eastAsia"/>
                <w:color w:val="000000"/>
                <w:sz w:val="24"/>
                <w:highlight w:val="none"/>
              </w:rPr>
              <w:t>：</w:t>
            </w:r>
            <w:r>
              <w:rPr>
                <w:color w:val="000000"/>
                <w:sz w:val="24"/>
                <w:highlight w:val="none"/>
              </w:rPr>
              <w:t>50mg/L</w:t>
            </w:r>
            <w:r>
              <w:rPr>
                <w:rFonts w:hint="eastAsia"/>
                <w:color w:val="000000"/>
                <w:sz w:val="24"/>
                <w:highlight w:val="none"/>
              </w:rPr>
              <w:t>、总氮：</w:t>
            </w:r>
            <w:r>
              <w:rPr>
                <w:color w:val="000000"/>
                <w:sz w:val="24"/>
                <w:highlight w:val="none"/>
              </w:rPr>
              <w:t>15mg/L</w:t>
            </w:r>
            <w:r>
              <w:rPr>
                <w:rFonts w:hint="eastAsia"/>
                <w:color w:val="000000"/>
                <w:sz w:val="24"/>
                <w:highlight w:val="none"/>
              </w:rPr>
              <w:t>、</w:t>
            </w:r>
            <w:r>
              <w:rPr>
                <w:sz w:val="24"/>
                <w:szCs w:val="24"/>
                <w:highlight w:val="none"/>
              </w:rPr>
              <w:t>氨氮：5（8）mg/L（括号外数值为水温＞12℃时的控制指标，括号内数值为水温≤12℃时的控制指标</w:t>
            </w:r>
            <w:r>
              <w:rPr>
                <w:rFonts w:hint="eastAsia"/>
                <w:sz w:val="24"/>
                <w:szCs w:val="24"/>
                <w:highlight w:val="none"/>
              </w:rPr>
              <w:t>，</w:t>
            </w:r>
            <w:r>
              <w:rPr>
                <w:bCs/>
                <w:sz w:val="24"/>
                <w:szCs w:val="24"/>
                <w:highlight w:val="none"/>
              </w:rPr>
              <w:t>项目所在地区水温＞12℃的时间为8个月，水温≤12℃时间为4个月）</w:t>
            </w:r>
          </w:p>
          <w:p>
            <w:pPr>
              <w:spacing w:line="360" w:lineRule="auto"/>
              <w:ind w:firstLine="480" w:firstLineChars="200"/>
              <w:rPr>
                <w:color w:val="000000"/>
                <w:sz w:val="24"/>
                <w:highlight w:val="none"/>
              </w:rPr>
            </w:pPr>
            <w:r>
              <w:rPr>
                <w:rFonts w:hint="eastAsia"/>
                <w:color w:val="000000"/>
                <w:sz w:val="24"/>
                <w:highlight w:val="none"/>
              </w:rPr>
              <w:t>该项目污染物排放总量为：</w:t>
            </w:r>
          </w:p>
          <w:p>
            <w:pPr>
              <w:spacing w:line="360" w:lineRule="auto"/>
              <w:ind w:firstLine="480" w:firstLineChars="200"/>
              <w:rPr>
                <w:color w:val="000000"/>
                <w:sz w:val="24"/>
                <w:highlight w:val="none"/>
              </w:rPr>
            </w:pPr>
            <w:r>
              <w:rPr>
                <w:color w:val="000000"/>
                <w:sz w:val="24"/>
                <w:highlight w:val="none"/>
              </w:rPr>
              <w:t>COD</w:t>
            </w:r>
            <w:r>
              <w:rPr>
                <w:rFonts w:hint="eastAsia"/>
                <w:color w:val="000000"/>
                <w:sz w:val="24"/>
                <w:highlight w:val="none"/>
              </w:rPr>
              <w:t>：</w:t>
            </w:r>
            <w:r>
              <w:rPr>
                <w:rFonts w:hint="eastAsia" w:hAnsi="宋体"/>
                <w:color w:val="000000"/>
                <w:sz w:val="24"/>
                <w:szCs w:val="24"/>
                <w:highlight w:val="none"/>
              </w:rPr>
              <w:t>4620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×50mg/L×10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0.23</w:t>
            </w:r>
            <w:r>
              <w:rPr>
                <w:rFonts w:hint="eastAsia"/>
                <w:color w:val="000000"/>
                <w:sz w:val="24"/>
                <w:highlight w:val="none"/>
                <w:lang w:val="en-US" w:eastAsia="zh-CN"/>
              </w:rPr>
              <w:t>1</w:t>
            </w:r>
            <w:r>
              <w:rPr>
                <w:color w:val="000000"/>
                <w:sz w:val="24"/>
                <w:highlight w:val="none"/>
              </w:rPr>
              <w:t>t/a</w:t>
            </w:r>
            <w:r>
              <w:rPr>
                <w:rFonts w:hint="eastAsia"/>
                <w:color w:val="000000"/>
                <w:sz w:val="24"/>
                <w:highlight w:val="none"/>
              </w:rPr>
              <w:t>；</w:t>
            </w:r>
          </w:p>
          <w:p>
            <w:pPr>
              <w:spacing w:line="360" w:lineRule="auto"/>
              <w:ind w:firstLine="480" w:firstLineChars="200"/>
              <w:rPr>
                <w:color w:val="000000"/>
                <w:sz w:val="24"/>
                <w:highlight w:val="none"/>
              </w:rPr>
            </w:pPr>
            <w:r>
              <w:rPr>
                <w:color w:val="000000"/>
                <w:sz w:val="24"/>
                <w:highlight w:val="none"/>
              </w:rPr>
              <w:t>NH</w:t>
            </w:r>
            <w:r>
              <w:rPr>
                <w:color w:val="000000"/>
                <w:sz w:val="24"/>
                <w:highlight w:val="none"/>
                <w:vertAlign w:val="subscript"/>
              </w:rPr>
              <w:t>3</w:t>
            </w:r>
            <w:r>
              <w:rPr>
                <w:color w:val="000000"/>
                <w:sz w:val="24"/>
                <w:highlight w:val="none"/>
              </w:rPr>
              <w:t>-N</w:t>
            </w:r>
            <w:r>
              <w:rPr>
                <w:rFonts w:hint="eastAsia"/>
                <w:color w:val="000000"/>
                <w:sz w:val="24"/>
                <w:highlight w:val="none"/>
              </w:rPr>
              <w:t>：（</w:t>
            </w:r>
            <w:r>
              <w:rPr>
                <w:rFonts w:hint="eastAsia" w:hAnsi="宋体"/>
                <w:color w:val="000000"/>
                <w:sz w:val="24"/>
                <w:szCs w:val="24"/>
                <w:highlight w:val="none"/>
              </w:rPr>
              <w:t>3080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×5mg/L</w:t>
            </w:r>
            <w:r>
              <w:rPr>
                <w:rFonts w:hint="eastAsia"/>
                <w:color w:val="000000"/>
                <w:sz w:val="24"/>
                <w:highlight w:val="none"/>
              </w:rPr>
              <w:t>+1540</w:t>
            </w:r>
            <w:r>
              <w:rPr>
                <w:color w:val="000000"/>
                <w:spacing w:val="-4"/>
                <w:sz w:val="24"/>
                <w:highlight w:val="none"/>
              </w:rPr>
              <w:t>m</w:t>
            </w:r>
            <w:r>
              <w:rPr>
                <w:color w:val="000000"/>
                <w:spacing w:val="-4"/>
                <w:sz w:val="24"/>
                <w:highlight w:val="none"/>
                <w:vertAlign w:val="superscript"/>
              </w:rPr>
              <w:t>3</w:t>
            </w:r>
            <w:r>
              <w:rPr>
                <w:color w:val="000000"/>
                <w:spacing w:val="-4"/>
                <w:sz w:val="24"/>
                <w:highlight w:val="none"/>
              </w:rPr>
              <w:t>/a</w:t>
            </w:r>
            <w:r>
              <w:rPr>
                <w:color w:val="000000"/>
                <w:sz w:val="24"/>
                <w:highlight w:val="none"/>
              </w:rPr>
              <w:t>×</w:t>
            </w:r>
            <w:r>
              <w:rPr>
                <w:rFonts w:hint="eastAsia"/>
                <w:color w:val="000000"/>
                <w:sz w:val="24"/>
                <w:highlight w:val="none"/>
              </w:rPr>
              <w:t>8</w:t>
            </w:r>
            <w:r>
              <w:rPr>
                <w:color w:val="000000"/>
                <w:sz w:val="24"/>
                <w:highlight w:val="none"/>
              </w:rPr>
              <w:t>mg/L</w:t>
            </w:r>
            <w:r>
              <w:rPr>
                <w:rFonts w:hint="eastAsia"/>
                <w:color w:val="000000"/>
                <w:sz w:val="24"/>
                <w:highlight w:val="none"/>
              </w:rPr>
              <w:t>）</w:t>
            </w:r>
            <w:r>
              <w:rPr>
                <w:color w:val="000000"/>
                <w:sz w:val="24"/>
                <w:highlight w:val="none"/>
              </w:rPr>
              <w:t>×10</w:t>
            </w:r>
            <w:r>
              <w:rPr>
                <w:color w:val="000000"/>
                <w:sz w:val="24"/>
                <w:highlight w:val="none"/>
                <w:vertAlign w:val="superscript"/>
              </w:rPr>
              <w:t>-</w:t>
            </w:r>
            <w:r>
              <w:rPr>
                <w:rFonts w:hint="eastAsia"/>
                <w:color w:val="000000"/>
                <w:sz w:val="24"/>
                <w:highlight w:val="none"/>
                <w:vertAlign w:val="superscript"/>
              </w:rPr>
              <w:t>6</w:t>
            </w:r>
            <w:r>
              <w:rPr>
                <w:color w:val="000000"/>
                <w:sz w:val="24"/>
                <w:highlight w:val="none"/>
              </w:rPr>
              <w:t>=</w:t>
            </w:r>
            <w:r>
              <w:rPr>
                <w:rFonts w:hint="eastAsia"/>
                <w:color w:val="000000"/>
                <w:sz w:val="24"/>
                <w:highlight w:val="none"/>
              </w:rPr>
              <w:t>0.0</w:t>
            </w:r>
            <w:r>
              <w:rPr>
                <w:rFonts w:hint="eastAsia"/>
                <w:color w:val="000000"/>
                <w:sz w:val="24"/>
                <w:highlight w:val="none"/>
                <w:lang w:val="en-US" w:eastAsia="zh-CN"/>
              </w:rPr>
              <w:t>28</w:t>
            </w:r>
            <w:r>
              <w:rPr>
                <w:color w:val="000000"/>
                <w:sz w:val="24"/>
                <w:highlight w:val="none"/>
              </w:rPr>
              <w:t>t/a</w:t>
            </w:r>
            <w:r>
              <w:rPr>
                <w:rFonts w:hint="eastAsia"/>
                <w:color w:val="000000"/>
                <w:sz w:val="24"/>
                <w:highlight w:val="none"/>
              </w:rPr>
              <w:t>；</w:t>
            </w:r>
          </w:p>
          <w:p>
            <w:pPr>
              <w:spacing w:line="480" w:lineRule="exact"/>
              <w:ind w:firstLine="480" w:firstLineChars="200"/>
              <w:rPr>
                <w:rFonts w:hint="eastAsia"/>
                <w:color w:val="000000"/>
                <w:sz w:val="24"/>
                <w:szCs w:val="22"/>
                <w:highlight w:val="none"/>
              </w:rPr>
            </w:pPr>
            <w:r>
              <w:rPr>
                <w:rFonts w:hint="eastAsia"/>
                <w:color w:val="000000"/>
                <w:sz w:val="24"/>
                <w:szCs w:val="22"/>
                <w:highlight w:val="none"/>
              </w:rPr>
              <w:t>TN：4620m</w:t>
            </w:r>
            <w:r>
              <w:rPr>
                <w:rFonts w:hint="eastAsia"/>
                <w:color w:val="000000"/>
                <w:sz w:val="24"/>
                <w:szCs w:val="22"/>
                <w:highlight w:val="none"/>
                <w:vertAlign w:val="superscript"/>
              </w:rPr>
              <w:t>3</w:t>
            </w:r>
            <w:r>
              <w:rPr>
                <w:rFonts w:hint="eastAsia"/>
                <w:color w:val="000000"/>
                <w:sz w:val="24"/>
                <w:szCs w:val="22"/>
                <w:highlight w:val="none"/>
              </w:rPr>
              <w:t>/a×15mg/L×10</w:t>
            </w:r>
            <w:r>
              <w:rPr>
                <w:rFonts w:hint="eastAsia"/>
                <w:color w:val="000000"/>
                <w:sz w:val="24"/>
                <w:szCs w:val="22"/>
                <w:highlight w:val="none"/>
                <w:vertAlign w:val="superscript"/>
              </w:rPr>
              <w:t>-6</w:t>
            </w:r>
            <w:r>
              <w:rPr>
                <w:rFonts w:hint="eastAsia"/>
                <w:color w:val="000000"/>
                <w:sz w:val="24"/>
                <w:szCs w:val="22"/>
                <w:highlight w:val="none"/>
              </w:rPr>
              <w:t>=0.0</w:t>
            </w:r>
            <w:r>
              <w:rPr>
                <w:rFonts w:hint="eastAsia"/>
                <w:color w:val="000000"/>
                <w:sz w:val="24"/>
                <w:szCs w:val="22"/>
                <w:highlight w:val="none"/>
                <w:lang w:val="en-US" w:eastAsia="zh-CN"/>
              </w:rPr>
              <w:t>69</w:t>
            </w:r>
            <w:r>
              <w:rPr>
                <w:rFonts w:hint="eastAsia"/>
                <w:color w:val="000000"/>
                <w:sz w:val="24"/>
                <w:szCs w:val="22"/>
                <w:highlight w:val="none"/>
              </w:rPr>
              <w:t>t/a。</w:t>
            </w:r>
          </w:p>
          <w:p>
            <w:pPr>
              <w:spacing w:line="480" w:lineRule="exact"/>
              <w:ind w:firstLine="480" w:firstLineChars="200"/>
              <w:rPr>
                <w:rFonts w:hint="eastAsia"/>
                <w:color w:val="000000"/>
                <w:sz w:val="24"/>
                <w:szCs w:val="22"/>
                <w:highlight w:val="none"/>
              </w:rPr>
            </w:pPr>
            <w:r>
              <w:rPr>
                <w:rFonts w:hint="eastAsia"/>
                <w:color w:val="000000"/>
                <w:sz w:val="24"/>
                <w:szCs w:val="22"/>
                <w:highlight w:val="none"/>
              </w:rPr>
              <w:t>综上所述，本次评价核定总量控制指标为：SO</w:t>
            </w:r>
            <w:r>
              <w:rPr>
                <w:rFonts w:hint="eastAsia"/>
                <w:color w:val="000000"/>
                <w:sz w:val="24"/>
                <w:szCs w:val="22"/>
                <w:highlight w:val="none"/>
                <w:vertAlign w:val="subscript"/>
              </w:rPr>
              <w:t>2</w:t>
            </w:r>
            <w:r>
              <w:rPr>
                <w:rFonts w:hint="eastAsia"/>
                <w:color w:val="000000"/>
                <w:sz w:val="24"/>
                <w:szCs w:val="22"/>
                <w:highlight w:val="none"/>
              </w:rPr>
              <w:t>：0t/a，NO</w:t>
            </w:r>
            <w:r>
              <w:rPr>
                <w:rFonts w:hint="eastAsia"/>
                <w:color w:val="000000"/>
                <w:sz w:val="24"/>
                <w:szCs w:val="22"/>
                <w:highlight w:val="none"/>
                <w:vertAlign w:val="subscript"/>
              </w:rPr>
              <w:t>X</w:t>
            </w:r>
            <w:r>
              <w:rPr>
                <w:rFonts w:hint="eastAsia"/>
                <w:color w:val="000000"/>
                <w:sz w:val="24"/>
                <w:szCs w:val="22"/>
                <w:highlight w:val="none"/>
              </w:rPr>
              <w:t>：0t/a，颗粒物：0t/a，COD：0.23</w:t>
            </w:r>
            <w:r>
              <w:rPr>
                <w:rFonts w:hint="eastAsia"/>
                <w:color w:val="000000"/>
                <w:sz w:val="24"/>
                <w:szCs w:val="22"/>
                <w:highlight w:val="none"/>
                <w:lang w:val="en-US" w:eastAsia="zh-CN"/>
              </w:rPr>
              <w:t>1</w:t>
            </w:r>
            <w:r>
              <w:rPr>
                <w:rFonts w:hint="eastAsia"/>
                <w:color w:val="000000"/>
                <w:sz w:val="24"/>
                <w:szCs w:val="22"/>
                <w:highlight w:val="none"/>
              </w:rPr>
              <w:t>t/a，NH</w:t>
            </w:r>
            <w:r>
              <w:rPr>
                <w:rFonts w:hint="eastAsia"/>
                <w:color w:val="000000"/>
                <w:sz w:val="24"/>
                <w:szCs w:val="22"/>
                <w:highlight w:val="none"/>
                <w:vertAlign w:val="subscript"/>
              </w:rPr>
              <w:t>3</w:t>
            </w:r>
            <w:r>
              <w:rPr>
                <w:rFonts w:hint="eastAsia"/>
                <w:color w:val="000000"/>
                <w:sz w:val="24"/>
                <w:szCs w:val="22"/>
                <w:highlight w:val="none"/>
              </w:rPr>
              <w:t>-N：0.0</w:t>
            </w:r>
            <w:r>
              <w:rPr>
                <w:rFonts w:hint="eastAsia"/>
                <w:color w:val="000000"/>
                <w:sz w:val="24"/>
                <w:szCs w:val="22"/>
                <w:highlight w:val="none"/>
                <w:lang w:val="en-US" w:eastAsia="zh-CN"/>
              </w:rPr>
              <w:t>28</w:t>
            </w:r>
            <w:r>
              <w:rPr>
                <w:rFonts w:hint="eastAsia"/>
                <w:color w:val="000000"/>
                <w:sz w:val="24"/>
                <w:szCs w:val="22"/>
                <w:highlight w:val="none"/>
              </w:rPr>
              <w:t>t/a，TN：0.0</w:t>
            </w:r>
            <w:r>
              <w:rPr>
                <w:rFonts w:hint="eastAsia"/>
                <w:color w:val="000000"/>
                <w:sz w:val="24"/>
                <w:szCs w:val="22"/>
                <w:highlight w:val="none"/>
                <w:lang w:val="en-US" w:eastAsia="zh-CN"/>
              </w:rPr>
              <w:t>69</w:t>
            </w:r>
            <w:r>
              <w:rPr>
                <w:rFonts w:hint="eastAsia"/>
                <w:color w:val="000000"/>
                <w:sz w:val="24"/>
                <w:szCs w:val="22"/>
                <w:highlight w:val="none"/>
              </w:rPr>
              <w:t>t/a。</w:t>
            </w:r>
          </w:p>
          <w:p>
            <w:pPr>
              <w:pStyle w:val="6"/>
              <w:spacing w:line="360" w:lineRule="auto"/>
              <w:rPr>
                <w:rFonts w:hint="eastAsia"/>
              </w:rPr>
            </w:pPr>
            <w:r>
              <w:rPr>
                <w:rFonts w:hint="eastAsia"/>
                <w:color w:val="000000"/>
                <w:sz w:val="24"/>
                <w:highlight w:val="none"/>
                <w:lang w:eastAsia="zh-CN"/>
              </w:rPr>
              <w:t>项目建成后移交给迁安市人民医院管理使用，迁安市人民医院体检项目均转移至本项目体检中心进行，根据《迁安市人民医院迁建项目环境影响报告书》人民医院原体检能力为</w:t>
            </w:r>
            <w:r>
              <w:rPr>
                <w:rFonts w:hint="eastAsia"/>
                <w:color w:val="000000"/>
                <w:sz w:val="24"/>
                <w:highlight w:val="none"/>
                <w:lang w:val="en-US" w:eastAsia="zh-CN"/>
              </w:rPr>
              <w:t>500人次/日，本项目平均每日体检人数为220人次，健康养护80人次，经核算，本项目COD、</w:t>
            </w:r>
            <w:r>
              <w:rPr>
                <w:rFonts w:hint="eastAsia"/>
                <w:color w:val="000000"/>
                <w:sz w:val="24"/>
                <w:szCs w:val="22"/>
                <w:highlight w:val="none"/>
              </w:rPr>
              <w:t>NH</w:t>
            </w:r>
            <w:r>
              <w:rPr>
                <w:rFonts w:hint="eastAsia"/>
                <w:color w:val="000000"/>
                <w:sz w:val="24"/>
                <w:szCs w:val="22"/>
                <w:highlight w:val="none"/>
                <w:vertAlign w:val="subscript"/>
              </w:rPr>
              <w:t>3</w:t>
            </w:r>
            <w:r>
              <w:rPr>
                <w:rFonts w:hint="eastAsia"/>
                <w:color w:val="000000"/>
                <w:sz w:val="24"/>
                <w:szCs w:val="22"/>
                <w:highlight w:val="none"/>
              </w:rPr>
              <w:t>-N</w:t>
            </w:r>
            <w:r>
              <w:rPr>
                <w:rFonts w:hint="eastAsia"/>
                <w:color w:val="000000"/>
                <w:sz w:val="24"/>
                <w:highlight w:val="none"/>
                <w:lang w:val="en-US" w:eastAsia="zh-CN"/>
              </w:rPr>
              <w:t>排放量少于现有排放量，因此不会增加COD、</w:t>
            </w:r>
            <w:r>
              <w:rPr>
                <w:rFonts w:hint="eastAsia"/>
                <w:color w:val="000000"/>
                <w:sz w:val="24"/>
                <w:szCs w:val="22"/>
                <w:highlight w:val="none"/>
              </w:rPr>
              <w:t>NH</w:t>
            </w:r>
            <w:r>
              <w:rPr>
                <w:rFonts w:hint="eastAsia"/>
                <w:color w:val="000000"/>
                <w:sz w:val="24"/>
                <w:szCs w:val="22"/>
                <w:highlight w:val="none"/>
                <w:vertAlign w:val="subscript"/>
              </w:rPr>
              <w:t>3</w:t>
            </w:r>
            <w:r>
              <w:rPr>
                <w:rFonts w:hint="eastAsia"/>
                <w:color w:val="000000"/>
                <w:sz w:val="24"/>
                <w:szCs w:val="22"/>
                <w:highlight w:val="none"/>
              </w:rPr>
              <w:t>-N</w:t>
            </w:r>
            <w:r>
              <w:rPr>
                <w:rFonts w:hint="eastAsia"/>
                <w:color w:val="000000"/>
                <w:sz w:val="24"/>
                <w:szCs w:val="22"/>
                <w:highlight w:val="none"/>
                <w:lang w:eastAsia="zh-CN"/>
              </w:rPr>
              <w:t>的排放量，不需进行总量交易。</w:t>
            </w:r>
          </w:p>
          <w:p>
            <w:pPr>
              <w:pStyle w:val="23"/>
              <w:tabs>
                <w:tab w:val="left" w:pos="4148"/>
              </w:tabs>
              <w:adjustRightInd w:val="0"/>
              <w:snapToGrid w:val="0"/>
              <w:spacing w:line="480" w:lineRule="exact"/>
              <w:ind w:firstLine="482" w:firstLineChars="200"/>
              <w:rPr>
                <w:rFonts w:ascii="Times New Roman" w:hAnsi="Times New Roman" w:cs="Times New Roman"/>
                <w:b/>
                <w:bCs/>
                <w:sz w:val="24"/>
                <w:szCs w:val="24"/>
                <w:highlight w:val="none"/>
              </w:rPr>
            </w:pPr>
            <w:r>
              <w:rPr>
                <w:rFonts w:hint="eastAsia" w:ascii="Times New Roman" w:hAnsi="Times New Roman" w:cs="Times New Roman"/>
                <w:b/>
                <w:bCs/>
                <w:sz w:val="24"/>
                <w:szCs w:val="24"/>
                <w:highlight w:val="none"/>
                <w:lang w:val="en-US" w:eastAsia="zh-CN"/>
              </w:rPr>
              <w:t>8</w:t>
            </w:r>
            <w:r>
              <w:rPr>
                <w:rFonts w:ascii="Times New Roman" w:hAnsi="Times New Roman" w:cs="Times New Roman"/>
                <w:b/>
                <w:bCs/>
                <w:sz w:val="24"/>
                <w:szCs w:val="24"/>
                <w:highlight w:val="none"/>
              </w:rPr>
              <w:t>、可行性结论</w:t>
            </w:r>
          </w:p>
          <w:p>
            <w:pPr>
              <w:pStyle w:val="23"/>
              <w:tabs>
                <w:tab w:val="left" w:pos="4148"/>
              </w:tabs>
              <w:adjustRightInd w:val="0"/>
              <w:snapToGrid w:val="0"/>
              <w:spacing w:line="480" w:lineRule="exact"/>
              <w:ind w:firstLine="480" w:firstLineChars="200"/>
              <w:rPr>
                <w:b/>
                <w:sz w:val="28"/>
                <w:szCs w:val="28"/>
                <w:highlight w:val="none"/>
              </w:rPr>
            </w:pPr>
            <w:r>
              <w:rPr>
                <w:rFonts w:hint="eastAsia" w:hAnsi="宋体" w:cs="宋体"/>
                <w:sz w:val="24"/>
                <w:highlight w:val="none"/>
              </w:rPr>
              <w:t>迁安市健康体检管理中心新建项目</w:t>
            </w:r>
            <w:r>
              <w:rPr>
                <w:rFonts w:ascii="Times New Roman" w:hAnsi="Times New Roman" w:cs="Times New Roman"/>
                <w:bCs/>
                <w:sz w:val="24"/>
                <w:szCs w:val="24"/>
                <w:highlight w:val="none"/>
              </w:rPr>
              <w:t>符合国家产业政策要求，选址合理。</w:t>
            </w:r>
            <w:r>
              <w:rPr>
                <w:rFonts w:hint="eastAsia" w:ascii="Times New Roman" w:hAnsi="Times New Roman" w:cs="Times New Roman"/>
                <w:bCs/>
                <w:sz w:val="24"/>
                <w:szCs w:val="24"/>
                <w:highlight w:val="none"/>
              </w:rPr>
              <w:t>项目在建设和运营过程中对产生</w:t>
            </w:r>
            <w:r>
              <w:rPr>
                <w:rFonts w:hint="eastAsia" w:ascii="Times New Roman" w:hAnsi="Times New Roman" w:cs="Times New Roman"/>
                <w:bCs/>
                <w:sz w:val="24"/>
                <w:szCs w:val="24"/>
                <w:highlight w:val="none"/>
                <w:lang w:eastAsia="zh-CN"/>
              </w:rPr>
              <w:t>的废水、</w:t>
            </w:r>
            <w:r>
              <w:rPr>
                <w:rFonts w:hint="eastAsia" w:ascii="Times New Roman" w:hAnsi="Times New Roman" w:cs="Times New Roman"/>
                <w:bCs/>
                <w:sz w:val="24"/>
                <w:szCs w:val="24"/>
                <w:highlight w:val="none"/>
              </w:rPr>
              <w:t>固废、噪声等均采取了合理有效的防治措施，对周围环境的影响程度在可接受的范围内，不会改变周围地区目前的水、声环境质量的现有功能；项目具有良好的经济效益、社会效益和环境效益。因此，在切实落实本环评提出的各项环保措施后，从环保角度分析，该项目建设可行。</w:t>
            </w:r>
          </w:p>
          <w:p>
            <w:pPr>
              <w:adjustRightInd w:val="0"/>
              <w:snapToGrid w:val="0"/>
              <w:spacing w:line="480" w:lineRule="exact"/>
              <w:rPr>
                <w:b/>
                <w:sz w:val="28"/>
                <w:szCs w:val="28"/>
                <w:highlight w:val="none"/>
              </w:rPr>
            </w:pPr>
            <w:r>
              <w:rPr>
                <w:b/>
                <w:sz w:val="28"/>
                <w:szCs w:val="28"/>
                <w:highlight w:val="none"/>
              </w:rPr>
              <w:t>二、建议：</w:t>
            </w:r>
          </w:p>
          <w:p>
            <w:pPr>
              <w:pStyle w:val="23"/>
              <w:tabs>
                <w:tab w:val="left" w:pos="4148"/>
              </w:tabs>
              <w:adjustRightInd w:val="0"/>
              <w:snapToGrid w:val="0"/>
              <w:spacing w:line="480" w:lineRule="exact"/>
              <w:ind w:firstLine="480" w:firstLineChars="200"/>
              <w:rPr>
                <w:rFonts w:ascii="Times New Roman" w:hAnsi="Times New Roman" w:cs="Times New Roman"/>
                <w:kern w:val="24"/>
                <w:sz w:val="24"/>
                <w:szCs w:val="24"/>
                <w:highlight w:val="none"/>
              </w:rPr>
            </w:pPr>
            <w:r>
              <w:rPr>
                <w:rFonts w:ascii="Times New Roman" w:hAnsi="Times New Roman" w:cs="Times New Roman"/>
                <w:kern w:val="24"/>
                <w:sz w:val="24"/>
                <w:szCs w:val="24"/>
                <w:highlight w:val="none"/>
              </w:rPr>
              <w:t>1、加强各类设备的日常管理与维护，保证设备正常运转，以减少跑、冒、滴、漏等事故发生；</w:t>
            </w:r>
          </w:p>
          <w:p>
            <w:pPr>
              <w:pStyle w:val="23"/>
              <w:tabs>
                <w:tab w:val="left" w:pos="4148"/>
              </w:tabs>
              <w:adjustRightInd w:val="0"/>
              <w:snapToGrid w:val="0"/>
              <w:spacing w:line="480" w:lineRule="exact"/>
              <w:ind w:firstLine="480" w:firstLineChars="200"/>
              <w:rPr>
                <w:rFonts w:ascii="Times New Roman" w:hAnsi="Times New Roman" w:cs="Times New Roman"/>
                <w:kern w:val="24"/>
                <w:sz w:val="24"/>
                <w:szCs w:val="24"/>
                <w:highlight w:val="none"/>
              </w:rPr>
            </w:pPr>
            <w:r>
              <w:rPr>
                <w:rFonts w:ascii="Times New Roman" w:hAnsi="Times New Roman" w:cs="Times New Roman"/>
                <w:kern w:val="24"/>
                <w:sz w:val="24"/>
                <w:szCs w:val="24"/>
                <w:highlight w:val="none"/>
              </w:rPr>
              <w:t>2、加强环保教育，提高员工的环保意识，使员工主动做好各项环保工作；</w:t>
            </w:r>
          </w:p>
          <w:p>
            <w:pPr>
              <w:pStyle w:val="23"/>
              <w:tabs>
                <w:tab w:val="left" w:pos="4148"/>
              </w:tabs>
              <w:adjustRightInd w:val="0"/>
              <w:snapToGrid w:val="0"/>
              <w:spacing w:line="480" w:lineRule="exact"/>
              <w:ind w:firstLine="480" w:firstLineChars="200"/>
              <w:rPr>
                <w:rFonts w:ascii="Times New Roman" w:hAnsi="Times New Roman" w:cs="Times New Roman"/>
                <w:kern w:val="24"/>
                <w:sz w:val="24"/>
                <w:highlight w:val="none"/>
              </w:rPr>
            </w:pPr>
            <w:r>
              <w:rPr>
                <w:rFonts w:ascii="Times New Roman" w:hAnsi="Times New Roman" w:cs="Times New Roman"/>
                <w:kern w:val="24"/>
                <w:sz w:val="24"/>
                <w:highlight w:val="none"/>
              </w:rPr>
              <w:t>3、辐射设备另作环评。</w:t>
            </w:r>
          </w:p>
          <w:p>
            <w:pPr>
              <w:pStyle w:val="46"/>
              <w:snapToGrid w:val="0"/>
              <w:spacing w:line="240" w:lineRule="auto"/>
              <w:rPr>
                <w:b/>
                <w:spacing w:val="0"/>
                <w:kern w:val="2"/>
                <w:sz w:val="28"/>
                <w:szCs w:val="28"/>
                <w:highlight w:val="none"/>
              </w:rPr>
            </w:pPr>
            <w:r>
              <w:rPr>
                <w:b/>
                <w:spacing w:val="0"/>
                <w:kern w:val="2"/>
                <w:sz w:val="28"/>
                <w:szCs w:val="28"/>
                <w:highlight w:val="none"/>
              </w:rPr>
              <w:t>附：环境保护“三同时” 验收一览表</w:t>
            </w:r>
          </w:p>
          <w:p>
            <w:pPr>
              <w:pStyle w:val="23"/>
              <w:tabs>
                <w:tab w:val="left" w:pos="4148"/>
              </w:tabs>
              <w:adjustRightInd w:val="0"/>
              <w:snapToGrid w:val="0"/>
              <w:spacing w:before="156" w:beforeLines="50"/>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表</w:t>
            </w:r>
            <w:r>
              <w:rPr>
                <w:rFonts w:hint="eastAsia" w:ascii="Times New Roman" w:hAnsi="Times New Roman" w:cs="Times New Roman"/>
                <w:b/>
                <w:sz w:val="24"/>
                <w:szCs w:val="24"/>
                <w:highlight w:val="none"/>
              </w:rPr>
              <w:t xml:space="preserve">21    </w:t>
            </w:r>
            <w:r>
              <w:rPr>
                <w:rFonts w:ascii="Times New Roman" w:hAnsi="Times New Roman" w:cs="Times New Roman"/>
                <w:b/>
                <w:sz w:val="24"/>
                <w:szCs w:val="24"/>
                <w:highlight w:val="none"/>
              </w:rPr>
              <w:t>三同时验收一览表</w:t>
            </w:r>
          </w:p>
          <w:tbl>
            <w:tblPr>
              <w:tblStyle w:val="36"/>
              <w:tblW w:w="889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43"/>
              <w:gridCol w:w="1110"/>
              <w:gridCol w:w="1377"/>
              <w:gridCol w:w="1950"/>
              <w:gridCol w:w="598"/>
              <w:gridCol w:w="2462"/>
              <w:gridCol w:w="6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tcBorders>
                    <w:left w:val="single" w:color="auto" w:sz="4" w:space="0"/>
                    <w:bottom w:val="single" w:color="auto" w:sz="4" w:space="0"/>
                    <w:tl2br w:val="single" w:color="auto" w:sz="6" w:space="0"/>
                  </w:tcBorders>
                  <w:noWrap w:val="0"/>
                  <w:vAlign w:val="center"/>
                </w:tcPr>
                <w:p>
                  <w:pPr>
                    <w:ind w:left="-105" w:leftChars="-50" w:right="-105" w:rightChars="-50"/>
                    <w:jc w:val="center"/>
                    <w:rPr>
                      <w:b/>
                      <w:szCs w:val="21"/>
                      <w:highlight w:val="none"/>
                    </w:rPr>
                  </w:pPr>
                  <w:r>
                    <w:rPr>
                      <w:b/>
                      <w:szCs w:val="21"/>
                      <w:highlight w:val="none"/>
                    </w:rPr>
                    <w:t>内容</w:t>
                  </w:r>
                </w:p>
                <w:p>
                  <w:pPr>
                    <w:ind w:left="-105" w:leftChars="-50" w:right="-105" w:rightChars="-50"/>
                    <w:jc w:val="center"/>
                    <w:rPr>
                      <w:szCs w:val="21"/>
                      <w:highlight w:val="none"/>
                    </w:rPr>
                  </w:pPr>
                  <w:r>
                    <w:rPr>
                      <w:b/>
                      <w:szCs w:val="21"/>
                      <w:highlight w:val="none"/>
                    </w:rPr>
                    <w:t>类型</w:t>
                  </w:r>
                </w:p>
              </w:tc>
              <w:tc>
                <w:tcPr>
                  <w:tcW w:w="1110" w:type="dxa"/>
                  <w:noWrap w:val="0"/>
                  <w:vAlign w:val="center"/>
                </w:tcPr>
                <w:p>
                  <w:pPr>
                    <w:ind w:left="-105" w:leftChars="-50" w:right="-105" w:rightChars="-50"/>
                    <w:jc w:val="center"/>
                    <w:rPr>
                      <w:b/>
                      <w:bCs/>
                      <w:spacing w:val="-1"/>
                      <w:szCs w:val="21"/>
                      <w:highlight w:val="none"/>
                    </w:rPr>
                  </w:pPr>
                  <w:r>
                    <w:rPr>
                      <w:b/>
                      <w:bCs/>
                      <w:spacing w:val="-1"/>
                      <w:szCs w:val="21"/>
                      <w:highlight w:val="none"/>
                    </w:rPr>
                    <w:t>排放源</w:t>
                  </w:r>
                </w:p>
              </w:tc>
              <w:tc>
                <w:tcPr>
                  <w:tcW w:w="1377" w:type="dxa"/>
                  <w:noWrap w:val="0"/>
                  <w:vAlign w:val="center"/>
                </w:tcPr>
                <w:p>
                  <w:pPr>
                    <w:ind w:left="-105" w:leftChars="-50" w:right="-105" w:rightChars="-50"/>
                    <w:jc w:val="center"/>
                    <w:rPr>
                      <w:b/>
                      <w:bCs/>
                      <w:szCs w:val="21"/>
                      <w:highlight w:val="none"/>
                    </w:rPr>
                  </w:pPr>
                  <w:r>
                    <w:rPr>
                      <w:b/>
                      <w:bCs/>
                      <w:spacing w:val="-1"/>
                      <w:szCs w:val="21"/>
                      <w:highlight w:val="none"/>
                    </w:rPr>
                    <w:t>污染物名称</w:t>
                  </w:r>
                </w:p>
              </w:tc>
              <w:tc>
                <w:tcPr>
                  <w:tcW w:w="1950" w:type="dxa"/>
                  <w:noWrap w:val="0"/>
                  <w:vAlign w:val="center"/>
                </w:tcPr>
                <w:p>
                  <w:pPr>
                    <w:ind w:left="-43"/>
                    <w:jc w:val="center"/>
                    <w:rPr>
                      <w:b/>
                      <w:bCs/>
                      <w:szCs w:val="21"/>
                      <w:highlight w:val="none"/>
                    </w:rPr>
                  </w:pPr>
                  <w:r>
                    <w:rPr>
                      <w:b/>
                      <w:bCs/>
                      <w:spacing w:val="-1"/>
                      <w:szCs w:val="21"/>
                      <w:highlight w:val="none"/>
                    </w:rPr>
                    <w:t>防治措施</w:t>
                  </w:r>
                </w:p>
              </w:tc>
              <w:tc>
                <w:tcPr>
                  <w:tcW w:w="598" w:type="dxa"/>
                  <w:noWrap w:val="0"/>
                  <w:vAlign w:val="center"/>
                </w:tcPr>
                <w:p>
                  <w:pPr>
                    <w:ind w:left="-43"/>
                    <w:jc w:val="center"/>
                    <w:rPr>
                      <w:b/>
                      <w:bCs/>
                      <w:spacing w:val="-1"/>
                      <w:szCs w:val="21"/>
                      <w:highlight w:val="none"/>
                    </w:rPr>
                  </w:pPr>
                  <w:r>
                    <w:rPr>
                      <w:b/>
                      <w:bCs/>
                      <w:spacing w:val="-1"/>
                      <w:szCs w:val="21"/>
                      <w:highlight w:val="none"/>
                    </w:rPr>
                    <w:t>治理</w:t>
                  </w:r>
                </w:p>
                <w:p>
                  <w:pPr>
                    <w:ind w:left="-43"/>
                    <w:jc w:val="center"/>
                    <w:rPr>
                      <w:b/>
                      <w:bCs/>
                      <w:szCs w:val="21"/>
                      <w:highlight w:val="none"/>
                    </w:rPr>
                  </w:pPr>
                  <w:r>
                    <w:rPr>
                      <w:b/>
                      <w:bCs/>
                      <w:spacing w:val="-1"/>
                      <w:szCs w:val="21"/>
                      <w:highlight w:val="none"/>
                    </w:rPr>
                    <w:t>效果</w:t>
                  </w:r>
                </w:p>
              </w:tc>
              <w:tc>
                <w:tcPr>
                  <w:tcW w:w="2462" w:type="dxa"/>
                  <w:noWrap w:val="0"/>
                  <w:vAlign w:val="center"/>
                </w:tcPr>
                <w:p>
                  <w:pPr>
                    <w:ind w:left="-43"/>
                    <w:jc w:val="center"/>
                    <w:rPr>
                      <w:b/>
                      <w:bCs/>
                      <w:szCs w:val="21"/>
                      <w:highlight w:val="none"/>
                    </w:rPr>
                  </w:pPr>
                  <w:r>
                    <w:rPr>
                      <w:b/>
                      <w:bCs/>
                      <w:szCs w:val="21"/>
                      <w:highlight w:val="none"/>
                    </w:rPr>
                    <w:t>验收标准</w:t>
                  </w:r>
                </w:p>
              </w:tc>
              <w:tc>
                <w:tcPr>
                  <w:tcW w:w="656" w:type="dxa"/>
                  <w:noWrap w:val="0"/>
                  <w:vAlign w:val="center"/>
                </w:tcPr>
                <w:p>
                  <w:pPr>
                    <w:ind w:left="-105" w:leftChars="-50" w:right="-105" w:rightChars="-50"/>
                    <w:jc w:val="center"/>
                    <w:rPr>
                      <w:b/>
                      <w:bCs/>
                      <w:szCs w:val="21"/>
                      <w:highlight w:val="none"/>
                    </w:rPr>
                  </w:pPr>
                  <w:r>
                    <w:rPr>
                      <w:b/>
                      <w:bCs/>
                      <w:szCs w:val="21"/>
                      <w:highlight w:val="none"/>
                    </w:rPr>
                    <w:t>环保</w:t>
                  </w:r>
                </w:p>
                <w:p>
                  <w:pPr>
                    <w:ind w:left="-105" w:leftChars="-50" w:right="-105" w:rightChars="-50"/>
                    <w:jc w:val="center"/>
                    <w:rPr>
                      <w:b/>
                      <w:bCs/>
                      <w:szCs w:val="21"/>
                      <w:highlight w:val="none"/>
                    </w:rPr>
                  </w:pPr>
                  <w:r>
                    <w:rPr>
                      <w:b/>
                      <w:bCs/>
                      <w:szCs w:val="21"/>
                      <w:highlight w:val="none"/>
                    </w:rPr>
                    <w:t>投资</w:t>
                  </w:r>
                </w:p>
                <w:p>
                  <w:pPr>
                    <w:ind w:left="-105" w:leftChars="-50" w:right="-105" w:rightChars="-50"/>
                    <w:jc w:val="center"/>
                    <w:rPr>
                      <w:b/>
                      <w:bCs/>
                      <w:szCs w:val="21"/>
                      <w:highlight w:val="none"/>
                    </w:rPr>
                  </w:pPr>
                  <w:r>
                    <w:rPr>
                      <w:b/>
                      <w:bCs/>
                      <w:szCs w:val="21"/>
                      <w:highlight w:val="none"/>
                    </w:rP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66" w:hRule="atLeast"/>
                <w:jc w:val="center"/>
              </w:trPr>
              <w:tc>
                <w:tcPr>
                  <w:tcW w:w="743" w:type="dxa"/>
                  <w:vMerge w:val="restart"/>
                  <w:tcBorders>
                    <w:left w:val="single" w:color="auto" w:sz="4" w:space="0"/>
                  </w:tcBorders>
                  <w:noWrap w:val="0"/>
                  <w:vAlign w:val="center"/>
                </w:tcPr>
                <w:p>
                  <w:pPr>
                    <w:jc w:val="center"/>
                    <w:rPr>
                      <w:spacing w:val="-1"/>
                      <w:szCs w:val="21"/>
                      <w:highlight w:val="none"/>
                    </w:rPr>
                  </w:pPr>
                  <w:r>
                    <w:rPr>
                      <w:spacing w:val="-1"/>
                      <w:szCs w:val="21"/>
                      <w:highlight w:val="none"/>
                    </w:rPr>
                    <w:t>水</w:t>
                  </w:r>
                </w:p>
                <w:p>
                  <w:pPr>
                    <w:jc w:val="center"/>
                    <w:rPr>
                      <w:spacing w:val="-1"/>
                      <w:szCs w:val="21"/>
                      <w:highlight w:val="none"/>
                    </w:rPr>
                  </w:pPr>
                  <w:r>
                    <w:rPr>
                      <w:spacing w:val="-1"/>
                      <w:szCs w:val="21"/>
                      <w:highlight w:val="none"/>
                    </w:rPr>
                    <w:t>污</w:t>
                  </w:r>
                </w:p>
                <w:p>
                  <w:pPr>
                    <w:jc w:val="center"/>
                    <w:rPr>
                      <w:spacing w:val="-1"/>
                      <w:szCs w:val="21"/>
                      <w:highlight w:val="none"/>
                    </w:rPr>
                  </w:pPr>
                  <w:r>
                    <w:rPr>
                      <w:spacing w:val="-1"/>
                      <w:szCs w:val="21"/>
                      <w:highlight w:val="none"/>
                    </w:rPr>
                    <w:t>染</w:t>
                  </w:r>
                </w:p>
                <w:p>
                  <w:pPr>
                    <w:jc w:val="center"/>
                    <w:rPr>
                      <w:spacing w:val="-1"/>
                      <w:szCs w:val="21"/>
                      <w:highlight w:val="none"/>
                    </w:rPr>
                  </w:pPr>
                  <w:r>
                    <w:rPr>
                      <w:spacing w:val="-1"/>
                      <w:szCs w:val="21"/>
                      <w:highlight w:val="none"/>
                    </w:rPr>
                    <w:t>物</w:t>
                  </w:r>
                </w:p>
              </w:tc>
              <w:tc>
                <w:tcPr>
                  <w:tcW w:w="1110" w:type="dxa"/>
                  <w:vMerge w:val="restart"/>
                  <w:tcBorders>
                    <w:top w:val="single" w:color="auto" w:sz="4" w:space="0"/>
                    <w:right w:val="single" w:color="auto" w:sz="4" w:space="0"/>
                  </w:tcBorders>
                  <w:noWrap w:val="0"/>
                  <w:vAlign w:val="center"/>
                </w:tcPr>
                <w:p>
                  <w:pPr>
                    <w:snapToGrid w:val="0"/>
                    <w:ind w:left="-105" w:leftChars="-50" w:right="-105" w:rightChars="-50"/>
                    <w:jc w:val="center"/>
                    <w:rPr>
                      <w:szCs w:val="21"/>
                      <w:highlight w:val="none"/>
                    </w:rPr>
                  </w:pPr>
                  <w:r>
                    <w:rPr>
                      <w:szCs w:val="21"/>
                      <w:highlight w:val="none"/>
                    </w:rPr>
                    <w:t>废水</w:t>
                  </w:r>
                </w:p>
              </w:tc>
              <w:tc>
                <w:tcPr>
                  <w:tcW w:w="1377" w:type="dxa"/>
                  <w:tcBorders>
                    <w:left w:val="single" w:color="auto" w:sz="4" w:space="0"/>
                  </w:tcBorders>
                  <w:noWrap w:val="0"/>
                  <w:vAlign w:val="center"/>
                </w:tcPr>
                <w:p>
                  <w:pPr>
                    <w:snapToGrid w:val="0"/>
                    <w:ind w:left="-105" w:leftChars="-50" w:right="-105" w:rightChars="-50"/>
                    <w:jc w:val="center"/>
                    <w:rPr>
                      <w:rFonts w:hint="eastAsia" w:eastAsia="宋体"/>
                      <w:snapToGrid w:val="0"/>
                      <w:szCs w:val="21"/>
                      <w:highlight w:val="none"/>
                      <w:lang w:eastAsia="zh-CN"/>
                    </w:rPr>
                  </w:pPr>
                  <w:r>
                    <w:rPr>
                      <w:rFonts w:hint="eastAsia"/>
                      <w:snapToGrid w:val="0"/>
                      <w:szCs w:val="21"/>
                      <w:highlight w:val="none"/>
                      <w:lang w:eastAsia="zh-CN"/>
                    </w:rPr>
                    <w:t>医疗废水</w:t>
                  </w:r>
                </w:p>
              </w:tc>
              <w:tc>
                <w:tcPr>
                  <w:tcW w:w="1950" w:type="dxa"/>
                  <w:noWrap w:val="0"/>
                  <w:vAlign w:val="center"/>
                </w:tcPr>
                <w:p>
                  <w:pPr>
                    <w:ind w:left="17" w:leftChars="8"/>
                    <w:jc w:val="center"/>
                    <w:rPr>
                      <w:rFonts w:hint="eastAsia"/>
                      <w:spacing w:val="-1"/>
                      <w:kern w:val="2"/>
                      <w:sz w:val="21"/>
                      <w:szCs w:val="21"/>
                      <w:highlight w:val="none"/>
                      <w:lang w:val="en-US" w:eastAsia="zh-CN" w:bidi="ar-SA"/>
                    </w:rPr>
                  </w:pPr>
                  <w:r>
                    <w:rPr>
                      <w:rFonts w:hint="eastAsia"/>
                      <w:kern w:val="0"/>
                      <w:highlight w:val="none"/>
                    </w:rPr>
                    <w:t>依托迁安市人民医院污水处理站，处理后排入市政污水管网</w:t>
                  </w:r>
                </w:p>
              </w:tc>
              <w:tc>
                <w:tcPr>
                  <w:tcW w:w="598" w:type="dxa"/>
                  <w:vMerge w:val="restart"/>
                  <w:noWrap w:val="0"/>
                  <w:vAlign w:val="center"/>
                </w:tcPr>
                <w:p>
                  <w:pPr>
                    <w:ind w:left="-43"/>
                    <w:jc w:val="center"/>
                    <w:rPr>
                      <w:szCs w:val="21"/>
                      <w:highlight w:val="none"/>
                    </w:rPr>
                  </w:pPr>
                  <w:r>
                    <w:rPr>
                      <w:spacing w:val="-1"/>
                      <w:szCs w:val="21"/>
                      <w:highlight w:val="none"/>
                    </w:rPr>
                    <w:t>达标排放</w:t>
                  </w:r>
                </w:p>
              </w:tc>
              <w:tc>
                <w:tcPr>
                  <w:tcW w:w="2462" w:type="dxa"/>
                  <w:vMerge w:val="restart"/>
                  <w:noWrap w:val="0"/>
                  <w:vAlign w:val="center"/>
                </w:tcPr>
                <w:p>
                  <w:pPr>
                    <w:ind w:left="-105" w:leftChars="-50" w:right="-105" w:rightChars="-50"/>
                    <w:jc w:val="center"/>
                    <w:rPr>
                      <w:rFonts w:hint="eastAsia" w:eastAsia="宋体"/>
                      <w:szCs w:val="21"/>
                      <w:highlight w:val="none"/>
                      <w:lang w:eastAsia="zh-CN"/>
                    </w:rPr>
                  </w:pPr>
                  <w:r>
                    <w:rPr>
                      <w:szCs w:val="21"/>
                      <w:highlight w:val="none"/>
                    </w:rPr>
                    <w:t>《医疗机构水污染物排放标准》（GB18466-2005）</w:t>
                  </w:r>
                  <w:r>
                    <w:rPr>
                      <w:rFonts w:hint="eastAsia"/>
                      <w:szCs w:val="21"/>
                      <w:highlight w:val="none"/>
                      <w:lang w:eastAsia="zh-CN"/>
                    </w:rPr>
                    <w:t>和迁安市污水处理厂收水标准</w:t>
                  </w:r>
                </w:p>
              </w:tc>
              <w:tc>
                <w:tcPr>
                  <w:tcW w:w="656" w:type="dxa"/>
                  <w:vMerge w:val="restart"/>
                  <w:noWrap w:val="0"/>
                  <w:vAlign w:val="center"/>
                </w:tcPr>
                <w:p>
                  <w:pPr>
                    <w:jc w:val="center"/>
                    <w:rPr>
                      <w:rFonts w:hint="eastAsia"/>
                      <w:szCs w:val="21"/>
                      <w:highlight w:val="none"/>
                    </w:rPr>
                  </w:pPr>
                  <w:r>
                    <w:rPr>
                      <w:rFonts w:hint="eastAsia"/>
                      <w:szCs w:val="21"/>
                      <w:highlight w:val="none"/>
                    </w:rPr>
                    <w:t>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vMerge w:val="continue"/>
                  <w:tcBorders>
                    <w:left w:val="single" w:color="auto" w:sz="4" w:space="0"/>
                  </w:tcBorders>
                  <w:noWrap w:val="0"/>
                  <w:vAlign w:val="center"/>
                </w:tcPr>
                <w:p>
                  <w:pPr>
                    <w:jc w:val="center"/>
                    <w:rPr>
                      <w:spacing w:val="-1"/>
                      <w:szCs w:val="21"/>
                      <w:highlight w:val="none"/>
                    </w:rPr>
                  </w:pPr>
                </w:p>
              </w:tc>
              <w:tc>
                <w:tcPr>
                  <w:tcW w:w="1110" w:type="dxa"/>
                  <w:vMerge w:val="continue"/>
                  <w:tcBorders>
                    <w:right w:val="single" w:color="auto" w:sz="4" w:space="0"/>
                  </w:tcBorders>
                  <w:noWrap w:val="0"/>
                  <w:vAlign w:val="center"/>
                </w:tcPr>
                <w:p>
                  <w:pPr>
                    <w:snapToGrid w:val="0"/>
                    <w:ind w:left="-105" w:leftChars="-50" w:right="-105" w:rightChars="-50"/>
                    <w:jc w:val="center"/>
                    <w:rPr>
                      <w:szCs w:val="21"/>
                      <w:highlight w:val="none"/>
                    </w:rPr>
                  </w:pPr>
                </w:p>
              </w:tc>
              <w:tc>
                <w:tcPr>
                  <w:tcW w:w="1377" w:type="dxa"/>
                  <w:tcBorders>
                    <w:left w:val="single" w:color="auto" w:sz="4" w:space="0"/>
                  </w:tcBorders>
                  <w:noWrap w:val="0"/>
                  <w:vAlign w:val="center"/>
                </w:tcPr>
                <w:p>
                  <w:pPr>
                    <w:snapToGrid w:val="0"/>
                    <w:ind w:left="-105" w:leftChars="-50" w:right="-105" w:rightChars="-50"/>
                    <w:jc w:val="center"/>
                    <w:rPr>
                      <w:rFonts w:hint="eastAsia" w:eastAsia="宋体"/>
                      <w:snapToGrid w:val="0"/>
                      <w:szCs w:val="21"/>
                      <w:highlight w:val="none"/>
                      <w:lang w:eastAsia="zh-CN"/>
                    </w:rPr>
                  </w:pPr>
                  <w:r>
                    <w:rPr>
                      <w:rFonts w:hint="eastAsia"/>
                      <w:snapToGrid w:val="0"/>
                      <w:szCs w:val="21"/>
                      <w:highlight w:val="none"/>
                      <w:lang w:eastAsia="zh-CN"/>
                    </w:rPr>
                    <w:t>生活污水</w:t>
                  </w:r>
                </w:p>
              </w:tc>
              <w:tc>
                <w:tcPr>
                  <w:tcW w:w="1950" w:type="dxa"/>
                  <w:noWrap w:val="0"/>
                  <w:vAlign w:val="center"/>
                </w:tcPr>
                <w:p>
                  <w:pPr>
                    <w:ind w:left="17" w:leftChars="8"/>
                    <w:jc w:val="center"/>
                    <w:rPr>
                      <w:spacing w:val="-1"/>
                      <w:szCs w:val="21"/>
                      <w:highlight w:val="none"/>
                    </w:rPr>
                  </w:pPr>
                  <w:r>
                    <w:rPr>
                      <w:rFonts w:hint="eastAsia"/>
                      <w:kern w:val="0"/>
                      <w:highlight w:val="none"/>
                      <w:lang w:eastAsia="zh-CN"/>
                    </w:rPr>
                    <w:t>化粪池处理后依托</w:t>
                  </w:r>
                  <w:r>
                    <w:rPr>
                      <w:rFonts w:hint="eastAsia"/>
                      <w:kern w:val="0"/>
                      <w:highlight w:val="none"/>
                    </w:rPr>
                    <w:t>迁安市人民医院污水处理站，处理后排入市政污水管网</w:t>
                  </w:r>
                </w:p>
              </w:tc>
              <w:tc>
                <w:tcPr>
                  <w:tcW w:w="598" w:type="dxa"/>
                  <w:vMerge w:val="continue"/>
                  <w:noWrap w:val="0"/>
                  <w:vAlign w:val="center"/>
                </w:tcPr>
                <w:p>
                  <w:pPr>
                    <w:ind w:left="-43"/>
                    <w:jc w:val="center"/>
                    <w:rPr>
                      <w:szCs w:val="21"/>
                      <w:highlight w:val="none"/>
                    </w:rPr>
                  </w:pPr>
                </w:p>
              </w:tc>
              <w:tc>
                <w:tcPr>
                  <w:tcW w:w="2462" w:type="dxa"/>
                  <w:vMerge w:val="continue"/>
                  <w:noWrap w:val="0"/>
                  <w:vAlign w:val="center"/>
                </w:tcPr>
                <w:p>
                  <w:pPr>
                    <w:ind w:left="-105" w:leftChars="-50" w:right="-105" w:rightChars="-50"/>
                    <w:jc w:val="center"/>
                    <w:rPr>
                      <w:rFonts w:hint="eastAsia" w:eastAsia="宋体"/>
                      <w:szCs w:val="21"/>
                      <w:highlight w:val="none"/>
                      <w:lang w:eastAsia="zh-CN"/>
                    </w:rPr>
                  </w:pPr>
                </w:p>
              </w:tc>
              <w:tc>
                <w:tcPr>
                  <w:tcW w:w="656" w:type="dxa"/>
                  <w:vMerge w:val="continue"/>
                  <w:noWrap w:val="0"/>
                  <w:vAlign w:val="center"/>
                </w:tcPr>
                <w:p>
                  <w:pPr>
                    <w:jc w:val="center"/>
                    <w:rPr>
                      <w:rFonts w:hint="eastAsia"/>
                      <w:szCs w:val="21"/>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78" w:hRule="atLeast"/>
                <w:jc w:val="center"/>
              </w:trPr>
              <w:tc>
                <w:tcPr>
                  <w:tcW w:w="743" w:type="dxa"/>
                  <w:vMerge w:val="restart"/>
                  <w:tcBorders>
                    <w:left w:val="single" w:color="auto" w:sz="4" w:space="0"/>
                  </w:tcBorders>
                  <w:noWrap w:val="0"/>
                  <w:vAlign w:val="center"/>
                </w:tcPr>
                <w:p>
                  <w:pPr>
                    <w:ind w:left="-43"/>
                    <w:jc w:val="center"/>
                    <w:rPr>
                      <w:spacing w:val="-1"/>
                      <w:szCs w:val="21"/>
                      <w:highlight w:val="none"/>
                    </w:rPr>
                  </w:pPr>
                  <w:r>
                    <w:rPr>
                      <w:spacing w:val="-1"/>
                      <w:szCs w:val="21"/>
                      <w:highlight w:val="none"/>
                    </w:rPr>
                    <w:t>固</w:t>
                  </w:r>
                </w:p>
                <w:p>
                  <w:pPr>
                    <w:ind w:left="-43"/>
                    <w:jc w:val="center"/>
                    <w:rPr>
                      <w:szCs w:val="21"/>
                      <w:highlight w:val="none"/>
                    </w:rPr>
                  </w:pPr>
                  <w:r>
                    <w:rPr>
                      <w:spacing w:val="-1"/>
                      <w:szCs w:val="21"/>
                      <w:highlight w:val="none"/>
                    </w:rPr>
                    <w:t>体</w:t>
                  </w:r>
                </w:p>
                <w:p>
                  <w:pPr>
                    <w:ind w:left="-43"/>
                    <w:jc w:val="center"/>
                    <w:rPr>
                      <w:spacing w:val="-1"/>
                      <w:szCs w:val="21"/>
                      <w:highlight w:val="none"/>
                    </w:rPr>
                  </w:pPr>
                  <w:r>
                    <w:rPr>
                      <w:spacing w:val="-1"/>
                      <w:szCs w:val="21"/>
                      <w:highlight w:val="none"/>
                    </w:rPr>
                    <w:t>废</w:t>
                  </w:r>
                </w:p>
                <w:p>
                  <w:pPr>
                    <w:ind w:left="-43"/>
                    <w:jc w:val="center"/>
                    <w:rPr>
                      <w:spacing w:val="-1"/>
                      <w:szCs w:val="21"/>
                      <w:highlight w:val="none"/>
                    </w:rPr>
                  </w:pPr>
                  <w:r>
                    <w:rPr>
                      <w:spacing w:val="-1"/>
                      <w:szCs w:val="21"/>
                      <w:highlight w:val="none"/>
                    </w:rPr>
                    <w:t>物</w:t>
                  </w:r>
                </w:p>
              </w:tc>
              <w:tc>
                <w:tcPr>
                  <w:tcW w:w="1110" w:type="dxa"/>
                  <w:tcBorders>
                    <w:right w:val="single" w:color="auto" w:sz="4" w:space="0"/>
                  </w:tcBorders>
                  <w:noWrap w:val="0"/>
                  <w:vAlign w:val="center"/>
                </w:tcPr>
                <w:p>
                  <w:pPr>
                    <w:adjustRightInd w:val="0"/>
                    <w:snapToGrid w:val="0"/>
                    <w:ind w:left="-105" w:leftChars="-50" w:right="-105" w:rightChars="-50"/>
                    <w:jc w:val="center"/>
                    <w:rPr>
                      <w:bCs/>
                      <w:szCs w:val="21"/>
                      <w:highlight w:val="none"/>
                    </w:rPr>
                  </w:pPr>
                  <w:r>
                    <w:rPr>
                      <w:bCs/>
                      <w:szCs w:val="21"/>
                      <w:highlight w:val="none"/>
                    </w:rPr>
                    <w:t>生活办公</w:t>
                  </w:r>
                </w:p>
              </w:tc>
              <w:tc>
                <w:tcPr>
                  <w:tcW w:w="1377" w:type="dxa"/>
                  <w:tcBorders>
                    <w:left w:val="single" w:color="auto" w:sz="4" w:space="0"/>
                    <w:bottom w:val="single" w:color="auto" w:sz="4" w:space="0"/>
                  </w:tcBorders>
                  <w:noWrap w:val="0"/>
                  <w:vAlign w:val="center"/>
                </w:tcPr>
                <w:p>
                  <w:pPr>
                    <w:adjustRightInd w:val="0"/>
                    <w:snapToGrid w:val="0"/>
                    <w:jc w:val="center"/>
                    <w:rPr>
                      <w:bCs/>
                      <w:szCs w:val="21"/>
                      <w:highlight w:val="none"/>
                    </w:rPr>
                  </w:pPr>
                  <w:r>
                    <w:rPr>
                      <w:bCs/>
                      <w:szCs w:val="21"/>
                      <w:highlight w:val="none"/>
                    </w:rPr>
                    <w:t>一般生活垃圾</w:t>
                  </w:r>
                </w:p>
              </w:tc>
              <w:tc>
                <w:tcPr>
                  <w:tcW w:w="1950" w:type="dxa"/>
                  <w:tcBorders>
                    <w:bottom w:val="single" w:color="auto" w:sz="4" w:space="0"/>
                  </w:tcBorders>
                  <w:noWrap w:val="0"/>
                  <w:vAlign w:val="center"/>
                </w:tcPr>
                <w:p>
                  <w:pPr>
                    <w:wordWrap w:val="0"/>
                    <w:jc w:val="center"/>
                    <w:rPr>
                      <w:szCs w:val="21"/>
                      <w:highlight w:val="none"/>
                    </w:rPr>
                  </w:pPr>
                  <w:r>
                    <w:rPr>
                      <w:szCs w:val="21"/>
                      <w:highlight w:val="none"/>
                    </w:rPr>
                    <w:t>交由环卫部门处理</w:t>
                  </w:r>
                </w:p>
              </w:tc>
              <w:tc>
                <w:tcPr>
                  <w:tcW w:w="598" w:type="dxa"/>
                  <w:vMerge w:val="restart"/>
                  <w:noWrap w:val="0"/>
                  <w:vAlign w:val="center"/>
                </w:tcPr>
                <w:p>
                  <w:pPr>
                    <w:ind w:left="-43"/>
                    <w:jc w:val="center"/>
                    <w:rPr>
                      <w:spacing w:val="-1"/>
                      <w:szCs w:val="21"/>
                      <w:highlight w:val="none"/>
                    </w:rPr>
                  </w:pPr>
                  <w:r>
                    <w:rPr>
                      <w:spacing w:val="-1"/>
                      <w:szCs w:val="21"/>
                      <w:highlight w:val="none"/>
                    </w:rPr>
                    <w:t>合理处置</w:t>
                  </w:r>
                </w:p>
              </w:tc>
              <w:tc>
                <w:tcPr>
                  <w:tcW w:w="2462" w:type="dxa"/>
                  <w:noWrap w:val="0"/>
                  <w:vAlign w:val="center"/>
                </w:tcPr>
                <w:p>
                  <w:pPr>
                    <w:ind w:left="-105" w:leftChars="-50" w:right="-105" w:rightChars="-50"/>
                    <w:jc w:val="center"/>
                    <w:rPr>
                      <w:rFonts w:hint="eastAsia" w:eastAsia="宋体"/>
                      <w:szCs w:val="21"/>
                      <w:highlight w:val="none"/>
                      <w:lang w:eastAsia="zh-CN"/>
                    </w:rPr>
                  </w:pPr>
                  <w:r>
                    <w:rPr>
                      <w:rFonts w:hint="eastAsia"/>
                      <w:szCs w:val="21"/>
                      <w:highlight w:val="none"/>
                      <w:lang w:val="en-US" w:eastAsia="zh-CN"/>
                    </w:rPr>
                    <w:t>-</w:t>
                  </w:r>
                </w:p>
              </w:tc>
              <w:tc>
                <w:tcPr>
                  <w:tcW w:w="656" w:type="dxa"/>
                  <w:noWrap w:val="0"/>
                  <w:vAlign w:val="center"/>
                </w:tcPr>
                <w:p>
                  <w:pPr>
                    <w:tabs>
                      <w:tab w:val="center" w:pos="220"/>
                    </w:tabs>
                    <w:jc w:val="center"/>
                    <w:rPr>
                      <w:highlight w:val="none"/>
                    </w:rPr>
                  </w:pPr>
                  <w:r>
                    <w:rPr>
                      <w:rFonts w:hint="eastAsia"/>
                      <w:highlight w:val="none"/>
                    </w:rPr>
                    <w:t>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vMerge w:val="continue"/>
                  <w:tcBorders>
                    <w:left w:val="single" w:color="auto" w:sz="4" w:space="0"/>
                  </w:tcBorders>
                  <w:noWrap w:val="0"/>
                  <w:vAlign w:val="center"/>
                </w:tcPr>
                <w:p>
                  <w:pPr>
                    <w:ind w:left="-43"/>
                    <w:jc w:val="center"/>
                    <w:rPr>
                      <w:spacing w:val="-1"/>
                      <w:szCs w:val="21"/>
                      <w:highlight w:val="none"/>
                    </w:rPr>
                  </w:pPr>
                </w:p>
              </w:tc>
              <w:tc>
                <w:tcPr>
                  <w:tcW w:w="1110" w:type="dxa"/>
                  <w:tcBorders>
                    <w:right w:val="single" w:color="auto" w:sz="4" w:space="0"/>
                  </w:tcBorders>
                  <w:noWrap w:val="0"/>
                  <w:vAlign w:val="center"/>
                </w:tcPr>
                <w:p>
                  <w:pPr>
                    <w:ind w:left="-105" w:leftChars="-50" w:right="-105" w:rightChars="-50"/>
                    <w:jc w:val="center"/>
                    <w:rPr>
                      <w:rFonts w:hint="eastAsia"/>
                      <w:bCs/>
                      <w:szCs w:val="21"/>
                      <w:highlight w:val="none"/>
                    </w:rPr>
                  </w:pPr>
                  <w:r>
                    <w:rPr>
                      <w:rFonts w:hint="eastAsia"/>
                      <w:bCs/>
                      <w:szCs w:val="21"/>
                      <w:highlight w:val="none"/>
                    </w:rPr>
                    <w:t>体检、</w:t>
                  </w:r>
                </w:p>
                <w:p>
                  <w:pPr>
                    <w:ind w:left="-105" w:leftChars="-50" w:right="-105" w:rightChars="-50"/>
                    <w:jc w:val="center"/>
                    <w:rPr>
                      <w:rFonts w:hint="eastAsia"/>
                      <w:bCs/>
                      <w:szCs w:val="21"/>
                      <w:highlight w:val="none"/>
                    </w:rPr>
                  </w:pPr>
                  <w:r>
                    <w:rPr>
                      <w:rFonts w:hint="eastAsia"/>
                      <w:bCs/>
                      <w:szCs w:val="21"/>
                      <w:highlight w:val="none"/>
                    </w:rPr>
                    <w:t>健康养护</w:t>
                  </w:r>
                </w:p>
              </w:tc>
              <w:tc>
                <w:tcPr>
                  <w:tcW w:w="1377" w:type="dxa"/>
                  <w:tcBorders>
                    <w:top w:val="single" w:color="auto" w:sz="4" w:space="0"/>
                    <w:left w:val="single" w:color="auto" w:sz="4" w:space="0"/>
                  </w:tcBorders>
                  <w:noWrap w:val="0"/>
                  <w:vAlign w:val="center"/>
                </w:tcPr>
                <w:p>
                  <w:pPr>
                    <w:adjustRightInd w:val="0"/>
                    <w:snapToGrid w:val="0"/>
                    <w:jc w:val="center"/>
                    <w:rPr>
                      <w:bCs/>
                      <w:szCs w:val="21"/>
                      <w:highlight w:val="none"/>
                    </w:rPr>
                  </w:pPr>
                  <w:r>
                    <w:rPr>
                      <w:bCs/>
                      <w:szCs w:val="21"/>
                      <w:highlight w:val="none"/>
                    </w:rPr>
                    <w:t>医疗废物</w:t>
                  </w:r>
                </w:p>
              </w:tc>
              <w:tc>
                <w:tcPr>
                  <w:tcW w:w="1950" w:type="dxa"/>
                  <w:tcBorders>
                    <w:top w:val="single" w:color="auto" w:sz="4" w:space="0"/>
                  </w:tcBorders>
                  <w:noWrap w:val="0"/>
                  <w:vAlign w:val="center"/>
                </w:tcPr>
                <w:p>
                  <w:pPr>
                    <w:wordWrap w:val="0"/>
                    <w:jc w:val="center"/>
                    <w:rPr>
                      <w:szCs w:val="21"/>
                      <w:highlight w:val="none"/>
                    </w:rPr>
                  </w:pPr>
                  <w:r>
                    <w:rPr>
                      <w:rFonts w:hint="eastAsia"/>
                      <w:bCs/>
                      <w:szCs w:val="21"/>
                      <w:highlight w:val="none"/>
                    </w:rPr>
                    <w:t>暂存于医疗废物暂存间，交</w:t>
                  </w:r>
                  <w:r>
                    <w:rPr>
                      <w:rFonts w:hint="eastAsia"/>
                      <w:bCs/>
                      <w:szCs w:val="21"/>
                      <w:highlight w:val="none"/>
                      <w:lang w:eastAsia="zh-CN"/>
                    </w:rPr>
                    <w:t>有资质单位</w:t>
                  </w:r>
                  <w:r>
                    <w:rPr>
                      <w:rFonts w:hint="eastAsia"/>
                      <w:bCs/>
                      <w:szCs w:val="21"/>
                      <w:highlight w:val="none"/>
                    </w:rPr>
                    <w:t>处理</w:t>
                  </w:r>
                </w:p>
              </w:tc>
              <w:tc>
                <w:tcPr>
                  <w:tcW w:w="598" w:type="dxa"/>
                  <w:vMerge w:val="continue"/>
                  <w:noWrap w:val="0"/>
                  <w:vAlign w:val="center"/>
                </w:tcPr>
                <w:p>
                  <w:pPr>
                    <w:ind w:left="-43"/>
                    <w:jc w:val="center"/>
                    <w:rPr>
                      <w:spacing w:val="-1"/>
                      <w:szCs w:val="21"/>
                      <w:highlight w:val="none"/>
                    </w:rPr>
                  </w:pPr>
                </w:p>
              </w:tc>
              <w:tc>
                <w:tcPr>
                  <w:tcW w:w="2462" w:type="dxa"/>
                  <w:vMerge w:val="restart"/>
                  <w:noWrap w:val="0"/>
                  <w:vAlign w:val="center"/>
                </w:tcPr>
                <w:p>
                  <w:pPr>
                    <w:ind w:left="-105" w:leftChars="-50" w:right="-105" w:rightChars="-50"/>
                    <w:jc w:val="center"/>
                    <w:rPr>
                      <w:szCs w:val="21"/>
                      <w:highlight w:val="none"/>
                    </w:rPr>
                  </w:pPr>
                  <w:r>
                    <w:rPr>
                      <w:szCs w:val="21"/>
                      <w:highlight w:val="none"/>
                    </w:rPr>
                    <w:t>危险废物执行《危险废物贮存污染控制标准》（GB18597-2001）及修改单相关规定</w:t>
                  </w:r>
                </w:p>
              </w:tc>
              <w:tc>
                <w:tcPr>
                  <w:tcW w:w="656" w:type="dxa"/>
                  <w:vMerge w:val="restart"/>
                  <w:noWrap w:val="0"/>
                  <w:vAlign w:val="center"/>
                </w:tcPr>
                <w:p>
                  <w:pPr>
                    <w:ind w:left="-43"/>
                    <w:jc w:val="center"/>
                    <w:rPr>
                      <w:rFonts w:hint="eastAsia"/>
                      <w:szCs w:val="21"/>
                      <w:highlight w:val="none"/>
                    </w:rPr>
                  </w:pPr>
                  <w:r>
                    <w:rPr>
                      <w:rFonts w:hint="eastAsia"/>
                      <w:szCs w:val="21"/>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vMerge w:val="continue"/>
                  <w:tcBorders>
                    <w:left w:val="single" w:color="auto" w:sz="4" w:space="0"/>
                  </w:tcBorders>
                  <w:noWrap w:val="0"/>
                  <w:vAlign w:val="center"/>
                </w:tcPr>
                <w:p>
                  <w:pPr>
                    <w:ind w:left="-43"/>
                    <w:jc w:val="center"/>
                    <w:rPr>
                      <w:spacing w:val="-1"/>
                      <w:szCs w:val="21"/>
                      <w:highlight w:val="none"/>
                    </w:rPr>
                  </w:pPr>
                </w:p>
              </w:tc>
              <w:tc>
                <w:tcPr>
                  <w:tcW w:w="1110" w:type="dxa"/>
                  <w:tcBorders>
                    <w:right w:val="single" w:color="auto" w:sz="4" w:space="0"/>
                  </w:tcBorders>
                  <w:noWrap w:val="0"/>
                  <w:vAlign w:val="center"/>
                </w:tcPr>
                <w:p>
                  <w:pPr>
                    <w:ind w:left="-105" w:leftChars="-50" w:right="-105" w:rightChars="-50"/>
                    <w:jc w:val="center"/>
                    <w:rPr>
                      <w:rFonts w:hint="eastAsia" w:eastAsia="宋体"/>
                      <w:bCs/>
                      <w:szCs w:val="21"/>
                      <w:highlight w:val="none"/>
                      <w:lang w:eastAsia="zh-CN"/>
                    </w:rPr>
                  </w:pPr>
                  <w:r>
                    <w:rPr>
                      <w:rFonts w:hint="eastAsia"/>
                      <w:bCs/>
                      <w:szCs w:val="21"/>
                      <w:highlight w:val="none"/>
                      <w:lang w:eastAsia="zh-CN"/>
                    </w:rPr>
                    <w:t>化粪池</w:t>
                  </w:r>
                </w:p>
              </w:tc>
              <w:tc>
                <w:tcPr>
                  <w:tcW w:w="1377" w:type="dxa"/>
                  <w:tcBorders>
                    <w:top w:val="single" w:color="auto" w:sz="4" w:space="0"/>
                    <w:left w:val="single" w:color="auto" w:sz="4" w:space="0"/>
                  </w:tcBorders>
                  <w:noWrap w:val="0"/>
                  <w:vAlign w:val="center"/>
                </w:tcPr>
                <w:p>
                  <w:pPr>
                    <w:adjustRightInd w:val="0"/>
                    <w:snapToGrid w:val="0"/>
                    <w:jc w:val="center"/>
                    <w:rPr>
                      <w:rFonts w:hint="eastAsia" w:eastAsia="宋体"/>
                      <w:bCs/>
                      <w:szCs w:val="21"/>
                      <w:highlight w:val="none"/>
                      <w:lang w:eastAsia="zh-CN"/>
                    </w:rPr>
                  </w:pPr>
                  <w:r>
                    <w:rPr>
                      <w:rFonts w:hint="eastAsia"/>
                      <w:bCs/>
                      <w:szCs w:val="21"/>
                      <w:highlight w:val="none"/>
                      <w:lang w:eastAsia="zh-CN"/>
                    </w:rPr>
                    <w:t>污泥</w:t>
                  </w:r>
                </w:p>
              </w:tc>
              <w:tc>
                <w:tcPr>
                  <w:tcW w:w="1950" w:type="dxa"/>
                  <w:tcBorders>
                    <w:top w:val="single" w:color="auto" w:sz="4" w:space="0"/>
                  </w:tcBorders>
                  <w:noWrap w:val="0"/>
                  <w:vAlign w:val="center"/>
                </w:tcPr>
                <w:p>
                  <w:pPr>
                    <w:wordWrap w:val="0"/>
                    <w:jc w:val="center"/>
                    <w:rPr>
                      <w:rFonts w:hint="eastAsia"/>
                      <w:bCs/>
                      <w:szCs w:val="21"/>
                      <w:highlight w:val="none"/>
                    </w:rPr>
                  </w:pPr>
                  <w:r>
                    <w:rPr>
                      <w:rFonts w:hint="eastAsia"/>
                      <w:bCs/>
                      <w:szCs w:val="21"/>
                      <w:highlight w:val="none"/>
                    </w:rPr>
                    <w:t>定期清理、消毒处理后，</w:t>
                  </w:r>
                  <w:r>
                    <w:rPr>
                      <w:bCs/>
                      <w:szCs w:val="21"/>
                      <w:highlight w:val="none"/>
                    </w:rPr>
                    <w:t>交由</w:t>
                  </w:r>
                  <w:r>
                    <w:rPr>
                      <w:rFonts w:hint="eastAsia"/>
                      <w:bCs/>
                      <w:szCs w:val="21"/>
                      <w:highlight w:val="none"/>
                    </w:rPr>
                    <w:t>资质单位</w:t>
                  </w:r>
                  <w:r>
                    <w:rPr>
                      <w:bCs/>
                      <w:szCs w:val="21"/>
                      <w:highlight w:val="none"/>
                    </w:rPr>
                    <w:t>处理</w:t>
                  </w:r>
                </w:p>
              </w:tc>
              <w:tc>
                <w:tcPr>
                  <w:tcW w:w="598" w:type="dxa"/>
                  <w:vMerge w:val="continue"/>
                  <w:noWrap w:val="0"/>
                  <w:vAlign w:val="center"/>
                </w:tcPr>
                <w:p>
                  <w:pPr>
                    <w:ind w:left="-43"/>
                    <w:jc w:val="center"/>
                    <w:rPr>
                      <w:spacing w:val="-1"/>
                      <w:szCs w:val="21"/>
                      <w:highlight w:val="none"/>
                    </w:rPr>
                  </w:pPr>
                </w:p>
              </w:tc>
              <w:tc>
                <w:tcPr>
                  <w:tcW w:w="2462" w:type="dxa"/>
                  <w:vMerge w:val="continue"/>
                  <w:noWrap w:val="0"/>
                  <w:vAlign w:val="center"/>
                </w:tcPr>
                <w:p>
                  <w:pPr>
                    <w:ind w:left="-105" w:leftChars="-50" w:right="-105" w:rightChars="-50"/>
                    <w:jc w:val="center"/>
                    <w:rPr>
                      <w:szCs w:val="21"/>
                      <w:highlight w:val="none"/>
                    </w:rPr>
                  </w:pPr>
                </w:p>
              </w:tc>
              <w:tc>
                <w:tcPr>
                  <w:tcW w:w="656" w:type="dxa"/>
                  <w:vMerge w:val="continue"/>
                  <w:noWrap w:val="0"/>
                  <w:vAlign w:val="center"/>
                </w:tcPr>
                <w:p>
                  <w:pPr>
                    <w:ind w:left="-43"/>
                    <w:jc w:val="center"/>
                    <w:rPr>
                      <w:rFonts w:hint="eastAsia"/>
                      <w:szCs w:val="21"/>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tcBorders>
                    <w:left w:val="single" w:color="auto" w:sz="4" w:space="0"/>
                  </w:tcBorders>
                  <w:noWrap w:val="0"/>
                  <w:vAlign w:val="center"/>
                </w:tcPr>
                <w:p>
                  <w:pPr>
                    <w:ind w:left="-43"/>
                    <w:jc w:val="center"/>
                    <w:rPr>
                      <w:spacing w:val="-1"/>
                      <w:szCs w:val="21"/>
                      <w:highlight w:val="none"/>
                    </w:rPr>
                  </w:pPr>
                  <w:r>
                    <w:rPr>
                      <w:spacing w:val="-1"/>
                      <w:szCs w:val="21"/>
                      <w:highlight w:val="none"/>
                    </w:rPr>
                    <w:t>噪</w:t>
                  </w:r>
                </w:p>
                <w:p>
                  <w:pPr>
                    <w:ind w:left="-43"/>
                    <w:jc w:val="center"/>
                    <w:rPr>
                      <w:spacing w:val="-1"/>
                      <w:szCs w:val="21"/>
                      <w:highlight w:val="none"/>
                    </w:rPr>
                  </w:pPr>
                  <w:r>
                    <w:rPr>
                      <w:spacing w:val="-1"/>
                      <w:szCs w:val="21"/>
                      <w:highlight w:val="none"/>
                    </w:rPr>
                    <w:t>声</w:t>
                  </w:r>
                </w:p>
              </w:tc>
              <w:tc>
                <w:tcPr>
                  <w:tcW w:w="1110" w:type="dxa"/>
                  <w:tcBorders>
                    <w:right w:val="single" w:color="auto" w:sz="4" w:space="0"/>
                  </w:tcBorders>
                  <w:noWrap w:val="0"/>
                  <w:vAlign w:val="center"/>
                </w:tcPr>
                <w:p>
                  <w:pPr>
                    <w:ind w:left="-105" w:leftChars="-50" w:right="-105" w:rightChars="-50"/>
                    <w:jc w:val="center"/>
                    <w:rPr>
                      <w:bCs/>
                      <w:szCs w:val="21"/>
                      <w:highlight w:val="none"/>
                    </w:rPr>
                  </w:pPr>
                  <w:r>
                    <w:rPr>
                      <w:rFonts w:hint="eastAsia"/>
                      <w:spacing w:val="-1"/>
                      <w:szCs w:val="21"/>
                      <w:highlight w:val="none"/>
                    </w:rPr>
                    <w:t>空调风机</w:t>
                  </w:r>
                </w:p>
              </w:tc>
              <w:tc>
                <w:tcPr>
                  <w:tcW w:w="1377" w:type="dxa"/>
                  <w:tcBorders>
                    <w:left w:val="single" w:color="auto" w:sz="4" w:space="0"/>
                  </w:tcBorders>
                  <w:noWrap w:val="0"/>
                  <w:vAlign w:val="center"/>
                </w:tcPr>
                <w:p>
                  <w:pPr>
                    <w:ind w:left="-105" w:leftChars="-50" w:right="-105" w:rightChars="-50"/>
                    <w:jc w:val="center"/>
                    <w:rPr>
                      <w:bCs/>
                      <w:szCs w:val="21"/>
                      <w:highlight w:val="none"/>
                    </w:rPr>
                  </w:pPr>
                  <w:r>
                    <w:rPr>
                      <w:spacing w:val="-1"/>
                      <w:szCs w:val="21"/>
                      <w:highlight w:val="none"/>
                    </w:rPr>
                    <w:t>A声级</w:t>
                  </w:r>
                </w:p>
              </w:tc>
              <w:tc>
                <w:tcPr>
                  <w:tcW w:w="1950" w:type="dxa"/>
                  <w:noWrap w:val="0"/>
                  <w:vAlign w:val="center"/>
                </w:tcPr>
                <w:p>
                  <w:pPr>
                    <w:jc w:val="center"/>
                    <w:rPr>
                      <w:rFonts w:hint="eastAsia"/>
                      <w:bCs/>
                      <w:szCs w:val="21"/>
                      <w:highlight w:val="none"/>
                    </w:rPr>
                  </w:pPr>
                  <w:r>
                    <w:rPr>
                      <w:rFonts w:hint="eastAsia" w:hAnsi="宋体"/>
                      <w:spacing w:val="-1"/>
                      <w:szCs w:val="21"/>
                      <w:highlight w:val="none"/>
                    </w:rPr>
                    <w:t>低噪设备+基础减震+隔声罩</w:t>
                  </w:r>
                </w:p>
              </w:tc>
              <w:tc>
                <w:tcPr>
                  <w:tcW w:w="598" w:type="dxa"/>
                  <w:noWrap w:val="0"/>
                  <w:vAlign w:val="center"/>
                </w:tcPr>
                <w:p>
                  <w:pPr>
                    <w:ind w:left="17" w:leftChars="8"/>
                    <w:jc w:val="center"/>
                    <w:rPr>
                      <w:spacing w:val="-1"/>
                      <w:szCs w:val="21"/>
                      <w:highlight w:val="none"/>
                    </w:rPr>
                  </w:pPr>
                  <w:r>
                    <w:rPr>
                      <w:spacing w:val="-1"/>
                      <w:szCs w:val="21"/>
                      <w:highlight w:val="none"/>
                    </w:rPr>
                    <w:t>达标排放</w:t>
                  </w:r>
                </w:p>
              </w:tc>
              <w:tc>
                <w:tcPr>
                  <w:tcW w:w="2462" w:type="dxa"/>
                  <w:noWrap w:val="0"/>
                  <w:vAlign w:val="center"/>
                </w:tcPr>
                <w:p>
                  <w:pPr>
                    <w:ind w:left="-105" w:leftChars="-50" w:right="-105" w:rightChars="-50"/>
                    <w:jc w:val="center"/>
                    <w:rPr>
                      <w:szCs w:val="21"/>
                      <w:highlight w:val="none"/>
                    </w:rPr>
                  </w:pPr>
                  <w:r>
                    <w:rPr>
                      <w:rFonts w:hint="eastAsia"/>
                      <w:spacing w:val="-1"/>
                      <w:szCs w:val="21"/>
                      <w:highlight w:val="none"/>
                    </w:rPr>
                    <w:t>东、北</w:t>
                  </w:r>
                  <w:r>
                    <w:rPr>
                      <w:rFonts w:hint="eastAsia"/>
                      <w:spacing w:val="-1"/>
                      <w:szCs w:val="21"/>
                      <w:highlight w:val="none"/>
                      <w:lang w:eastAsia="zh-CN"/>
                    </w:rPr>
                    <w:t>、南</w:t>
                  </w:r>
                  <w:r>
                    <w:rPr>
                      <w:rFonts w:hint="eastAsia"/>
                      <w:spacing w:val="-1"/>
                      <w:szCs w:val="21"/>
                      <w:highlight w:val="none"/>
                    </w:rPr>
                    <w:t>厂界噪声满足《</w:t>
                  </w:r>
                  <w:r>
                    <w:rPr>
                      <w:spacing w:val="-1"/>
                      <w:szCs w:val="21"/>
                      <w:highlight w:val="none"/>
                    </w:rPr>
                    <w:t>工业企业厂界环境噪声排放标准》(GB</w:t>
                  </w:r>
                  <w:r>
                    <w:rPr>
                      <w:rFonts w:hint="eastAsia"/>
                      <w:spacing w:val="-1"/>
                      <w:szCs w:val="21"/>
                      <w:highlight w:val="none"/>
                    </w:rPr>
                    <w:t>12348</w:t>
                  </w:r>
                  <w:r>
                    <w:rPr>
                      <w:spacing w:val="-1"/>
                      <w:szCs w:val="21"/>
                      <w:highlight w:val="none"/>
                    </w:rPr>
                    <w:t>-2008)</w:t>
                  </w:r>
                  <w:r>
                    <w:rPr>
                      <w:rFonts w:hint="eastAsia"/>
                      <w:spacing w:val="-1"/>
                      <w:szCs w:val="21"/>
                      <w:highlight w:val="none"/>
                      <w:lang w:val="en-US" w:eastAsia="zh-CN"/>
                    </w:rPr>
                    <w:t>1</w:t>
                  </w:r>
                  <w:r>
                    <w:rPr>
                      <w:spacing w:val="-1"/>
                      <w:szCs w:val="21"/>
                      <w:highlight w:val="none"/>
                    </w:rPr>
                    <w:t>类标准</w:t>
                  </w:r>
                  <w:r>
                    <w:rPr>
                      <w:rFonts w:hint="eastAsia"/>
                      <w:spacing w:val="-1"/>
                      <w:szCs w:val="21"/>
                      <w:highlight w:val="none"/>
                    </w:rPr>
                    <w:t>，西厂界满足《</w:t>
                  </w:r>
                  <w:r>
                    <w:rPr>
                      <w:spacing w:val="-1"/>
                      <w:szCs w:val="21"/>
                      <w:highlight w:val="none"/>
                    </w:rPr>
                    <w:t>工业企业厂界环境噪声排放标准》(GB</w:t>
                  </w:r>
                  <w:r>
                    <w:rPr>
                      <w:rFonts w:hint="eastAsia"/>
                      <w:spacing w:val="-1"/>
                      <w:szCs w:val="21"/>
                      <w:highlight w:val="none"/>
                    </w:rPr>
                    <w:t>12348</w:t>
                  </w:r>
                  <w:r>
                    <w:rPr>
                      <w:spacing w:val="-1"/>
                      <w:szCs w:val="21"/>
                      <w:highlight w:val="none"/>
                    </w:rPr>
                    <w:t>-2008)</w:t>
                  </w:r>
                  <w:r>
                    <w:rPr>
                      <w:rFonts w:hint="eastAsia"/>
                      <w:spacing w:val="-1"/>
                      <w:szCs w:val="21"/>
                      <w:highlight w:val="none"/>
                    </w:rPr>
                    <w:t>4</w:t>
                  </w:r>
                  <w:r>
                    <w:rPr>
                      <w:spacing w:val="-1"/>
                      <w:szCs w:val="21"/>
                      <w:highlight w:val="none"/>
                    </w:rPr>
                    <w:t>类标准</w:t>
                  </w:r>
                </w:p>
              </w:tc>
              <w:tc>
                <w:tcPr>
                  <w:tcW w:w="656" w:type="dxa"/>
                  <w:noWrap w:val="0"/>
                  <w:vAlign w:val="center"/>
                </w:tcPr>
                <w:p>
                  <w:pPr>
                    <w:jc w:val="center"/>
                    <w:rPr>
                      <w:rFonts w:hint="eastAsia"/>
                      <w:szCs w:val="21"/>
                      <w:highlight w:val="none"/>
                    </w:rPr>
                  </w:pPr>
                  <w:r>
                    <w:rPr>
                      <w:rFonts w:hint="eastAsia"/>
                      <w:spacing w:val="-1"/>
                      <w:szCs w:val="21"/>
                      <w:highlight w:val="none"/>
                    </w:rPr>
                    <w:t>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43" w:type="dxa"/>
                  <w:tcBorders>
                    <w:left w:val="single" w:color="auto" w:sz="4" w:space="0"/>
                  </w:tcBorders>
                  <w:noWrap w:val="0"/>
                  <w:vAlign w:val="center"/>
                </w:tcPr>
                <w:p>
                  <w:pPr>
                    <w:ind w:left="-43"/>
                    <w:jc w:val="center"/>
                    <w:rPr>
                      <w:spacing w:val="-1"/>
                      <w:szCs w:val="21"/>
                      <w:highlight w:val="none"/>
                    </w:rPr>
                  </w:pPr>
                  <w:r>
                    <w:rPr>
                      <w:rFonts w:hint="eastAsia"/>
                      <w:spacing w:val="-1"/>
                      <w:szCs w:val="21"/>
                      <w:highlight w:val="none"/>
                    </w:rPr>
                    <w:t>防渗</w:t>
                  </w:r>
                </w:p>
              </w:tc>
              <w:tc>
                <w:tcPr>
                  <w:tcW w:w="7497" w:type="dxa"/>
                  <w:gridSpan w:val="5"/>
                  <w:noWrap w:val="0"/>
                  <w:vAlign w:val="center"/>
                </w:tcPr>
                <w:p>
                  <w:pPr>
                    <w:adjustRightInd w:val="0"/>
                    <w:snapToGrid w:val="0"/>
                    <w:jc w:val="both"/>
                    <w:rPr>
                      <w:rFonts w:hint="eastAsia" w:eastAsia="宋体"/>
                      <w:highlight w:val="none"/>
                      <w:lang w:eastAsia="zh-CN"/>
                    </w:rPr>
                  </w:pPr>
                  <w:r>
                    <w:rPr>
                      <w:rFonts w:hint="eastAsia"/>
                      <w:highlight w:val="none"/>
                    </w:rPr>
                    <w:t>医疗废物暂存间</w:t>
                  </w:r>
                  <w:r>
                    <w:rPr>
                      <w:rFonts w:hint="eastAsia"/>
                      <w:highlight w:val="none"/>
                      <w:lang w:eastAsia="zh-CN"/>
                    </w:rPr>
                    <w:t>：</w:t>
                  </w:r>
                  <w:r>
                    <w:rPr>
                      <w:highlight w:val="none"/>
                    </w:rPr>
                    <w:t>地面与裙脚要用坚固、防渗的材料建造，建筑材料必须与危险废物相容。危废贮存间地面铺防渗材料，使</w:t>
                  </w:r>
                  <w:r>
                    <w:rPr>
                      <w:rFonts w:hint="default" w:ascii="Times New Roman" w:hAnsi="Times New Roman" w:cs="Times New Roman"/>
                      <w:spacing w:val="-10"/>
                      <w:sz w:val="21"/>
                      <w:szCs w:val="21"/>
                      <w:highlight w:val="none"/>
                    </w:rPr>
                    <w:t>渗透系数</w:t>
                  </w:r>
                  <w:r>
                    <w:rPr>
                      <w:rFonts w:hint="default" w:ascii="Times New Roman" w:hAnsi="Times New Roman" w:cs="Times New Roman"/>
                      <w:sz w:val="21"/>
                      <w:szCs w:val="21"/>
                      <w:highlight w:val="none"/>
                    </w:rPr>
                    <w:t>≤1×10</w:t>
                  </w:r>
                  <w:r>
                    <w:rPr>
                      <w:rFonts w:hint="default" w:ascii="Times New Roman" w:hAnsi="Times New Roman" w:cs="Times New Roman"/>
                      <w:sz w:val="21"/>
                      <w:szCs w:val="21"/>
                      <w:highlight w:val="none"/>
                      <w:vertAlign w:val="superscript"/>
                    </w:rPr>
                    <w:t>-10</w:t>
                  </w:r>
                  <w:r>
                    <w:rPr>
                      <w:rFonts w:hint="default" w:ascii="Times New Roman" w:hAnsi="Times New Roman" w:cs="Times New Roman"/>
                      <w:sz w:val="21"/>
                      <w:szCs w:val="21"/>
                      <w:highlight w:val="none"/>
                    </w:rPr>
                    <w:t>cm/s</w:t>
                  </w:r>
                  <w:r>
                    <w:rPr>
                      <w:highlight w:val="none"/>
                    </w:rPr>
                    <w:t>。危废暂存设施应封闭，并设置相关标识</w:t>
                  </w:r>
                  <w:r>
                    <w:rPr>
                      <w:rFonts w:hint="eastAsia"/>
                      <w:highlight w:val="none"/>
                      <w:lang w:eastAsia="zh-CN"/>
                    </w:rPr>
                    <w:t>；</w:t>
                  </w:r>
                </w:p>
                <w:p>
                  <w:pPr>
                    <w:adjustRightInd w:val="0"/>
                    <w:snapToGrid w:val="0"/>
                    <w:jc w:val="both"/>
                    <w:rPr>
                      <w:rFonts w:hint="eastAsia" w:ascii="Times New Roman" w:hAnsi="Times New Roman" w:eastAsia="宋体" w:cs="Times New Roman"/>
                      <w:sz w:val="21"/>
                      <w:szCs w:val="21"/>
                      <w:highlight w:val="none"/>
                      <w:lang w:eastAsia="zh-CN"/>
                    </w:rPr>
                  </w:pPr>
                  <w:r>
                    <w:rPr>
                      <w:rFonts w:hint="eastAsia"/>
                      <w:highlight w:val="none"/>
                      <w:lang w:eastAsia="zh-CN"/>
                    </w:rPr>
                    <w:t>排水管道：</w:t>
                  </w:r>
                  <w:r>
                    <w:rPr>
                      <w:rFonts w:hint="default" w:ascii="Times New Roman" w:hAnsi="Times New Roman" w:cs="Times New Roman"/>
                      <w:spacing w:val="-10"/>
                      <w:sz w:val="21"/>
                      <w:szCs w:val="21"/>
                      <w:highlight w:val="none"/>
                    </w:rPr>
                    <w:t>外排水采用</w:t>
                  </w:r>
                  <w:r>
                    <w:rPr>
                      <w:rFonts w:hint="default" w:ascii="Times New Roman" w:hAnsi="Times New Roman" w:cs="Times New Roman"/>
                      <w:spacing w:val="-10"/>
                      <w:sz w:val="21"/>
                      <w:szCs w:val="21"/>
                      <w:highlight w:val="none"/>
                      <w:lang w:val="en-US" w:eastAsia="zh-CN"/>
                    </w:rPr>
                    <w:t>防渗沟渠</w:t>
                  </w:r>
                  <w:r>
                    <w:rPr>
                      <w:rFonts w:hint="default" w:ascii="Times New Roman" w:hAnsi="Times New Roman" w:cs="Times New Roman"/>
                      <w:spacing w:val="-10"/>
                      <w:sz w:val="21"/>
                      <w:szCs w:val="21"/>
                      <w:highlight w:val="none"/>
                    </w:rPr>
                    <w:t>排水，渗透系数</w:t>
                  </w:r>
                  <w:r>
                    <w:rPr>
                      <w:rFonts w:hint="default" w:ascii="Times New Roman" w:hAnsi="Times New Roman" w:cs="Times New Roman"/>
                      <w:sz w:val="21"/>
                      <w:szCs w:val="21"/>
                      <w:highlight w:val="none"/>
                    </w:rPr>
                    <w:t>≤1×10</w:t>
                  </w:r>
                  <w:r>
                    <w:rPr>
                      <w:rFonts w:hint="default" w:ascii="Times New Roman" w:hAnsi="Times New Roman" w:cs="Times New Roman"/>
                      <w:sz w:val="21"/>
                      <w:szCs w:val="21"/>
                      <w:highlight w:val="none"/>
                      <w:vertAlign w:val="superscript"/>
                    </w:rPr>
                    <w:t>-10</w:t>
                  </w:r>
                  <w:r>
                    <w:rPr>
                      <w:rFonts w:hint="default" w:ascii="Times New Roman" w:hAnsi="Times New Roman" w:cs="Times New Roman"/>
                      <w:sz w:val="21"/>
                      <w:szCs w:val="21"/>
                      <w:highlight w:val="none"/>
                    </w:rPr>
                    <w:t>cm/s</w:t>
                  </w:r>
                  <w:r>
                    <w:rPr>
                      <w:rFonts w:hint="eastAsia" w:cs="Times New Roman"/>
                      <w:sz w:val="21"/>
                      <w:szCs w:val="21"/>
                      <w:highlight w:val="none"/>
                      <w:lang w:eastAsia="zh-CN"/>
                    </w:rPr>
                    <w:t>；</w:t>
                  </w:r>
                </w:p>
                <w:p>
                  <w:pPr>
                    <w:adjustRightInd w:val="0"/>
                    <w:snapToGrid w:val="0"/>
                    <w:jc w:val="both"/>
                    <w:rPr>
                      <w:rFonts w:hint="eastAsia"/>
                      <w:highlight w:val="none"/>
                      <w:lang w:eastAsia="zh-CN"/>
                    </w:rPr>
                  </w:pPr>
                  <w:r>
                    <w:rPr>
                      <w:rFonts w:hint="eastAsia"/>
                      <w:highlight w:val="none"/>
                      <w:lang w:eastAsia="zh-CN"/>
                    </w:rPr>
                    <w:t>化粪池：</w:t>
                  </w:r>
                  <w:r>
                    <w:rPr>
                      <w:highlight w:val="none"/>
                    </w:rPr>
                    <w:t>用钢筋混凝土构筑地下空间，设置其他人工材料的防渗层，</w:t>
                  </w:r>
                  <w:r>
                    <w:rPr>
                      <w:rFonts w:hint="default" w:ascii="Times New Roman" w:hAnsi="Times New Roman" w:cs="Times New Roman"/>
                      <w:spacing w:val="-10"/>
                      <w:sz w:val="21"/>
                      <w:szCs w:val="21"/>
                      <w:highlight w:val="none"/>
                    </w:rPr>
                    <w:t>渗透系数</w:t>
                  </w:r>
                  <w:r>
                    <w:rPr>
                      <w:rFonts w:hint="default" w:ascii="Times New Roman" w:hAnsi="Times New Roman" w:cs="Times New Roman"/>
                      <w:sz w:val="21"/>
                      <w:szCs w:val="21"/>
                      <w:highlight w:val="none"/>
                    </w:rPr>
                    <w:t>≤</w:t>
                  </w:r>
                  <w:r>
                    <w:rPr>
                      <w:highlight w:val="none"/>
                    </w:rPr>
                    <w:t>10</w:t>
                  </w:r>
                  <w:r>
                    <w:rPr>
                      <w:highlight w:val="none"/>
                      <w:vertAlign w:val="superscript"/>
                    </w:rPr>
                    <w:t>-</w:t>
                  </w:r>
                  <w:r>
                    <w:rPr>
                      <w:rFonts w:hint="eastAsia"/>
                      <w:highlight w:val="none"/>
                      <w:vertAlign w:val="superscript"/>
                      <w:lang w:val="en-US" w:eastAsia="zh-CN"/>
                    </w:rPr>
                    <w:t>7</w:t>
                  </w:r>
                  <w:r>
                    <w:rPr>
                      <w:highlight w:val="none"/>
                    </w:rPr>
                    <w:t>cm/s</w:t>
                  </w:r>
                  <w:r>
                    <w:rPr>
                      <w:rFonts w:hint="eastAsia"/>
                      <w:highlight w:val="none"/>
                      <w:lang w:eastAsia="zh-CN"/>
                    </w:rPr>
                    <w:t>。</w:t>
                  </w:r>
                </w:p>
              </w:tc>
              <w:tc>
                <w:tcPr>
                  <w:tcW w:w="656" w:type="dxa"/>
                  <w:noWrap w:val="0"/>
                  <w:vAlign w:val="center"/>
                </w:tcPr>
                <w:p>
                  <w:pPr>
                    <w:jc w:val="center"/>
                    <w:rPr>
                      <w:rFonts w:hint="eastAsia"/>
                      <w:spacing w:val="-1"/>
                      <w:szCs w:val="21"/>
                      <w:highlight w:val="none"/>
                    </w:rPr>
                  </w:pPr>
                  <w:r>
                    <w:rPr>
                      <w:rFonts w:hint="eastAsia"/>
                      <w:spacing w:val="-1"/>
                      <w:szCs w:val="21"/>
                      <w:highlight w:val="none"/>
                    </w:rPr>
                    <w:t>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240" w:type="dxa"/>
                  <w:gridSpan w:val="6"/>
                  <w:tcBorders>
                    <w:left w:val="single" w:color="auto" w:sz="4" w:space="0"/>
                  </w:tcBorders>
                  <w:noWrap w:val="0"/>
                  <w:vAlign w:val="center"/>
                </w:tcPr>
                <w:p>
                  <w:pPr>
                    <w:ind w:left="-105" w:leftChars="-50" w:right="-105" w:rightChars="-50"/>
                    <w:jc w:val="center"/>
                    <w:rPr>
                      <w:rFonts w:hint="eastAsia"/>
                      <w:spacing w:val="-1"/>
                      <w:szCs w:val="21"/>
                      <w:highlight w:val="none"/>
                    </w:rPr>
                  </w:pPr>
                  <w:r>
                    <w:rPr>
                      <w:spacing w:val="-1"/>
                      <w:szCs w:val="21"/>
                      <w:highlight w:val="none"/>
                    </w:rPr>
                    <w:t>合计(万元)</w:t>
                  </w:r>
                </w:p>
              </w:tc>
              <w:tc>
                <w:tcPr>
                  <w:tcW w:w="656" w:type="dxa"/>
                  <w:noWrap w:val="0"/>
                  <w:vAlign w:val="center"/>
                </w:tcPr>
                <w:p>
                  <w:pPr>
                    <w:jc w:val="center"/>
                    <w:rPr>
                      <w:spacing w:val="-1"/>
                      <w:szCs w:val="21"/>
                      <w:highlight w:val="none"/>
                    </w:rPr>
                  </w:pPr>
                  <w:r>
                    <w:rPr>
                      <w:rFonts w:hint="eastAsia"/>
                      <w:spacing w:val="-1"/>
                      <w:szCs w:val="21"/>
                      <w:highlight w:val="none"/>
                    </w:rPr>
                    <w:t>14</w:t>
                  </w:r>
                </w:p>
              </w:tc>
            </w:tr>
          </w:tbl>
          <w:p>
            <w:pPr>
              <w:adjustRightInd w:val="0"/>
              <w:snapToGrid w:val="0"/>
              <w:spacing w:line="360" w:lineRule="auto"/>
              <w:jc w:val="left"/>
              <w:rPr>
                <w:rFonts w:hint="eastAsia" w:hAnsi="宋体"/>
                <w:szCs w:val="21"/>
                <w:highlight w:val="none"/>
              </w:rPr>
            </w:pPr>
          </w:p>
        </w:tc>
      </w:tr>
    </w:tbl>
    <w:p>
      <w:pPr>
        <w:jc w:val="left"/>
        <w:rPr>
          <w:b/>
          <w:sz w:val="28"/>
          <w:szCs w:val="28"/>
          <w:highlight w:val="none"/>
        </w:rPr>
        <w:sectPr>
          <w:headerReference r:id="rId3" w:type="default"/>
          <w:footerReference r:id="rId4" w:type="default"/>
          <w:footerReference r:id="rId5" w:type="even"/>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tbl>
      <w:tblPr>
        <w:tblStyle w:val="36"/>
        <w:tblW w:w="8732" w:type="dxa"/>
        <w:tblInd w:w="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5" w:hRule="atLeast"/>
        </w:trPr>
        <w:tc>
          <w:tcPr>
            <w:tcW w:w="8732" w:type="dxa"/>
            <w:tcBorders>
              <w:top w:val="single" w:color="auto" w:sz="4" w:space="0"/>
              <w:bottom w:val="single" w:color="auto" w:sz="4" w:space="0"/>
            </w:tcBorders>
            <w:noWrap w:val="0"/>
            <w:vAlign w:val="top"/>
          </w:tcPr>
          <w:p>
            <w:pPr>
              <w:jc w:val="left"/>
              <w:rPr>
                <w:b/>
                <w:sz w:val="28"/>
                <w:szCs w:val="28"/>
                <w:highlight w:val="none"/>
              </w:rPr>
            </w:pPr>
            <w:r>
              <w:rPr>
                <w:b/>
                <w:sz w:val="28"/>
                <w:szCs w:val="28"/>
                <w:highlight w:val="none"/>
              </w:rPr>
              <w:t>预审意见：</w:t>
            </w:r>
          </w:p>
          <w:p>
            <w:pPr>
              <w:jc w:val="left"/>
              <w:rPr>
                <w:b/>
                <w:sz w:val="28"/>
                <w:szCs w:val="28"/>
                <w:highlight w:val="none"/>
              </w:rPr>
            </w:pPr>
            <w:r>
              <w:rPr>
                <w:b/>
                <w:sz w:val="28"/>
                <w:szCs w:val="28"/>
                <w:highlight w:val="none"/>
              </w:rPr>
              <w:t xml:space="preserve">  </w:t>
            </w: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r>
              <w:rPr>
                <w:b/>
                <w:sz w:val="28"/>
                <w:szCs w:val="28"/>
                <w:highlight w:val="none"/>
              </w:rPr>
              <w:t xml:space="preserve">                                </w:t>
            </w:r>
          </w:p>
          <w:p>
            <w:pPr>
              <w:jc w:val="left"/>
              <w:rPr>
                <w:b/>
                <w:sz w:val="28"/>
                <w:szCs w:val="28"/>
                <w:highlight w:val="none"/>
              </w:rPr>
            </w:pPr>
            <w:r>
              <w:rPr>
                <w:b/>
                <w:sz w:val="28"/>
                <w:szCs w:val="28"/>
                <w:highlight w:val="none"/>
              </w:rPr>
              <w:t xml:space="preserve">                                        </w:t>
            </w:r>
          </w:p>
          <w:p>
            <w:pPr>
              <w:jc w:val="left"/>
              <w:rPr>
                <w:b/>
                <w:sz w:val="28"/>
                <w:szCs w:val="28"/>
                <w:highlight w:val="none"/>
              </w:rPr>
            </w:pPr>
          </w:p>
          <w:p>
            <w:pPr>
              <w:jc w:val="left"/>
              <w:rPr>
                <w:b/>
                <w:sz w:val="28"/>
                <w:szCs w:val="28"/>
                <w:highlight w:val="none"/>
              </w:rPr>
            </w:pPr>
          </w:p>
          <w:p>
            <w:pPr>
              <w:jc w:val="left"/>
              <w:rPr>
                <w:b/>
                <w:sz w:val="28"/>
                <w:szCs w:val="28"/>
                <w:highlight w:val="none"/>
              </w:rPr>
            </w:pPr>
            <w:r>
              <w:rPr>
                <w:b/>
                <w:sz w:val="28"/>
                <w:szCs w:val="28"/>
                <w:highlight w:val="none"/>
              </w:rPr>
              <w:t xml:space="preserve">                                              </w:t>
            </w:r>
            <w:r>
              <w:rPr>
                <w:rFonts w:hint="eastAsia"/>
                <w:b/>
                <w:sz w:val="28"/>
                <w:szCs w:val="28"/>
                <w:highlight w:val="none"/>
                <w:lang w:val="en-US" w:eastAsia="zh-CN"/>
              </w:rPr>
              <w:t xml:space="preserve"> </w:t>
            </w:r>
            <w:r>
              <w:rPr>
                <w:b/>
                <w:sz w:val="28"/>
                <w:szCs w:val="28"/>
                <w:highlight w:val="none"/>
              </w:rPr>
              <w:t xml:space="preserve">    公  章</w:t>
            </w:r>
          </w:p>
          <w:p>
            <w:pPr>
              <w:jc w:val="left"/>
              <w:rPr>
                <w:b/>
                <w:sz w:val="28"/>
                <w:szCs w:val="28"/>
                <w:highlight w:val="none"/>
              </w:rPr>
            </w:pPr>
            <w:r>
              <w:rPr>
                <w:b/>
                <w:sz w:val="28"/>
                <w:szCs w:val="28"/>
                <w:highlight w:val="none"/>
              </w:rPr>
              <w:t>经办人：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8732" w:type="dxa"/>
            <w:tcBorders>
              <w:top w:val="single" w:color="auto" w:sz="4" w:space="0"/>
              <w:bottom w:val="single" w:color="auto" w:sz="4" w:space="0"/>
            </w:tcBorders>
            <w:noWrap w:val="0"/>
            <w:vAlign w:val="top"/>
          </w:tcPr>
          <w:p>
            <w:pPr>
              <w:jc w:val="left"/>
              <w:rPr>
                <w:b/>
                <w:sz w:val="28"/>
                <w:szCs w:val="28"/>
                <w:highlight w:val="none"/>
              </w:rPr>
            </w:pPr>
            <w:r>
              <w:rPr>
                <w:b/>
                <w:sz w:val="28"/>
                <w:szCs w:val="28"/>
                <w:highlight w:val="none"/>
              </w:rPr>
              <w:t>下一级环境保护行政主管部门审查意见：</w:t>
            </w: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ind w:right="1124"/>
              <w:rPr>
                <w:b/>
                <w:sz w:val="28"/>
                <w:szCs w:val="28"/>
                <w:highlight w:val="none"/>
              </w:rPr>
            </w:pPr>
            <w:r>
              <w:rPr>
                <w:b/>
                <w:sz w:val="28"/>
                <w:szCs w:val="28"/>
                <w:highlight w:val="none"/>
              </w:rPr>
              <w:t xml:space="preserve">                                        </w:t>
            </w:r>
          </w:p>
          <w:p>
            <w:pPr>
              <w:jc w:val="left"/>
              <w:rPr>
                <w:b/>
                <w:sz w:val="28"/>
                <w:szCs w:val="28"/>
                <w:highlight w:val="none"/>
              </w:rPr>
            </w:pPr>
            <w:r>
              <w:rPr>
                <w:b/>
                <w:sz w:val="28"/>
                <w:szCs w:val="28"/>
                <w:highlight w:val="none"/>
              </w:rPr>
              <w:t xml:space="preserve">                                              </w:t>
            </w:r>
          </w:p>
          <w:p>
            <w:pPr>
              <w:jc w:val="left"/>
              <w:rPr>
                <w:b/>
                <w:sz w:val="28"/>
                <w:szCs w:val="28"/>
                <w:highlight w:val="none"/>
              </w:rPr>
            </w:pPr>
            <w:r>
              <w:rPr>
                <w:b/>
                <w:sz w:val="28"/>
                <w:szCs w:val="28"/>
                <w:highlight w:val="none"/>
              </w:rPr>
              <w:t xml:space="preserve">                                         </w:t>
            </w:r>
            <w:r>
              <w:rPr>
                <w:rFonts w:hint="eastAsia"/>
                <w:b/>
                <w:sz w:val="28"/>
                <w:szCs w:val="28"/>
                <w:highlight w:val="none"/>
                <w:lang w:val="en-US" w:eastAsia="zh-CN"/>
              </w:rPr>
              <w:t xml:space="preserve">     </w:t>
            </w:r>
            <w:r>
              <w:rPr>
                <w:b/>
                <w:sz w:val="28"/>
                <w:szCs w:val="28"/>
                <w:highlight w:val="none"/>
              </w:rPr>
              <w:t xml:space="preserve"> </w:t>
            </w:r>
            <w:r>
              <w:rPr>
                <w:rFonts w:hint="eastAsia"/>
                <w:b/>
                <w:sz w:val="28"/>
                <w:szCs w:val="28"/>
                <w:highlight w:val="none"/>
                <w:lang w:val="en-US" w:eastAsia="zh-CN"/>
              </w:rPr>
              <w:t xml:space="preserve">  </w:t>
            </w:r>
            <w:r>
              <w:rPr>
                <w:b/>
                <w:sz w:val="28"/>
                <w:szCs w:val="28"/>
                <w:highlight w:val="none"/>
              </w:rPr>
              <w:t xml:space="preserve">  公  章</w:t>
            </w:r>
          </w:p>
          <w:p>
            <w:pPr>
              <w:jc w:val="left"/>
              <w:rPr>
                <w:b/>
                <w:sz w:val="28"/>
                <w:szCs w:val="28"/>
                <w:highlight w:val="none"/>
              </w:rPr>
            </w:pPr>
            <w:r>
              <w:rPr>
                <w:b/>
                <w:sz w:val="28"/>
                <w:szCs w:val="28"/>
                <w:highlight w:val="none"/>
              </w:rPr>
              <w:t xml:space="preserve">经办人：                               </w:t>
            </w:r>
            <w:r>
              <w:rPr>
                <w:rFonts w:hint="eastAsia"/>
                <w:b/>
                <w:sz w:val="28"/>
                <w:szCs w:val="28"/>
                <w:highlight w:val="none"/>
                <w:lang w:val="en-US" w:eastAsia="zh-CN"/>
              </w:rPr>
              <w:t xml:space="preserve">      </w:t>
            </w:r>
            <w:r>
              <w:rPr>
                <w:b/>
                <w:sz w:val="28"/>
                <w:szCs w:val="28"/>
                <w:highlight w:val="none"/>
              </w:rPr>
              <w:t xml:space="preserve">   年   月   日</w:t>
            </w:r>
          </w:p>
          <w:p>
            <w:pPr>
              <w:jc w:val="left"/>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7" w:hRule="atLeast"/>
        </w:trPr>
        <w:tc>
          <w:tcPr>
            <w:tcW w:w="8732" w:type="dxa"/>
            <w:tcBorders>
              <w:top w:val="single" w:color="auto" w:sz="4" w:space="0"/>
              <w:bottom w:val="single" w:color="auto" w:sz="4" w:space="0"/>
            </w:tcBorders>
            <w:noWrap w:val="0"/>
            <w:vAlign w:val="top"/>
          </w:tcPr>
          <w:p>
            <w:pPr>
              <w:jc w:val="left"/>
              <w:rPr>
                <w:b/>
                <w:sz w:val="28"/>
                <w:szCs w:val="28"/>
                <w:highlight w:val="none"/>
              </w:rPr>
            </w:pPr>
            <w:r>
              <w:rPr>
                <w:b/>
                <w:sz w:val="28"/>
                <w:szCs w:val="28"/>
                <w:highlight w:val="none"/>
              </w:rPr>
              <w:t>审批意见：</w:t>
            </w:r>
          </w:p>
          <w:p>
            <w:pPr>
              <w:ind w:firstLine="420"/>
              <w:jc w:val="left"/>
              <w:rPr>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p>
          <w:p>
            <w:pPr>
              <w:jc w:val="left"/>
              <w:rPr>
                <w:b/>
                <w:sz w:val="28"/>
                <w:szCs w:val="28"/>
                <w:highlight w:val="none"/>
              </w:rPr>
            </w:pPr>
            <w:r>
              <w:rPr>
                <w:b/>
                <w:sz w:val="28"/>
                <w:szCs w:val="28"/>
                <w:highlight w:val="none"/>
              </w:rPr>
              <w:t xml:space="preserve">              </w:t>
            </w:r>
          </w:p>
          <w:p>
            <w:pPr>
              <w:jc w:val="left"/>
              <w:rPr>
                <w:b/>
                <w:sz w:val="28"/>
                <w:szCs w:val="28"/>
                <w:highlight w:val="none"/>
              </w:rPr>
            </w:pPr>
          </w:p>
          <w:p>
            <w:pPr>
              <w:ind w:right="1124"/>
              <w:jc w:val="right"/>
              <w:rPr>
                <w:b/>
                <w:sz w:val="28"/>
                <w:szCs w:val="28"/>
                <w:highlight w:val="none"/>
              </w:rPr>
            </w:pPr>
            <w:r>
              <w:rPr>
                <w:b/>
                <w:sz w:val="28"/>
                <w:szCs w:val="28"/>
                <w:highlight w:val="none"/>
              </w:rPr>
              <w:t xml:space="preserve">公  章   </w:t>
            </w:r>
          </w:p>
          <w:p>
            <w:pPr>
              <w:jc w:val="left"/>
              <w:rPr>
                <w:b/>
                <w:sz w:val="28"/>
                <w:szCs w:val="28"/>
                <w:highlight w:val="none"/>
              </w:rPr>
            </w:pPr>
            <w:r>
              <w:rPr>
                <w:b/>
                <w:sz w:val="28"/>
                <w:szCs w:val="28"/>
                <w:highlight w:val="none"/>
              </w:rPr>
              <w:t>经办人：                                       年   月   日</w:t>
            </w:r>
          </w:p>
          <w:p>
            <w:pPr>
              <w:spacing w:line="500" w:lineRule="exact"/>
              <w:jc w:val="left"/>
              <w:rPr>
                <w:sz w:val="30"/>
                <w:highlight w:val="none"/>
              </w:rPr>
            </w:pPr>
          </w:p>
        </w:tc>
      </w:tr>
    </w:tbl>
    <w:p>
      <w:pPr>
        <w:spacing w:line="480" w:lineRule="exact"/>
        <w:rPr>
          <w:rFonts w:hint="eastAsia"/>
          <w:highlight w:val="none"/>
        </w:rPr>
      </w:pPr>
    </w:p>
    <w:sectPr>
      <w:footerReference r:id="rId6"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MS Mincho">
    <w:altName w:val="Yu Gothic UI"/>
    <w:panose1 w:val="02020609040205080304"/>
    <w:charset w:val="80"/>
    <w:family w:val="modern"/>
    <w:pitch w:val="default"/>
    <w:sig w:usb0="00000000" w:usb1="00000000" w:usb2="00000012" w:usb3="00000000" w:csb0="4002009F" w:csb1="DFD70000"/>
  </w:font>
  <w:font w:name="方正仿宋_GBK">
    <w:altName w:val="宋体"/>
    <w:panose1 w:val="03000509000000000000"/>
    <w:charset w:val="86"/>
    <w:family w:val="script"/>
    <w:pitch w:val="default"/>
    <w:sig w:usb0="00000000" w:usb1="00000000" w:usb2="00000010" w:usb3="00000000" w:csb0="003C004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roman"/>
    <w:pitch w:val="default"/>
    <w:sig w:usb0="00000000" w:usb1="00000000" w:usb2="0000003F" w:usb3="00000000" w:csb0="603F01FF" w:csb1="FFFF0000"/>
  </w:font>
  <w:font w:name="方正楷体简体">
    <w:panose1 w:val="02010601030101010101"/>
    <w:charset w:val="86"/>
    <w:family w:val="auto"/>
    <w:pitch w:val="default"/>
    <w:sig w:usb0="00000001" w:usb1="080E0000" w:usb2="00000000" w:usb3="00000000" w:csb0="00040000" w:csb1="00000000"/>
  </w:font>
  <w:font w:name="Wingdings 2">
    <w:panose1 w:val="05020102010507070707"/>
    <w:charset w:val="02"/>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framePr w:wrap="around" w:vAnchor="text" w:hAnchor="margin" w:xAlign="center" w:y="1"/>
      <w:rPr>
        <w:rStyle w:val="40"/>
      </w:rPr>
    </w:pPr>
    <w:r>
      <w:fldChar w:fldCharType="begin"/>
    </w:r>
    <w:r>
      <w:rPr>
        <w:rStyle w:val="40"/>
      </w:rPr>
      <w:instrText xml:space="preserve">PAGE  </w:instrText>
    </w:r>
    <w:r>
      <w:fldChar w:fldCharType="separate"/>
    </w:r>
    <w:r>
      <w:rPr>
        <w:rStyle w:val="40"/>
      </w:rPr>
      <w:t>11</w:t>
    </w:r>
    <w:r>
      <w:fldChar w:fldCharType="end"/>
    </w:r>
  </w:p>
  <w:p>
    <w:pPr>
      <w:pStyle w:val="2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31445"/>
              <wp:effectExtent l="0" t="0" r="0" b="0"/>
              <wp:wrapNone/>
              <wp:docPr id="6" name="文本框1"/>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a:noFill/>
                      </a:ln>
                    </wps:spPr>
                    <wps:txbx>
                      <w:txbxContent>
                        <w:p>
                          <w:pPr>
                            <w:snapToGrid w:val="0"/>
                            <w:rPr>
                              <w:rFonts w:hint="eastAsia"/>
                              <w:sz w:val="18"/>
                            </w:rPr>
                          </w:pPr>
                        </w:p>
                      </w:txbxContent>
                    </wps:txbx>
                    <wps:bodyPr wrap="none" lIns="0" tIns="0" rIns="0" bIns="0" upright="0">
                      <a:spAutoFit/>
                    </wps:bodyPr>
                  </wps:wsp>
                </a:graphicData>
              </a:graphic>
            </wp:anchor>
          </w:drawing>
        </mc:Choice>
        <mc:Fallback>
          <w:pict>
            <v:shape id="文本框1" o:spid="_x0000_s1026" o:spt="202" type="#_x0000_t202" style="position:absolute;left:0pt;margin-top:0pt;height:10.35pt;width:9.05pt;mso-position-horizontal:center;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Q+V+SdAAAAADAQAADwAAAAAAAAABACAAAAAiAAAAZHJzL2Rvd25y&#10;ZXYueG1sUEsBAhQAFAAAAAgAh07iQJhRIffNAQAAlgMAAA4AAAAAAAAAAQAgAAAAHwEAAGRycy9l&#10;Mm9Eb2MueG1sUEsFBgAAAAAGAAYAWQEAAF4FAAAAAA==&#10;">
              <v:fill on="f" focussize="0,0"/>
              <v:stroke on="f"/>
              <v:imagedata o:title=""/>
              <o:lock v:ext="edit" aspectratio="f"/>
              <v:textbox inset="0mm,0mm,0mm,0mm" style="mso-fit-shape-to-text:t;">
                <w:txbxContent>
                  <w:p>
                    <w:pPr>
                      <w:snapToGrid w:val="0"/>
                      <w:rPr>
                        <w:rFonts w:hint="eastAsia"/>
                        <w:sz w:val="1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framePr w:wrap="around" w:vAnchor="text" w:hAnchor="margin" w:xAlign="center" w:y="1"/>
      <w:rPr>
        <w:rStyle w:val="40"/>
      </w:rPr>
    </w:pPr>
    <w:r>
      <w:fldChar w:fldCharType="begin"/>
    </w:r>
    <w:r>
      <w:rPr>
        <w:rStyle w:val="40"/>
      </w:rPr>
      <w:instrText xml:space="preserve">PAGE  </w:instrText>
    </w:r>
    <w:r>
      <w:fldChar w:fldCharType="end"/>
    </w:r>
  </w:p>
  <w:p>
    <w:pPr>
      <w:pStyle w:val="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131445"/>
              <wp:effectExtent l="0" t="0" r="0" b="0"/>
              <wp:wrapNone/>
              <wp:docPr id="7" name="文本框1"/>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a:noFill/>
                      </a:ln>
                    </wps:spPr>
                    <wps:txbx>
                      <w:txbxContent>
                        <w:p>
                          <w:pPr>
                            <w:snapToGrid w:val="0"/>
                            <w:rPr>
                              <w:rFonts w:hint="eastAsia"/>
                              <w:sz w:val="18"/>
                            </w:rPr>
                          </w:pPr>
                        </w:p>
                      </w:txbxContent>
                    </wps:txbx>
                    <wps:bodyPr wrap="none" lIns="0" tIns="0" rIns="0" bIns="0" upright="0">
                      <a:spAutoFit/>
                    </wps:bodyPr>
                  </wps:wsp>
                </a:graphicData>
              </a:graphic>
            </wp:anchor>
          </w:drawing>
        </mc:Choice>
        <mc:Fallback>
          <w:pict>
            <v:shape id="文本框1" o:spid="_x0000_s1026" o:spt="202" type="#_x0000_t202" style="position:absolute;left:0pt;margin-top:0pt;height:10.35pt;width:9.05pt;mso-position-horizontal:center;mso-position-horizontal-relative:margin;mso-wrap-style:none;z-index:251660288;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Q+V+SdAAAAADAQAADwAAAAAAAAABACAAAAAiAAAAZHJzL2Rvd25y&#10;ZXYueG1sUEsBAhQAFAAAAAgAh07iQMDykajNAQAAlgMAAA4AAAAAAAAAAQAgAAAAHwEAAGRycy9l&#10;Mm9Eb2MueG1sUEsFBgAAAAAGAAYAWQEAAF4FAAAAAA==&#10;">
              <v:fill on="f" focussize="0,0"/>
              <v:stroke on="f"/>
              <v:imagedata o:title=""/>
              <o:lock v:ext="edit" aspectratio="f"/>
              <v:textbox inset="0mm,0mm,0mm,0mm" style="mso-fit-shape-to-text:t;">
                <w:txbxContent>
                  <w:p>
                    <w:pPr>
                      <w:snapToGrid w:val="0"/>
                      <w:rPr>
                        <w:rFonts w:hint="eastAsia"/>
                        <w:sz w:val="18"/>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ADE7D1"/>
    <w:multiLevelType w:val="singleLevel"/>
    <w:tmpl w:val="BEADE7D1"/>
    <w:lvl w:ilvl="0" w:tentative="0">
      <w:start w:val="5"/>
      <w:numFmt w:val="decimal"/>
      <w:suff w:val="nothing"/>
      <w:lvlText w:val="%1、"/>
      <w:lvlJc w:val="left"/>
    </w:lvl>
  </w:abstractNum>
  <w:abstractNum w:abstractNumId="1">
    <w:nsid w:val="59B93A42"/>
    <w:multiLevelType w:val="singleLevel"/>
    <w:tmpl w:val="59B93A42"/>
    <w:lvl w:ilvl="0" w:tentative="0">
      <w:start w:val="1"/>
      <w:numFmt w:val="decimalEnclosedCircleChinese"/>
      <w:suff w:val="nothing"/>
      <w:lvlText w:val="%1　"/>
      <w:lvlJc w:val="left"/>
      <w:pPr>
        <w:ind w:left="0" w:firstLine="400"/>
      </w:pPr>
      <w:rPr>
        <w:rFonts w:hint="eastAsia"/>
      </w:rPr>
    </w:lvl>
  </w:abstractNum>
  <w:abstractNum w:abstractNumId="2">
    <w:nsid w:val="5A377F07"/>
    <w:multiLevelType w:val="singleLevel"/>
    <w:tmpl w:val="5A377F07"/>
    <w:lvl w:ilvl="0" w:tentative="0">
      <w:start w:val="1"/>
      <w:numFmt w:val="decimal"/>
      <w:suff w:val="nothing"/>
      <w:lvlText w:val="%1、"/>
      <w:lvlJc w:val="left"/>
      <w:pPr>
        <w:ind w:left="0" w:firstLine="0"/>
      </w:pPr>
    </w:lvl>
  </w:abstractNum>
  <w:num w:numId="1">
    <w:abstractNumId w:val="2"/>
    <w:lvlOverride w:ilvl="0">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2"/>
  <w:drawingGridVerticalSpacing w:val="5"/>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MDZlMDRlMzNlOWVjNjVjZDliZWJhY2I1YTY0OWQifQ=="/>
  </w:docVars>
  <w:rsids>
    <w:rsidRoot w:val="00172A27"/>
    <w:rsid w:val="00000065"/>
    <w:rsid w:val="0000052C"/>
    <w:rsid w:val="0000084B"/>
    <w:rsid w:val="00000A11"/>
    <w:rsid w:val="00000ACA"/>
    <w:rsid w:val="000011FB"/>
    <w:rsid w:val="00001286"/>
    <w:rsid w:val="00001513"/>
    <w:rsid w:val="00002009"/>
    <w:rsid w:val="0000206B"/>
    <w:rsid w:val="00002089"/>
    <w:rsid w:val="000020A9"/>
    <w:rsid w:val="000026D1"/>
    <w:rsid w:val="0000384F"/>
    <w:rsid w:val="000038A5"/>
    <w:rsid w:val="000039DD"/>
    <w:rsid w:val="00003D07"/>
    <w:rsid w:val="00003ED7"/>
    <w:rsid w:val="000046A7"/>
    <w:rsid w:val="00005054"/>
    <w:rsid w:val="00005588"/>
    <w:rsid w:val="00005772"/>
    <w:rsid w:val="00005C35"/>
    <w:rsid w:val="00005E50"/>
    <w:rsid w:val="00006362"/>
    <w:rsid w:val="00006658"/>
    <w:rsid w:val="00007607"/>
    <w:rsid w:val="00007825"/>
    <w:rsid w:val="00010340"/>
    <w:rsid w:val="000103C3"/>
    <w:rsid w:val="000110DE"/>
    <w:rsid w:val="00011946"/>
    <w:rsid w:val="00011B0E"/>
    <w:rsid w:val="00011CD2"/>
    <w:rsid w:val="0001222F"/>
    <w:rsid w:val="00012A25"/>
    <w:rsid w:val="000132CE"/>
    <w:rsid w:val="000132F5"/>
    <w:rsid w:val="0001351C"/>
    <w:rsid w:val="0001365F"/>
    <w:rsid w:val="00013829"/>
    <w:rsid w:val="00013A3F"/>
    <w:rsid w:val="00013E85"/>
    <w:rsid w:val="00013F4A"/>
    <w:rsid w:val="00014462"/>
    <w:rsid w:val="0001478B"/>
    <w:rsid w:val="00014ECC"/>
    <w:rsid w:val="0001545D"/>
    <w:rsid w:val="00015629"/>
    <w:rsid w:val="00015633"/>
    <w:rsid w:val="000156B6"/>
    <w:rsid w:val="0001578B"/>
    <w:rsid w:val="00015CDA"/>
    <w:rsid w:val="0001604F"/>
    <w:rsid w:val="00016295"/>
    <w:rsid w:val="00016668"/>
    <w:rsid w:val="000166CD"/>
    <w:rsid w:val="00016AFC"/>
    <w:rsid w:val="00016DAC"/>
    <w:rsid w:val="00016E43"/>
    <w:rsid w:val="0001711B"/>
    <w:rsid w:val="00017142"/>
    <w:rsid w:val="00017758"/>
    <w:rsid w:val="0002027C"/>
    <w:rsid w:val="00020348"/>
    <w:rsid w:val="00020653"/>
    <w:rsid w:val="0002086E"/>
    <w:rsid w:val="0002094C"/>
    <w:rsid w:val="00020BA8"/>
    <w:rsid w:val="000217FF"/>
    <w:rsid w:val="00021836"/>
    <w:rsid w:val="00021930"/>
    <w:rsid w:val="00021ACE"/>
    <w:rsid w:val="00022262"/>
    <w:rsid w:val="000226A2"/>
    <w:rsid w:val="0002277A"/>
    <w:rsid w:val="00022827"/>
    <w:rsid w:val="0002282F"/>
    <w:rsid w:val="00022B60"/>
    <w:rsid w:val="000230A9"/>
    <w:rsid w:val="000230B0"/>
    <w:rsid w:val="000230C8"/>
    <w:rsid w:val="0002333E"/>
    <w:rsid w:val="00024391"/>
    <w:rsid w:val="0002445B"/>
    <w:rsid w:val="00024536"/>
    <w:rsid w:val="00024C0A"/>
    <w:rsid w:val="00025037"/>
    <w:rsid w:val="00025506"/>
    <w:rsid w:val="0002553C"/>
    <w:rsid w:val="00025AED"/>
    <w:rsid w:val="00025DAF"/>
    <w:rsid w:val="00025F76"/>
    <w:rsid w:val="00026022"/>
    <w:rsid w:val="0002640E"/>
    <w:rsid w:val="000268DE"/>
    <w:rsid w:val="000269AA"/>
    <w:rsid w:val="000269FD"/>
    <w:rsid w:val="00026AF9"/>
    <w:rsid w:val="00026C47"/>
    <w:rsid w:val="0002732E"/>
    <w:rsid w:val="00027486"/>
    <w:rsid w:val="00027661"/>
    <w:rsid w:val="00027996"/>
    <w:rsid w:val="00027C52"/>
    <w:rsid w:val="00030039"/>
    <w:rsid w:val="00030128"/>
    <w:rsid w:val="00030684"/>
    <w:rsid w:val="00030CCA"/>
    <w:rsid w:val="00030D0E"/>
    <w:rsid w:val="00030EFD"/>
    <w:rsid w:val="00031099"/>
    <w:rsid w:val="00031797"/>
    <w:rsid w:val="000317E0"/>
    <w:rsid w:val="00031A77"/>
    <w:rsid w:val="00031AC9"/>
    <w:rsid w:val="00031D70"/>
    <w:rsid w:val="00031EA7"/>
    <w:rsid w:val="000320F1"/>
    <w:rsid w:val="00032496"/>
    <w:rsid w:val="000326C9"/>
    <w:rsid w:val="00032943"/>
    <w:rsid w:val="00032A36"/>
    <w:rsid w:val="00032C6E"/>
    <w:rsid w:val="00032E06"/>
    <w:rsid w:val="0003319A"/>
    <w:rsid w:val="000337F7"/>
    <w:rsid w:val="00033917"/>
    <w:rsid w:val="00033CD1"/>
    <w:rsid w:val="00034560"/>
    <w:rsid w:val="000349C5"/>
    <w:rsid w:val="000349D1"/>
    <w:rsid w:val="000352CD"/>
    <w:rsid w:val="00035960"/>
    <w:rsid w:val="00035AB4"/>
    <w:rsid w:val="00036012"/>
    <w:rsid w:val="000360DD"/>
    <w:rsid w:val="00036127"/>
    <w:rsid w:val="00036255"/>
    <w:rsid w:val="0003625D"/>
    <w:rsid w:val="00036325"/>
    <w:rsid w:val="000368F4"/>
    <w:rsid w:val="00037141"/>
    <w:rsid w:val="0003728E"/>
    <w:rsid w:val="0003748C"/>
    <w:rsid w:val="00037766"/>
    <w:rsid w:val="00037A90"/>
    <w:rsid w:val="00037ABE"/>
    <w:rsid w:val="00037B73"/>
    <w:rsid w:val="00037B91"/>
    <w:rsid w:val="00037C5E"/>
    <w:rsid w:val="00037E7D"/>
    <w:rsid w:val="00040095"/>
    <w:rsid w:val="000401B8"/>
    <w:rsid w:val="00040295"/>
    <w:rsid w:val="00040EB8"/>
    <w:rsid w:val="00041019"/>
    <w:rsid w:val="000418FC"/>
    <w:rsid w:val="000419B1"/>
    <w:rsid w:val="000423A3"/>
    <w:rsid w:val="0004294E"/>
    <w:rsid w:val="00042B41"/>
    <w:rsid w:val="00043AE2"/>
    <w:rsid w:val="00043D96"/>
    <w:rsid w:val="00043EDF"/>
    <w:rsid w:val="00044015"/>
    <w:rsid w:val="0004415D"/>
    <w:rsid w:val="00044D36"/>
    <w:rsid w:val="00044F71"/>
    <w:rsid w:val="000450A3"/>
    <w:rsid w:val="00045D55"/>
    <w:rsid w:val="000468FE"/>
    <w:rsid w:val="000469DD"/>
    <w:rsid w:val="0004734D"/>
    <w:rsid w:val="0004743A"/>
    <w:rsid w:val="000479EE"/>
    <w:rsid w:val="00047AEB"/>
    <w:rsid w:val="00047E62"/>
    <w:rsid w:val="00047FDA"/>
    <w:rsid w:val="000501FC"/>
    <w:rsid w:val="0005047F"/>
    <w:rsid w:val="000512CE"/>
    <w:rsid w:val="000515F7"/>
    <w:rsid w:val="0005187F"/>
    <w:rsid w:val="00051AA8"/>
    <w:rsid w:val="00051C60"/>
    <w:rsid w:val="00052275"/>
    <w:rsid w:val="0005271F"/>
    <w:rsid w:val="00052AE8"/>
    <w:rsid w:val="00052DD3"/>
    <w:rsid w:val="0005313A"/>
    <w:rsid w:val="000538F0"/>
    <w:rsid w:val="00053B21"/>
    <w:rsid w:val="00053B9D"/>
    <w:rsid w:val="00053C57"/>
    <w:rsid w:val="00054225"/>
    <w:rsid w:val="000543BF"/>
    <w:rsid w:val="000548D6"/>
    <w:rsid w:val="00054BD4"/>
    <w:rsid w:val="00054CC9"/>
    <w:rsid w:val="0005524A"/>
    <w:rsid w:val="00055593"/>
    <w:rsid w:val="000556CE"/>
    <w:rsid w:val="00055A50"/>
    <w:rsid w:val="000562B9"/>
    <w:rsid w:val="000563AF"/>
    <w:rsid w:val="00056630"/>
    <w:rsid w:val="000566A4"/>
    <w:rsid w:val="000567EA"/>
    <w:rsid w:val="0005683D"/>
    <w:rsid w:val="000568B7"/>
    <w:rsid w:val="00056C58"/>
    <w:rsid w:val="00056D58"/>
    <w:rsid w:val="00057108"/>
    <w:rsid w:val="00057243"/>
    <w:rsid w:val="00057327"/>
    <w:rsid w:val="00057558"/>
    <w:rsid w:val="000576ED"/>
    <w:rsid w:val="00057755"/>
    <w:rsid w:val="0006013D"/>
    <w:rsid w:val="00060A20"/>
    <w:rsid w:val="00060D4A"/>
    <w:rsid w:val="00060F5E"/>
    <w:rsid w:val="000614A7"/>
    <w:rsid w:val="0006232A"/>
    <w:rsid w:val="0006277C"/>
    <w:rsid w:val="000627B4"/>
    <w:rsid w:val="00062E9F"/>
    <w:rsid w:val="00063052"/>
    <w:rsid w:val="0006340F"/>
    <w:rsid w:val="0006372D"/>
    <w:rsid w:val="00063973"/>
    <w:rsid w:val="0006398B"/>
    <w:rsid w:val="00063CCA"/>
    <w:rsid w:val="00063DD3"/>
    <w:rsid w:val="00064C07"/>
    <w:rsid w:val="00064DAB"/>
    <w:rsid w:val="00064F7D"/>
    <w:rsid w:val="00064FFC"/>
    <w:rsid w:val="00065797"/>
    <w:rsid w:val="00065C5E"/>
    <w:rsid w:val="00066148"/>
    <w:rsid w:val="0006620D"/>
    <w:rsid w:val="00066543"/>
    <w:rsid w:val="000665E6"/>
    <w:rsid w:val="000666DD"/>
    <w:rsid w:val="00066785"/>
    <w:rsid w:val="000669B9"/>
    <w:rsid w:val="0006725B"/>
    <w:rsid w:val="00067563"/>
    <w:rsid w:val="0006795B"/>
    <w:rsid w:val="00067A0C"/>
    <w:rsid w:val="00067CCE"/>
    <w:rsid w:val="00067E15"/>
    <w:rsid w:val="0007056C"/>
    <w:rsid w:val="00070D0A"/>
    <w:rsid w:val="000714F2"/>
    <w:rsid w:val="000715A7"/>
    <w:rsid w:val="00071718"/>
    <w:rsid w:val="00071975"/>
    <w:rsid w:val="0007239D"/>
    <w:rsid w:val="00072A2B"/>
    <w:rsid w:val="00072A93"/>
    <w:rsid w:val="00072C59"/>
    <w:rsid w:val="00073396"/>
    <w:rsid w:val="00073554"/>
    <w:rsid w:val="00073559"/>
    <w:rsid w:val="00073571"/>
    <w:rsid w:val="00073896"/>
    <w:rsid w:val="00073B19"/>
    <w:rsid w:val="00073B77"/>
    <w:rsid w:val="00073B9E"/>
    <w:rsid w:val="00073C82"/>
    <w:rsid w:val="00073EE8"/>
    <w:rsid w:val="0007417A"/>
    <w:rsid w:val="00074298"/>
    <w:rsid w:val="00075022"/>
    <w:rsid w:val="000759E3"/>
    <w:rsid w:val="00075AD3"/>
    <w:rsid w:val="00075B5E"/>
    <w:rsid w:val="00076127"/>
    <w:rsid w:val="000761DD"/>
    <w:rsid w:val="000762EB"/>
    <w:rsid w:val="00076309"/>
    <w:rsid w:val="000763C3"/>
    <w:rsid w:val="0007649D"/>
    <w:rsid w:val="00076895"/>
    <w:rsid w:val="00076C82"/>
    <w:rsid w:val="00076D19"/>
    <w:rsid w:val="00076F32"/>
    <w:rsid w:val="0007758F"/>
    <w:rsid w:val="000775BD"/>
    <w:rsid w:val="0007784B"/>
    <w:rsid w:val="00077D6B"/>
    <w:rsid w:val="00077FC7"/>
    <w:rsid w:val="00080042"/>
    <w:rsid w:val="000806F9"/>
    <w:rsid w:val="00080B0E"/>
    <w:rsid w:val="00080BD0"/>
    <w:rsid w:val="00080DB9"/>
    <w:rsid w:val="00080FCF"/>
    <w:rsid w:val="00081043"/>
    <w:rsid w:val="000815CA"/>
    <w:rsid w:val="00081609"/>
    <w:rsid w:val="0008178A"/>
    <w:rsid w:val="000818A4"/>
    <w:rsid w:val="00081BEC"/>
    <w:rsid w:val="00081F1A"/>
    <w:rsid w:val="00082061"/>
    <w:rsid w:val="0008212A"/>
    <w:rsid w:val="0008247F"/>
    <w:rsid w:val="00082523"/>
    <w:rsid w:val="0008262D"/>
    <w:rsid w:val="000827EF"/>
    <w:rsid w:val="00083841"/>
    <w:rsid w:val="00084068"/>
    <w:rsid w:val="000846F9"/>
    <w:rsid w:val="0008489F"/>
    <w:rsid w:val="00084C5E"/>
    <w:rsid w:val="00084CF6"/>
    <w:rsid w:val="0008503F"/>
    <w:rsid w:val="0008513E"/>
    <w:rsid w:val="000854B4"/>
    <w:rsid w:val="00085577"/>
    <w:rsid w:val="00085C44"/>
    <w:rsid w:val="00085E24"/>
    <w:rsid w:val="000866F6"/>
    <w:rsid w:val="00086A51"/>
    <w:rsid w:val="00086B29"/>
    <w:rsid w:val="00087207"/>
    <w:rsid w:val="000872CB"/>
    <w:rsid w:val="00087475"/>
    <w:rsid w:val="0008765E"/>
    <w:rsid w:val="00087695"/>
    <w:rsid w:val="00087836"/>
    <w:rsid w:val="00087D34"/>
    <w:rsid w:val="00087DC6"/>
    <w:rsid w:val="00090278"/>
    <w:rsid w:val="0009032A"/>
    <w:rsid w:val="000903BC"/>
    <w:rsid w:val="000904C4"/>
    <w:rsid w:val="000908EB"/>
    <w:rsid w:val="00090F7F"/>
    <w:rsid w:val="000911FF"/>
    <w:rsid w:val="000913FD"/>
    <w:rsid w:val="00091420"/>
    <w:rsid w:val="000915CD"/>
    <w:rsid w:val="00092608"/>
    <w:rsid w:val="000930DD"/>
    <w:rsid w:val="000931A6"/>
    <w:rsid w:val="0009321C"/>
    <w:rsid w:val="00094D14"/>
    <w:rsid w:val="00094D4F"/>
    <w:rsid w:val="00094EF5"/>
    <w:rsid w:val="0009515B"/>
    <w:rsid w:val="00095A73"/>
    <w:rsid w:val="00095C88"/>
    <w:rsid w:val="000961B9"/>
    <w:rsid w:val="00096227"/>
    <w:rsid w:val="00096C17"/>
    <w:rsid w:val="000970CC"/>
    <w:rsid w:val="000973B0"/>
    <w:rsid w:val="00097524"/>
    <w:rsid w:val="000975E6"/>
    <w:rsid w:val="00097FAD"/>
    <w:rsid w:val="000A017B"/>
    <w:rsid w:val="000A02D2"/>
    <w:rsid w:val="000A0503"/>
    <w:rsid w:val="000A0A10"/>
    <w:rsid w:val="000A0AE5"/>
    <w:rsid w:val="000A0D33"/>
    <w:rsid w:val="000A0D37"/>
    <w:rsid w:val="000A0D70"/>
    <w:rsid w:val="000A0DF1"/>
    <w:rsid w:val="000A1538"/>
    <w:rsid w:val="000A1D3B"/>
    <w:rsid w:val="000A1D8A"/>
    <w:rsid w:val="000A1F6B"/>
    <w:rsid w:val="000A2F10"/>
    <w:rsid w:val="000A3673"/>
    <w:rsid w:val="000A3739"/>
    <w:rsid w:val="000A391F"/>
    <w:rsid w:val="000A3BA4"/>
    <w:rsid w:val="000A3C12"/>
    <w:rsid w:val="000A3F78"/>
    <w:rsid w:val="000A4159"/>
    <w:rsid w:val="000A425F"/>
    <w:rsid w:val="000A474B"/>
    <w:rsid w:val="000A47CA"/>
    <w:rsid w:val="000A48B3"/>
    <w:rsid w:val="000A4D4F"/>
    <w:rsid w:val="000A4F59"/>
    <w:rsid w:val="000A4F77"/>
    <w:rsid w:val="000A5323"/>
    <w:rsid w:val="000A549C"/>
    <w:rsid w:val="000A563F"/>
    <w:rsid w:val="000A5BBE"/>
    <w:rsid w:val="000A5C26"/>
    <w:rsid w:val="000A6097"/>
    <w:rsid w:val="000A6352"/>
    <w:rsid w:val="000A656F"/>
    <w:rsid w:val="000A696B"/>
    <w:rsid w:val="000A696E"/>
    <w:rsid w:val="000A6FE0"/>
    <w:rsid w:val="000A703A"/>
    <w:rsid w:val="000A7480"/>
    <w:rsid w:val="000A74C6"/>
    <w:rsid w:val="000B0208"/>
    <w:rsid w:val="000B026F"/>
    <w:rsid w:val="000B04B3"/>
    <w:rsid w:val="000B0936"/>
    <w:rsid w:val="000B0AA3"/>
    <w:rsid w:val="000B0B37"/>
    <w:rsid w:val="000B103F"/>
    <w:rsid w:val="000B106C"/>
    <w:rsid w:val="000B1284"/>
    <w:rsid w:val="000B1731"/>
    <w:rsid w:val="000B1BA3"/>
    <w:rsid w:val="000B1CCE"/>
    <w:rsid w:val="000B1E79"/>
    <w:rsid w:val="000B2061"/>
    <w:rsid w:val="000B20C3"/>
    <w:rsid w:val="000B20D3"/>
    <w:rsid w:val="000B2282"/>
    <w:rsid w:val="000B2B92"/>
    <w:rsid w:val="000B2DA4"/>
    <w:rsid w:val="000B31DF"/>
    <w:rsid w:val="000B33F9"/>
    <w:rsid w:val="000B34AB"/>
    <w:rsid w:val="000B3DF7"/>
    <w:rsid w:val="000B3E20"/>
    <w:rsid w:val="000B47C7"/>
    <w:rsid w:val="000B4857"/>
    <w:rsid w:val="000B4AF6"/>
    <w:rsid w:val="000B4B21"/>
    <w:rsid w:val="000B4FED"/>
    <w:rsid w:val="000B5316"/>
    <w:rsid w:val="000B55CA"/>
    <w:rsid w:val="000B561C"/>
    <w:rsid w:val="000B5850"/>
    <w:rsid w:val="000B599E"/>
    <w:rsid w:val="000B5AC6"/>
    <w:rsid w:val="000B5CE2"/>
    <w:rsid w:val="000B5F2C"/>
    <w:rsid w:val="000B632D"/>
    <w:rsid w:val="000B6562"/>
    <w:rsid w:val="000B65CB"/>
    <w:rsid w:val="000B6BAD"/>
    <w:rsid w:val="000B6BDB"/>
    <w:rsid w:val="000B7511"/>
    <w:rsid w:val="000B7E51"/>
    <w:rsid w:val="000B7E56"/>
    <w:rsid w:val="000C01F1"/>
    <w:rsid w:val="000C03EE"/>
    <w:rsid w:val="000C06B4"/>
    <w:rsid w:val="000C0E99"/>
    <w:rsid w:val="000C1353"/>
    <w:rsid w:val="000C1965"/>
    <w:rsid w:val="000C1A5E"/>
    <w:rsid w:val="000C2A54"/>
    <w:rsid w:val="000C2A8F"/>
    <w:rsid w:val="000C2FF9"/>
    <w:rsid w:val="000C33EF"/>
    <w:rsid w:val="000C35BD"/>
    <w:rsid w:val="000C3860"/>
    <w:rsid w:val="000C3DBD"/>
    <w:rsid w:val="000C4549"/>
    <w:rsid w:val="000C4612"/>
    <w:rsid w:val="000C47AB"/>
    <w:rsid w:val="000C4D7B"/>
    <w:rsid w:val="000C5289"/>
    <w:rsid w:val="000C5A3B"/>
    <w:rsid w:val="000C5E36"/>
    <w:rsid w:val="000C5F6A"/>
    <w:rsid w:val="000C65B1"/>
    <w:rsid w:val="000C66FB"/>
    <w:rsid w:val="000C688D"/>
    <w:rsid w:val="000C6B59"/>
    <w:rsid w:val="000C7086"/>
    <w:rsid w:val="000C720D"/>
    <w:rsid w:val="000C7292"/>
    <w:rsid w:val="000C7BBE"/>
    <w:rsid w:val="000C7BD8"/>
    <w:rsid w:val="000D0778"/>
    <w:rsid w:val="000D07DD"/>
    <w:rsid w:val="000D0801"/>
    <w:rsid w:val="000D08E2"/>
    <w:rsid w:val="000D0BFC"/>
    <w:rsid w:val="000D0C56"/>
    <w:rsid w:val="000D1099"/>
    <w:rsid w:val="000D141F"/>
    <w:rsid w:val="000D1C32"/>
    <w:rsid w:val="000D2193"/>
    <w:rsid w:val="000D2667"/>
    <w:rsid w:val="000D2748"/>
    <w:rsid w:val="000D2D91"/>
    <w:rsid w:val="000D2F02"/>
    <w:rsid w:val="000D37FB"/>
    <w:rsid w:val="000D39D9"/>
    <w:rsid w:val="000D3D91"/>
    <w:rsid w:val="000D4081"/>
    <w:rsid w:val="000D46BF"/>
    <w:rsid w:val="000D49A3"/>
    <w:rsid w:val="000D4EAE"/>
    <w:rsid w:val="000D5053"/>
    <w:rsid w:val="000D50C3"/>
    <w:rsid w:val="000D51DF"/>
    <w:rsid w:val="000D54FB"/>
    <w:rsid w:val="000D551B"/>
    <w:rsid w:val="000D55E7"/>
    <w:rsid w:val="000D6535"/>
    <w:rsid w:val="000D67CD"/>
    <w:rsid w:val="000D6EC8"/>
    <w:rsid w:val="000D70AE"/>
    <w:rsid w:val="000E05D2"/>
    <w:rsid w:val="000E101D"/>
    <w:rsid w:val="000E11E5"/>
    <w:rsid w:val="000E171F"/>
    <w:rsid w:val="000E1795"/>
    <w:rsid w:val="000E1966"/>
    <w:rsid w:val="000E1FAA"/>
    <w:rsid w:val="000E2445"/>
    <w:rsid w:val="000E24B7"/>
    <w:rsid w:val="000E2556"/>
    <w:rsid w:val="000E2778"/>
    <w:rsid w:val="000E2EB5"/>
    <w:rsid w:val="000E3561"/>
    <w:rsid w:val="000E373A"/>
    <w:rsid w:val="000E43EA"/>
    <w:rsid w:val="000E4753"/>
    <w:rsid w:val="000E4E11"/>
    <w:rsid w:val="000E4F52"/>
    <w:rsid w:val="000E5C20"/>
    <w:rsid w:val="000E5C57"/>
    <w:rsid w:val="000E5EFA"/>
    <w:rsid w:val="000E5F3E"/>
    <w:rsid w:val="000E6145"/>
    <w:rsid w:val="000E63C8"/>
    <w:rsid w:val="000E66F1"/>
    <w:rsid w:val="000E679D"/>
    <w:rsid w:val="000E6E05"/>
    <w:rsid w:val="000E6E23"/>
    <w:rsid w:val="000E6FA0"/>
    <w:rsid w:val="000E7958"/>
    <w:rsid w:val="000E7FB6"/>
    <w:rsid w:val="000F0532"/>
    <w:rsid w:val="000F09DE"/>
    <w:rsid w:val="000F0BC2"/>
    <w:rsid w:val="000F0C53"/>
    <w:rsid w:val="000F0CC2"/>
    <w:rsid w:val="000F0E9C"/>
    <w:rsid w:val="000F0F3D"/>
    <w:rsid w:val="000F1255"/>
    <w:rsid w:val="000F15F9"/>
    <w:rsid w:val="000F1ADF"/>
    <w:rsid w:val="000F21EF"/>
    <w:rsid w:val="000F2351"/>
    <w:rsid w:val="000F2667"/>
    <w:rsid w:val="000F27D5"/>
    <w:rsid w:val="000F2DAA"/>
    <w:rsid w:val="000F38EC"/>
    <w:rsid w:val="000F3FC7"/>
    <w:rsid w:val="000F4330"/>
    <w:rsid w:val="000F49E8"/>
    <w:rsid w:val="000F4F71"/>
    <w:rsid w:val="000F4FBB"/>
    <w:rsid w:val="000F53FA"/>
    <w:rsid w:val="000F5515"/>
    <w:rsid w:val="000F562E"/>
    <w:rsid w:val="000F60DB"/>
    <w:rsid w:val="000F61C7"/>
    <w:rsid w:val="000F66A3"/>
    <w:rsid w:val="000F69DD"/>
    <w:rsid w:val="000F6C8D"/>
    <w:rsid w:val="000F7349"/>
    <w:rsid w:val="000F762E"/>
    <w:rsid w:val="000F77D8"/>
    <w:rsid w:val="000F77DA"/>
    <w:rsid w:val="000F7DE4"/>
    <w:rsid w:val="00100020"/>
    <w:rsid w:val="00100131"/>
    <w:rsid w:val="00100587"/>
    <w:rsid w:val="0010088E"/>
    <w:rsid w:val="00100C7E"/>
    <w:rsid w:val="00100DB7"/>
    <w:rsid w:val="00100E77"/>
    <w:rsid w:val="00100F10"/>
    <w:rsid w:val="0010115E"/>
    <w:rsid w:val="0010119E"/>
    <w:rsid w:val="001019FE"/>
    <w:rsid w:val="00101AC2"/>
    <w:rsid w:val="00101DF8"/>
    <w:rsid w:val="00101F0C"/>
    <w:rsid w:val="00101FD8"/>
    <w:rsid w:val="00102099"/>
    <w:rsid w:val="00102446"/>
    <w:rsid w:val="00102677"/>
    <w:rsid w:val="00102863"/>
    <w:rsid w:val="00102E0A"/>
    <w:rsid w:val="001031C9"/>
    <w:rsid w:val="001033D0"/>
    <w:rsid w:val="00103725"/>
    <w:rsid w:val="00104058"/>
    <w:rsid w:val="0010457D"/>
    <w:rsid w:val="0010460E"/>
    <w:rsid w:val="0010490B"/>
    <w:rsid w:val="00104A32"/>
    <w:rsid w:val="00104AFE"/>
    <w:rsid w:val="00104CED"/>
    <w:rsid w:val="0010501E"/>
    <w:rsid w:val="001050DC"/>
    <w:rsid w:val="001053F2"/>
    <w:rsid w:val="0010547D"/>
    <w:rsid w:val="00105607"/>
    <w:rsid w:val="00105A8E"/>
    <w:rsid w:val="00105AAC"/>
    <w:rsid w:val="00105D64"/>
    <w:rsid w:val="00105E97"/>
    <w:rsid w:val="00105EA1"/>
    <w:rsid w:val="001060A1"/>
    <w:rsid w:val="001067F6"/>
    <w:rsid w:val="00106A24"/>
    <w:rsid w:val="00106AC6"/>
    <w:rsid w:val="00106B64"/>
    <w:rsid w:val="00106D09"/>
    <w:rsid w:val="001076FF"/>
    <w:rsid w:val="00107B02"/>
    <w:rsid w:val="00107C18"/>
    <w:rsid w:val="00110687"/>
    <w:rsid w:val="001107D8"/>
    <w:rsid w:val="0011080D"/>
    <w:rsid w:val="001111E6"/>
    <w:rsid w:val="001114A4"/>
    <w:rsid w:val="00111775"/>
    <w:rsid w:val="0011199D"/>
    <w:rsid w:val="00111DFA"/>
    <w:rsid w:val="00112040"/>
    <w:rsid w:val="0011235B"/>
    <w:rsid w:val="0011247A"/>
    <w:rsid w:val="00112AAC"/>
    <w:rsid w:val="00112D50"/>
    <w:rsid w:val="00112DF7"/>
    <w:rsid w:val="0011318E"/>
    <w:rsid w:val="001131FE"/>
    <w:rsid w:val="00113517"/>
    <w:rsid w:val="00113605"/>
    <w:rsid w:val="00113740"/>
    <w:rsid w:val="00113775"/>
    <w:rsid w:val="00113B17"/>
    <w:rsid w:val="00113C02"/>
    <w:rsid w:val="00113F88"/>
    <w:rsid w:val="00114090"/>
    <w:rsid w:val="00114254"/>
    <w:rsid w:val="00114766"/>
    <w:rsid w:val="00114C09"/>
    <w:rsid w:val="00114C5E"/>
    <w:rsid w:val="00114D3E"/>
    <w:rsid w:val="00114DF7"/>
    <w:rsid w:val="001150DA"/>
    <w:rsid w:val="00115129"/>
    <w:rsid w:val="0011523B"/>
    <w:rsid w:val="00115579"/>
    <w:rsid w:val="001156AF"/>
    <w:rsid w:val="00115C42"/>
    <w:rsid w:val="00115CAA"/>
    <w:rsid w:val="00115E16"/>
    <w:rsid w:val="00115F55"/>
    <w:rsid w:val="00115F90"/>
    <w:rsid w:val="001166B4"/>
    <w:rsid w:val="00117223"/>
    <w:rsid w:val="001172B0"/>
    <w:rsid w:val="00117823"/>
    <w:rsid w:val="00117894"/>
    <w:rsid w:val="00117996"/>
    <w:rsid w:val="00117F15"/>
    <w:rsid w:val="0012039B"/>
    <w:rsid w:val="00120AD5"/>
    <w:rsid w:val="00120B7F"/>
    <w:rsid w:val="00121308"/>
    <w:rsid w:val="001226C2"/>
    <w:rsid w:val="0012282F"/>
    <w:rsid w:val="0012296E"/>
    <w:rsid w:val="00122F6A"/>
    <w:rsid w:val="001234CD"/>
    <w:rsid w:val="00123575"/>
    <w:rsid w:val="00123A63"/>
    <w:rsid w:val="00124508"/>
    <w:rsid w:val="00124C0B"/>
    <w:rsid w:val="00124F74"/>
    <w:rsid w:val="00125059"/>
    <w:rsid w:val="00125119"/>
    <w:rsid w:val="001251B7"/>
    <w:rsid w:val="00125255"/>
    <w:rsid w:val="00125B93"/>
    <w:rsid w:val="00125E6E"/>
    <w:rsid w:val="00125FAB"/>
    <w:rsid w:val="001262A0"/>
    <w:rsid w:val="00126355"/>
    <w:rsid w:val="0012659B"/>
    <w:rsid w:val="00126A43"/>
    <w:rsid w:val="00127097"/>
    <w:rsid w:val="0012784C"/>
    <w:rsid w:val="00127C56"/>
    <w:rsid w:val="00127CEB"/>
    <w:rsid w:val="00130650"/>
    <w:rsid w:val="00130851"/>
    <w:rsid w:val="00130AEA"/>
    <w:rsid w:val="00130BB0"/>
    <w:rsid w:val="00130D3E"/>
    <w:rsid w:val="001311F0"/>
    <w:rsid w:val="00131390"/>
    <w:rsid w:val="00131913"/>
    <w:rsid w:val="00131C88"/>
    <w:rsid w:val="00131CE0"/>
    <w:rsid w:val="00131E65"/>
    <w:rsid w:val="00131E70"/>
    <w:rsid w:val="00132364"/>
    <w:rsid w:val="001324FF"/>
    <w:rsid w:val="0013282E"/>
    <w:rsid w:val="00132BC3"/>
    <w:rsid w:val="0013407E"/>
    <w:rsid w:val="0013424E"/>
    <w:rsid w:val="00134844"/>
    <w:rsid w:val="001349D8"/>
    <w:rsid w:val="00135234"/>
    <w:rsid w:val="001354DD"/>
    <w:rsid w:val="00135535"/>
    <w:rsid w:val="00135A3F"/>
    <w:rsid w:val="00135DD8"/>
    <w:rsid w:val="0013636C"/>
    <w:rsid w:val="00136412"/>
    <w:rsid w:val="0013647B"/>
    <w:rsid w:val="001364C1"/>
    <w:rsid w:val="0013681E"/>
    <w:rsid w:val="0013718F"/>
    <w:rsid w:val="00137424"/>
    <w:rsid w:val="00137B19"/>
    <w:rsid w:val="00137D61"/>
    <w:rsid w:val="00137D64"/>
    <w:rsid w:val="00137F84"/>
    <w:rsid w:val="00140150"/>
    <w:rsid w:val="00140206"/>
    <w:rsid w:val="0014054C"/>
    <w:rsid w:val="001405E7"/>
    <w:rsid w:val="001407F1"/>
    <w:rsid w:val="00140C85"/>
    <w:rsid w:val="0014113B"/>
    <w:rsid w:val="001413D1"/>
    <w:rsid w:val="0014143E"/>
    <w:rsid w:val="00141488"/>
    <w:rsid w:val="00141779"/>
    <w:rsid w:val="00141C9E"/>
    <w:rsid w:val="00141EB0"/>
    <w:rsid w:val="001421EF"/>
    <w:rsid w:val="001425A2"/>
    <w:rsid w:val="001426FD"/>
    <w:rsid w:val="0014270A"/>
    <w:rsid w:val="001428D4"/>
    <w:rsid w:val="00142A2E"/>
    <w:rsid w:val="00142B2E"/>
    <w:rsid w:val="00142BA8"/>
    <w:rsid w:val="00142BB1"/>
    <w:rsid w:val="00143510"/>
    <w:rsid w:val="00143B53"/>
    <w:rsid w:val="00143B56"/>
    <w:rsid w:val="00143E97"/>
    <w:rsid w:val="001441EF"/>
    <w:rsid w:val="001446F8"/>
    <w:rsid w:val="0014483C"/>
    <w:rsid w:val="00144863"/>
    <w:rsid w:val="0014493E"/>
    <w:rsid w:val="00144BF9"/>
    <w:rsid w:val="0014534A"/>
    <w:rsid w:val="00145853"/>
    <w:rsid w:val="00145A11"/>
    <w:rsid w:val="00145C5A"/>
    <w:rsid w:val="0014615A"/>
    <w:rsid w:val="0014655E"/>
    <w:rsid w:val="00146EC9"/>
    <w:rsid w:val="00147010"/>
    <w:rsid w:val="0014727D"/>
    <w:rsid w:val="00147363"/>
    <w:rsid w:val="00147600"/>
    <w:rsid w:val="001478D3"/>
    <w:rsid w:val="00147D7B"/>
    <w:rsid w:val="00147FDD"/>
    <w:rsid w:val="0015043B"/>
    <w:rsid w:val="001504BE"/>
    <w:rsid w:val="001507AF"/>
    <w:rsid w:val="00150A1E"/>
    <w:rsid w:val="00150D0B"/>
    <w:rsid w:val="00151021"/>
    <w:rsid w:val="001510CC"/>
    <w:rsid w:val="001517C6"/>
    <w:rsid w:val="00151983"/>
    <w:rsid w:val="001519EE"/>
    <w:rsid w:val="00151C5F"/>
    <w:rsid w:val="00151F68"/>
    <w:rsid w:val="001528FD"/>
    <w:rsid w:val="00152B1C"/>
    <w:rsid w:val="00152CE5"/>
    <w:rsid w:val="00152E05"/>
    <w:rsid w:val="00152F69"/>
    <w:rsid w:val="001534A3"/>
    <w:rsid w:val="00153640"/>
    <w:rsid w:val="001537C8"/>
    <w:rsid w:val="001538DA"/>
    <w:rsid w:val="00153946"/>
    <w:rsid w:val="00153C8B"/>
    <w:rsid w:val="00153ECC"/>
    <w:rsid w:val="0015433D"/>
    <w:rsid w:val="00154534"/>
    <w:rsid w:val="001545A3"/>
    <w:rsid w:val="001545F3"/>
    <w:rsid w:val="001546B0"/>
    <w:rsid w:val="0015472B"/>
    <w:rsid w:val="00154C38"/>
    <w:rsid w:val="001553F5"/>
    <w:rsid w:val="00155504"/>
    <w:rsid w:val="0015563A"/>
    <w:rsid w:val="0015595C"/>
    <w:rsid w:val="00155E17"/>
    <w:rsid w:val="0015630A"/>
    <w:rsid w:val="00156599"/>
    <w:rsid w:val="001567EE"/>
    <w:rsid w:val="00156AB4"/>
    <w:rsid w:val="00156C34"/>
    <w:rsid w:val="00156CFA"/>
    <w:rsid w:val="00156E36"/>
    <w:rsid w:val="00156F57"/>
    <w:rsid w:val="00157071"/>
    <w:rsid w:val="00157279"/>
    <w:rsid w:val="001574FC"/>
    <w:rsid w:val="0015782A"/>
    <w:rsid w:val="0015784C"/>
    <w:rsid w:val="00157B46"/>
    <w:rsid w:val="001600C5"/>
    <w:rsid w:val="001602CF"/>
    <w:rsid w:val="001603E8"/>
    <w:rsid w:val="0016041A"/>
    <w:rsid w:val="00160733"/>
    <w:rsid w:val="00160772"/>
    <w:rsid w:val="00160838"/>
    <w:rsid w:val="00160A16"/>
    <w:rsid w:val="0016126F"/>
    <w:rsid w:val="0016193A"/>
    <w:rsid w:val="00161E6F"/>
    <w:rsid w:val="00161F4C"/>
    <w:rsid w:val="001620FC"/>
    <w:rsid w:val="00162964"/>
    <w:rsid w:val="00162B50"/>
    <w:rsid w:val="00163105"/>
    <w:rsid w:val="001635D2"/>
    <w:rsid w:val="001638E1"/>
    <w:rsid w:val="00163A4A"/>
    <w:rsid w:val="00163BAE"/>
    <w:rsid w:val="00163EE6"/>
    <w:rsid w:val="0016410D"/>
    <w:rsid w:val="0016419D"/>
    <w:rsid w:val="001641A3"/>
    <w:rsid w:val="001649DB"/>
    <w:rsid w:val="0016507E"/>
    <w:rsid w:val="00165266"/>
    <w:rsid w:val="00165459"/>
    <w:rsid w:val="00165776"/>
    <w:rsid w:val="001658A2"/>
    <w:rsid w:val="00165C9C"/>
    <w:rsid w:val="00165EAA"/>
    <w:rsid w:val="00166EDC"/>
    <w:rsid w:val="00167B1B"/>
    <w:rsid w:val="00167C66"/>
    <w:rsid w:val="00167C71"/>
    <w:rsid w:val="00167C9E"/>
    <w:rsid w:val="00167FFA"/>
    <w:rsid w:val="0017085A"/>
    <w:rsid w:val="00170883"/>
    <w:rsid w:val="00170A6E"/>
    <w:rsid w:val="00170AA9"/>
    <w:rsid w:val="00170D30"/>
    <w:rsid w:val="00170F2C"/>
    <w:rsid w:val="0017130C"/>
    <w:rsid w:val="00171B9D"/>
    <w:rsid w:val="00171C22"/>
    <w:rsid w:val="00172113"/>
    <w:rsid w:val="00172896"/>
    <w:rsid w:val="001729F9"/>
    <w:rsid w:val="00172C01"/>
    <w:rsid w:val="00172FDD"/>
    <w:rsid w:val="00173340"/>
    <w:rsid w:val="00173AE8"/>
    <w:rsid w:val="00173C62"/>
    <w:rsid w:val="00173C98"/>
    <w:rsid w:val="00173D4B"/>
    <w:rsid w:val="00173F94"/>
    <w:rsid w:val="001741E2"/>
    <w:rsid w:val="00174286"/>
    <w:rsid w:val="00174463"/>
    <w:rsid w:val="001744A9"/>
    <w:rsid w:val="001749EA"/>
    <w:rsid w:val="00174A6C"/>
    <w:rsid w:val="00174EEE"/>
    <w:rsid w:val="001753A2"/>
    <w:rsid w:val="00175739"/>
    <w:rsid w:val="00175843"/>
    <w:rsid w:val="00175ED3"/>
    <w:rsid w:val="00175FCD"/>
    <w:rsid w:val="0017602B"/>
    <w:rsid w:val="0017607B"/>
    <w:rsid w:val="001760A8"/>
    <w:rsid w:val="00176175"/>
    <w:rsid w:val="0017650F"/>
    <w:rsid w:val="0017660A"/>
    <w:rsid w:val="001768CA"/>
    <w:rsid w:val="001769C5"/>
    <w:rsid w:val="00176ACF"/>
    <w:rsid w:val="001773AA"/>
    <w:rsid w:val="00177964"/>
    <w:rsid w:val="00177B8E"/>
    <w:rsid w:val="00177CBF"/>
    <w:rsid w:val="0018015D"/>
    <w:rsid w:val="001805CF"/>
    <w:rsid w:val="00180676"/>
    <w:rsid w:val="0018081F"/>
    <w:rsid w:val="00180A8E"/>
    <w:rsid w:val="00180F7D"/>
    <w:rsid w:val="001814F8"/>
    <w:rsid w:val="001818E7"/>
    <w:rsid w:val="00182033"/>
    <w:rsid w:val="0018239B"/>
    <w:rsid w:val="00182482"/>
    <w:rsid w:val="0018274A"/>
    <w:rsid w:val="0018286A"/>
    <w:rsid w:val="00182A88"/>
    <w:rsid w:val="00182DDE"/>
    <w:rsid w:val="001837EF"/>
    <w:rsid w:val="00183B46"/>
    <w:rsid w:val="00183DF4"/>
    <w:rsid w:val="00184A36"/>
    <w:rsid w:val="00184A99"/>
    <w:rsid w:val="00184AD5"/>
    <w:rsid w:val="001854A9"/>
    <w:rsid w:val="00185AEB"/>
    <w:rsid w:val="00185BE9"/>
    <w:rsid w:val="00185DE7"/>
    <w:rsid w:val="00186349"/>
    <w:rsid w:val="001865A9"/>
    <w:rsid w:val="00186928"/>
    <w:rsid w:val="00186E23"/>
    <w:rsid w:val="00186F50"/>
    <w:rsid w:val="0018708F"/>
    <w:rsid w:val="001871C3"/>
    <w:rsid w:val="00187227"/>
    <w:rsid w:val="00187A7F"/>
    <w:rsid w:val="00187DF7"/>
    <w:rsid w:val="00190755"/>
    <w:rsid w:val="00190804"/>
    <w:rsid w:val="00190893"/>
    <w:rsid w:val="00190944"/>
    <w:rsid w:val="00190C7B"/>
    <w:rsid w:val="00190C94"/>
    <w:rsid w:val="00191404"/>
    <w:rsid w:val="00191CA8"/>
    <w:rsid w:val="00192985"/>
    <w:rsid w:val="00192C6C"/>
    <w:rsid w:val="00192E7F"/>
    <w:rsid w:val="001931A1"/>
    <w:rsid w:val="001931C2"/>
    <w:rsid w:val="0019341C"/>
    <w:rsid w:val="00193BED"/>
    <w:rsid w:val="00193DB9"/>
    <w:rsid w:val="00194481"/>
    <w:rsid w:val="00194603"/>
    <w:rsid w:val="001948C2"/>
    <w:rsid w:val="00194CB9"/>
    <w:rsid w:val="00194D70"/>
    <w:rsid w:val="00194DDC"/>
    <w:rsid w:val="00195183"/>
    <w:rsid w:val="00195EFD"/>
    <w:rsid w:val="0019617F"/>
    <w:rsid w:val="0019620C"/>
    <w:rsid w:val="00196C9F"/>
    <w:rsid w:val="00196EBA"/>
    <w:rsid w:val="00196EBD"/>
    <w:rsid w:val="00196F09"/>
    <w:rsid w:val="00196F68"/>
    <w:rsid w:val="00196FCA"/>
    <w:rsid w:val="0019710A"/>
    <w:rsid w:val="00197194"/>
    <w:rsid w:val="00197408"/>
    <w:rsid w:val="00197530"/>
    <w:rsid w:val="001977E4"/>
    <w:rsid w:val="00197882"/>
    <w:rsid w:val="00197A89"/>
    <w:rsid w:val="00197B0A"/>
    <w:rsid w:val="001A0123"/>
    <w:rsid w:val="001A096E"/>
    <w:rsid w:val="001A0AD7"/>
    <w:rsid w:val="001A0B1F"/>
    <w:rsid w:val="001A0FC2"/>
    <w:rsid w:val="001A1050"/>
    <w:rsid w:val="001A15D9"/>
    <w:rsid w:val="001A15FC"/>
    <w:rsid w:val="001A16FD"/>
    <w:rsid w:val="001A1B41"/>
    <w:rsid w:val="001A1CC9"/>
    <w:rsid w:val="001A1D98"/>
    <w:rsid w:val="001A1E8E"/>
    <w:rsid w:val="001A2261"/>
    <w:rsid w:val="001A2844"/>
    <w:rsid w:val="001A2A0B"/>
    <w:rsid w:val="001A2CCC"/>
    <w:rsid w:val="001A2D19"/>
    <w:rsid w:val="001A3001"/>
    <w:rsid w:val="001A30EC"/>
    <w:rsid w:val="001A3549"/>
    <w:rsid w:val="001A3598"/>
    <w:rsid w:val="001A3760"/>
    <w:rsid w:val="001A380C"/>
    <w:rsid w:val="001A38EA"/>
    <w:rsid w:val="001A39CA"/>
    <w:rsid w:val="001A3AF7"/>
    <w:rsid w:val="001A3CBF"/>
    <w:rsid w:val="001A4117"/>
    <w:rsid w:val="001A43F6"/>
    <w:rsid w:val="001A4E2B"/>
    <w:rsid w:val="001A531E"/>
    <w:rsid w:val="001A58A5"/>
    <w:rsid w:val="001A5BCA"/>
    <w:rsid w:val="001A60A3"/>
    <w:rsid w:val="001A611C"/>
    <w:rsid w:val="001A6267"/>
    <w:rsid w:val="001A655A"/>
    <w:rsid w:val="001A6A28"/>
    <w:rsid w:val="001A6A45"/>
    <w:rsid w:val="001A6BA7"/>
    <w:rsid w:val="001A742F"/>
    <w:rsid w:val="001A774B"/>
    <w:rsid w:val="001A7A06"/>
    <w:rsid w:val="001A7B36"/>
    <w:rsid w:val="001A7B45"/>
    <w:rsid w:val="001A7F78"/>
    <w:rsid w:val="001B002A"/>
    <w:rsid w:val="001B065B"/>
    <w:rsid w:val="001B06C8"/>
    <w:rsid w:val="001B08BC"/>
    <w:rsid w:val="001B1232"/>
    <w:rsid w:val="001B1541"/>
    <w:rsid w:val="001B1E74"/>
    <w:rsid w:val="001B2208"/>
    <w:rsid w:val="001B2558"/>
    <w:rsid w:val="001B280D"/>
    <w:rsid w:val="001B2ABB"/>
    <w:rsid w:val="001B3217"/>
    <w:rsid w:val="001B366A"/>
    <w:rsid w:val="001B38D3"/>
    <w:rsid w:val="001B3A7B"/>
    <w:rsid w:val="001B3C07"/>
    <w:rsid w:val="001B3D63"/>
    <w:rsid w:val="001B3EA7"/>
    <w:rsid w:val="001B4134"/>
    <w:rsid w:val="001B46A5"/>
    <w:rsid w:val="001B4A3E"/>
    <w:rsid w:val="001B4C2C"/>
    <w:rsid w:val="001B508C"/>
    <w:rsid w:val="001B52E9"/>
    <w:rsid w:val="001B5D57"/>
    <w:rsid w:val="001B5DD1"/>
    <w:rsid w:val="001B5E83"/>
    <w:rsid w:val="001B5EDF"/>
    <w:rsid w:val="001B5F55"/>
    <w:rsid w:val="001B6012"/>
    <w:rsid w:val="001B6590"/>
    <w:rsid w:val="001B6599"/>
    <w:rsid w:val="001B6AF2"/>
    <w:rsid w:val="001B6BBE"/>
    <w:rsid w:val="001B7070"/>
    <w:rsid w:val="001B71C7"/>
    <w:rsid w:val="001B7D99"/>
    <w:rsid w:val="001B7DC6"/>
    <w:rsid w:val="001B7E5F"/>
    <w:rsid w:val="001B7FC4"/>
    <w:rsid w:val="001C0B39"/>
    <w:rsid w:val="001C0ECE"/>
    <w:rsid w:val="001C116C"/>
    <w:rsid w:val="001C145A"/>
    <w:rsid w:val="001C1774"/>
    <w:rsid w:val="001C1829"/>
    <w:rsid w:val="001C1D80"/>
    <w:rsid w:val="001C1F87"/>
    <w:rsid w:val="001C2134"/>
    <w:rsid w:val="001C3212"/>
    <w:rsid w:val="001C33D9"/>
    <w:rsid w:val="001C387B"/>
    <w:rsid w:val="001C3D30"/>
    <w:rsid w:val="001C3DF7"/>
    <w:rsid w:val="001C3E42"/>
    <w:rsid w:val="001C406D"/>
    <w:rsid w:val="001C414A"/>
    <w:rsid w:val="001C41BE"/>
    <w:rsid w:val="001C431E"/>
    <w:rsid w:val="001C4458"/>
    <w:rsid w:val="001C4C1D"/>
    <w:rsid w:val="001C5296"/>
    <w:rsid w:val="001C555E"/>
    <w:rsid w:val="001C56B4"/>
    <w:rsid w:val="001C58A5"/>
    <w:rsid w:val="001C5DA7"/>
    <w:rsid w:val="001C5E64"/>
    <w:rsid w:val="001C5EE8"/>
    <w:rsid w:val="001C5EEA"/>
    <w:rsid w:val="001C6261"/>
    <w:rsid w:val="001C64DB"/>
    <w:rsid w:val="001C64FA"/>
    <w:rsid w:val="001C672D"/>
    <w:rsid w:val="001C699B"/>
    <w:rsid w:val="001C6E16"/>
    <w:rsid w:val="001C6FD6"/>
    <w:rsid w:val="001C7085"/>
    <w:rsid w:val="001C715B"/>
    <w:rsid w:val="001C725C"/>
    <w:rsid w:val="001C79BF"/>
    <w:rsid w:val="001D0593"/>
    <w:rsid w:val="001D0FC4"/>
    <w:rsid w:val="001D1269"/>
    <w:rsid w:val="001D150B"/>
    <w:rsid w:val="001D1866"/>
    <w:rsid w:val="001D1D4B"/>
    <w:rsid w:val="001D1F57"/>
    <w:rsid w:val="001D2531"/>
    <w:rsid w:val="001D25A9"/>
    <w:rsid w:val="001D2A24"/>
    <w:rsid w:val="001D2BB3"/>
    <w:rsid w:val="001D31C7"/>
    <w:rsid w:val="001D351C"/>
    <w:rsid w:val="001D3526"/>
    <w:rsid w:val="001D3B7C"/>
    <w:rsid w:val="001D3D48"/>
    <w:rsid w:val="001D3F1F"/>
    <w:rsid w:val="001D4442"/>
    <w:rsid w:val="001D469A"/>
    <w:rsid w:val="001D4A95"/>
    <w:rsid w:val="001D4DB8"/>
    <w:rsid w:val="001D4E49"/>
    <w:rsid w:val="001D4E95"/>
    <w:rsid w:val="001D508C"/>
    <w:rsid w:val="001D509B"/>
    <w:rsid w:val="001D5136"/>
    <w:rsid w:val="001D519B"/>
    <w:rsid w:val="001D5374"/>
    <w:rsid w:val="001D53AE"/>
    <w:rsid w:val="001D56F1"/>
    <w:rsid w:val="001D57FD"/>
    <w:rsid w:val="001D5CA2"/>
    <w:rsid w:val="001D5EF7"/>
    <w:rsid w:val="001D5F0B"/>
    <w:rsid w:val="001D5F55"/>
    <w:rsid w:val="001D6062"/>
    <w:rsid w:val="001D62DA"/>
    <w:rsid w:val="001D6341"/>
    <w:rsid w:val="001D65F2"/>
    <w:rsid w:val="001D663E"/>
    <w:rsid w:val="001D6A0A"/>
    <w:rsid w:val="001D6B10"/>
    <w:rsid w:val="001D6D75"/>
    <w:rsid w:val="001D705D"/>
    <w:rsid w:val="001D71E6"/>
    <w:rsid w:val="001D7653"/>
    <w:rsid w:val="001D7B1E"/>
    <w:rsid w:val="001E00FD"/>
    <w:rsid w:val="001E0357"/>
    <w:rsid w:val="001E0533"/>
    <w:rsid w:val="001E0556"/>
    <w:rsid w:val="001E0984"/>
    <w:rsid w:val="001E0B6F"/>
    <w:rsid w:val="001E0ED2"/>
    <w:rsid w:val="001E1299"/>
    <w:rsid w:val="001E18AB"/>
    <w:rsid w:val="001E1D61"/>
    <w:rsid w:val="001E25DF"/>
    <w:rsid w:val="001E2611"/>
    <w:rsid w:val="001E2B71"/>
    <w:rsid w:val="001E2DB4"/>
    <w:rsid w:val="001E2FE9"/>
    <w:rsid w:val="001E3079"/>
    <w:rsid w:val="001E31B4"/>
    <w:rsid w:val="001E323C"/>
    <w:rsid w:val="001E35FE"/>
    <w:rsid w:val="001E388C"/>
    <w:rsid w:val="001E38F2"/>
    <w:rsid w:val="001E390E"/>
    <w:rsid w:val="001E469C"/>
    <w:rsid w:val="001E4818"/>
    <w:rsid w:val="001E4E33"/>
    <w:rsid w:val="001E558F"/>
    <w:rsid w:val="001E5C45"/>
    <w:rsid w:val="001E5EF3"/>
    <w:rsid w:val="001E61F3"/>
    <w:rsid w:val="001E6518"/>
    <w:rsid w:val="001E688E"/>
    <w:rsid w:val="001E6BAC"/>
    <w:rsid w:val="001E6D6F"/>
    <w:rsid w:val="001E6E6C"/>
    <w:rsid w:val="001E7BE3"/>
    <w:rsid w:val="001E7DCB"/>
    <w:rsid w:val="001E7F4E"/>
    <w:rsid w:val="001F00E0"/>
    <w:rsid w:val="001F050F"/>
    <w:rsid w:val="001F150B"/>
    <w:rsid w:val="001F15CF"/>
    <w:rsid w:val="001F1862"/>
    <w:rsid w:val="001F196F"/>
    <w:rsid w:val="001F1A8C"/>
    <w:rsid w:val="001F1E00"/>
    <w:rsid w:val="001F1E8C"/>
    <w:rsid w:val="001F2426"/>
    <w:rsid w:val="001F3B83"/>
    <w:rsid w:val="001F3DFF"/>
    <w:rsid w:val="001F3F11"/>
    <w:rsid w:val="001F4042"/>
    <w:rsid w:val="001F44D8"/>
    <w:rsid w:val="001F4D8B"/>
    <w:rsid w:val="001F4F65"/>
    <w:rsid w:val="001F5025"/>
    <w:rsid w:val="001F50F3"/>
    <w:rsid w:val="001F5716"/>
    <w:rsid w:val="001F587F"/>
    <w:rsid w:val="001F68FA"/>
    <w:rsid w:val="001F69B6"/>
    <w:rsid w:val="001F6E2F"/>
    <w:rsid w:val="001F6F30"/>
    <w:rsid w:val="001F7472"/>
    <w:rsid w:val="001F7562"/>
    <w:rsid w:val="001F7917"/>
    <w:rsid w:val="001F795B"/>
    <w:rsid w:val="002003B0"/>
    <w:rsid w:val="00200604"/>
    <w:rsid w:val="002009A7"/>
    <w:rsid w:val="002009E0"/>
    <w:rsid w:val="00200EC9"/>
    <w:rsid w:val="00200F9F"/>
    <w:rsid w:val="00201444"/>
    <w:rsid w:val="00201562"/>
    <w:rsid w:val="00201975"/>
    <w:rsid w:val="00201985"/>
    <w:rsid w:val="002020DA"/>
    <w:rsid w:val="0020234D"/>
    <w:rsid w:val="002026D0"/>
    <w:rsid w:val="00202AD4"/>
    <w:rsid w:val="00202C05"/>
    <w:rsid w:val="00202CA4"/>
    <w:rsid w:val="00202D04"/>
    <w:rsid w:val="002031FD"/>
    <w:rsid w:val="0020351B"/>
    <w:rsid w:val="00203AE9"/>
    <w:rsid w:val="00203C07"/>
    <w:rsid w:val="00203C75"/>
    <w:rsid w:val="00203CCF"/>
    <w:rsid w:val="00204030"/>
    <w:rsid w:val="0020457B"/>
    <w:rsid w:val="00204874"/>
    <w:rsid w:val="00204881"/>
    <w:rsid w:val="00204AF7"/>
    <w:rsid w:val="00204B64"/>
    <w:rsid w:val="00204C1C"/>
    <w:rsid w:val="00204ED8"/>
    <w:rsid w:val="002054FB"/>
    <w:rsid w:val="00205697"/>
    <w:rsid w:val="00205ABD"/>
    <w:rsid w:val="00205FD2"/>
    <w:rsid w:val="002068DB"/>
    <w:rsid w:val="002069D3"/>
    <w:rsid w:val="00206A68"/>
    <w:rsid w:val="002075D0"/>
    <w:rsid w:val="0020764C"/>
    <w:rsid w:val="002079C3"/>
    <w:rsid w:val="00207A5C"/>
    <w:rsid w:val="00210015"/>
    <w:rsid w:val="002101B6"/>
    <w:rsid w:val="002104C2"/>
    <w:rsid w:val="00210C5B"/>
    <w:rsid w:val="00210CEF"/>
    <w:rsid w:val="00210F22"/>
    <w:rsid w:val="00211AF7"/>
    <w:rsid w:val="00211B56"/>
    <w:rsid w:val="00212252"/>
    <w:rsid w:val="002126DB"/>
    <w:rsid w:val="00212C9C"/>
    <w:rsid w:val="00212D80"/>
    <w:rsid w:val="00212FEE"/>
    <w:rsid w:val="0021313C"/>
    <w:rsid w:val="002132F1"/>
    <w:rsid w:val="0021332F"/>
    <w:rsid w:val="00213FC0"/>
    <w:rsid w:val="002142CD"/>
    <w:rsid w:val="0021445F"/>
    <w:rsid w:val="0021451D"/>
    <w:rsid w:val="00214B73"/>
    <w:rsid w:val="00214CE3"/>
    <w:rsid w:val="00214E25"/>
    <w:rsid w:val="00215042"/>
    <w:rsid w:val="002151C7"/>
    <w:rsid w:val="002152B8"/>
    <w:rsid w:val="002159C3"/>
    <w:rsid w:val="00215DC8"/>
    <w:rsid w:val="00215DFF"/>
    <w:rsid w:val="00216037"/>
    <w:rsid w:val="0021677B"/>
    <w:rsid w:val="0021680D"/>
    <w:rsid w:val="00216B39"/>
    <w:rsid w:val="00216D2C"/>
    <w:rsid w:val="00217451"/>
    <w:rsid w:val="0021765C"/>
    <w:rsid w:val="00217BCC"/>
    <w:rsid w:val="00217C69"/>
    <w:rsid w:val="002201C5"/>
    <w:rsid w:val="00220248"/>
    <w:rsid w:val="0022060B"/>
    <w:rsid w:val="00221071"/>
    <w:rsid w:val="00221206"/>
    <w:rsid w:val="0022158E"/>
    <w:rsid w:val="002215BD"/>
    <w:rsid w:val="0022171D"/>
    <w:rsid w:val="0022176F"/>
    <w:rsid w:val="00222154"/>
    <w:rsid w:val="00222842"/>
    <w:rsid w:val="00222977"/>
    <w:rsid w:val="00222AC7"/>
    <w:rsid w:val="00222ACF"/>
    <w:rsid w:val="0022334E"/>
    <w:rsid w:val="002234A6"/>
    <w:rsid w:val="002234CC"/>
    <w:rsid w:val="00223D5A"/>
    <w:rsid w:val="0022429C"/>
    <w:rsid w:val="00224542"/>
    <w:rsid w:val="0022480F"/>
    <w:rsid w:val="00224933"/>
    <w:rsid w:val="00224CEF"/>
    <w:rsid w:val="00224FD1"/>
    <w:rsid w:val="002250FC"/>
    <w:rsid w:val="0022577E"/>
    <w:rsid w:val="00225870"/>
    <w:rsid w:val="00225FBA"/>
    <w:rsid w:val="002265C8"/>
    <w:rsid w:val="002267C5"/>
    <w:rsid w:val="00226887"/>
    <w:rsid w:val="00226A21"/>
    <w:rsid w:val="00226B0F"/>
    <w:rsid w:val="00226E50"/>
    <w:rsid w:val="002278F0"/>
    <w:rsid w:val="00227B69"/>
    <w:rsid w:val="00227CF3"/>
    <w:rsid w:val="00230201"/>
    <w:rsid w:val="0023048B"/>
    <w:rsid w:val="002306A2"/>
    <w:rsid w:val="002307AE"/>
    <w:rsid w:val="00231084"/>
    <w:rsid w:val="0023124F"/>
    <w:rsid w:val="002314E5"/>
    <w:rsid w:val="00231914"/>
    <w:rsid w:val="00232074"/>
    <w:rsid w:val="002322A2"/>
    <w:rsid w:val="00232516"/>
    <w:rsid w:val="0023262C"/>
    <w:rsid w:val="0023280D"/>
    <w:rsid w:val="00233292"/>
    <w:rsid w:val="002339CC"/>
    <w:rsid w:val="00233A6A"/>
    <w:rsid w:val="00233CC7"/>
    <w:rsid w:val="00233D20"/>
    <w:rsid w:val="002340FF"/>
    <w:rsid w:val="002342FA"/>
    <w:rsid w:val="0023489E"/>
    <w:rsid w:val="00234D0D"/>
    <w:rsid w:val="00235903"/>
    <w:rsid w:val="00235DA9"/>
    <w:rsid w:val="00235F19"/>
    <w:rsid w:val="00236022"/>
    <w:rsid w:val="00236152"/>
    <w:rsid w:val="002366D8"/>
    <w:rsid w:val="00236C5C"/>
    <w:rsid w:val="00236D97"/>
    <w:rsid w:val="0023734A"/>
    <w:rsid w:val="002375D9"/>
    <w:rsid w:val="002376AD"/>
    <w:rsid w:val="002377AF"/>
    <w:rsid w:val="00240067"/>
    <w:rsid w:val="00241075"/>
    <w:rsid w:val="002411B6"/>
    <w:rsid w:val="00241507"/>
    <w:rsid w:val="002415C3"/>
    <w:rsid w:val="0024179A"/>
    <w:rsid w:val="00241852"/>
    <w:rsid w:val="00242129"/>
    <w:rsid w:val="00242A0D"/>
    <w:rsid w:val="00242E86"/>
    <w:rsid w:val="00242EC3"/>
    <w:rsid w:val="002431AA"/>
    <w:rsid w:val="0024331C"/>
    <w:rsid w:val="0024352F"/>
    <w:rsid w:val="00243C3F"/>
    <w:rsid w:val="00243EA9"/>
    <w:rsid w:val="0024410D"/>
    <w:rsid w:val="00244249"/>
    <w:rsid w:val="002447EF"/>
    <w:rsid w:val="0024489C"/>
    <w:rsid w:val="00244969"/>
    <w:rsid w:val="00244B32"/>
    <w:rsid w:val="00244D01"/>
    <w:rsid w:val="00244EBB"/>
    <w:rsid w:val="00245033"/>
    <w:rsid w:val="00245352"/>
    <w:rsid w:val="0024543E"/>
    <w:rsid w:val="002454DF"/>
    <w:rsid w:val="002455EB"/>
    <w:rsid w:val="002456DF"/>
    <w:rsid w:val="00245808"/>
    <w:rsid w:val="00245A0B"/>
    <w:rsid w:val="00245B22"/>
    <w:rsid w:val="00245C3E"/>
    <w:rsid w:val="00245FA8"/>
    <w:rsid w:val="0024645F"/>
    <w:rsid w:val="00246D1D"/>
    <w:rsid w:val="00246F1F"/>
    <w:rsid w:val="00247093"/>
    <w:rsid w:val="002471C7"/>
    <w:rsid w:val="002476B1"/>
    <w:rsid w:val="00247797"/>
    <w:rsid w:val="00247D3B"/>
    <w:rsid w:val="002507E2"/>
    <w:rsid w:val="00250A95"/>
    <w:rsid w:val="00250DA4"/>
    <w:rsid w:val="002510EB"/>
    <w:rsid w:val="002511E0"/>
    <w:rsid w:val="0025128E"/>
    <w:rsid w:val="00251703"/>
    <w:rsid w:val="00251E0D"/>
    <w:rsid w:val="00252252"/>
    <w:rsid w:val="002526EE"/>
    <w:rsid w:val="00252753"/>
    <w:rsid w:val="0025287B"/>
    <w:rsid w:val="00252A3A"/>
    <w:rsid w:val="00252D1A"/>
    <w:rsid w:val="002533F6"/>
    <w:rsid w:val="0025351D"/>
    <w:rsid w:val="0025379F"/>
    <w:rsid w:val="002537C5"/>
    <w:rsid w:val="00253F92"/>
    <w:rsid w:val="0025427C"/>
    <w:rsid w:val="00254829"/>
    <w:rsid w:val="00254B95"/>
    <w:rsid w:val="00254F54"/>
    <w:rsid w:val="00255155"/>
    <w:rsid w:val="002554F3"/>
    <w:rsid w:val="00255664"/>
    <w:rsid w:val="002557D8"/>
    <w:rsid w:val="00255A94"/>
    <w:rsid w:val="00255AB9"/>
    <w:rsid w:val="00255AD1"/>
    <w:rsid w:val="002561BE"/>
    <w:rsid w:val="0025635E"/>
    <w:rsid w:val="00256A86"/>
    <w:rsid w:val="00257054"/>
    <w:rsid w:val="002572A2"/>
    <w:rsid w:val="002572B9"/>
    <w:rsid w:val="00257587"/>
    <w:rsid w:val="002576F3"/>
    <w:rsid w:val="002577CC"/>
    <w:rsid w:val="00257A34"/>
    <w:rsid w:val="00260003"/>
    <w:rsid w:val="0026058E"/>
    <w:rsid w:val="00260AC2"/>
    <w:rsid w:val="00260C91"/>
    <w:rsid w:val="00260D3E"/>
    <w:rsid w:val="00261670"/>
    <w:rsid w:val="00262199"/>
    <w:rsid w:val="00262317"/>
    <w:rsid w:val="002628FF"/>
    <w:rsid w:val="00262AE2"/>
    <w:rsid w:val="00262B63"/>
    <w:rsid w:val="00262CE3"/>
    <w:rsid w:val="00262DAE"/>
    <w:rsid w:val="00262E9B"/>
    <w:rsid w:val="00262FFF"/>
    <w:rsid w:val="002630D5"/>
    <w:rsid w:val="00263161"/>
    <w:rsid w:val="00263212"/>
    <w:rsid w:val="0026329C"/>
    <w:rsid w:val="00263626"/>
    <w:rsid w:val="002639CA"/>
    <w:rsid w:val="00263E00"/>
    <w:rsid w:val="00263FCC"/>
    <w:rsid w:val="00264398"/>
    <w:rsid w:val="00264CD7"/>
    <w:rsid w:val="00264F40"/>
    <w:rsid w:val="00265647"/>
    <w:rsid w:val="00265FBC"/>
    <w:rsid w:val="00265FD4"/>
    <w:rsid w:val="0026604A"/>
    <w:rsid w:val="00266656"/>
    <w:rsid w:val="00266722"/>
    <w:rsid w:val="00266AB0"/>
    <w:rsid w:val="0026754D"/>
    <w:rsid w:val="00267B7F"/>
    <w:rsid w:val="00267C00"/>
    <w:rsid w:val="00267D9D"/>
    <w:rsid w:val="00267DE4"/>
    <w:rsid w:val="00267E81"/>
    <w:rsid w:val="00270222"/>
    <w:rsid w:val="0027084B"/>
    <w:rsid w:val="002709CF"/>
    <w:rsid w:val="00271220"/>
    <w:rsid w:val="00271241"/>
    <w:rsid w:val="002713CC"/>
    <w:rsid w:val="002717BF"/>
    <w:rsid w:val="002717EC"/>
    <w:rsid w:val="00271B82"/>
    <w:rsid w:val="00271BA5"/>
    <w:rsid w:val="00271C75"/>
    <w:rsid w:val="00271DE4"/>
    <w:rsid w:val="00272668"/>
    <w:rsid w:val="00272969"/>
    <w:rsid w:val="00273612"/>
    <w:rsid w:val="00273B4A"/>
    <w:rsid w:val="00273D2B"/>
    <w:rsid w:val="002748AD"/>
    <w:rsid w:val="002749A0"/>
    <w:rsid w:val="002749AC"/>
    <w:rsid w:val="00274BF9"/>
    <w:rsid w:val="00274C2C"/>
    <w:rsid w:val="00274CDA"/>
    <w:rsid w:val="00274E02"/>
    <w:rsid w:val="002750F0"/>
    <w:rsid w:val="0027517F"/>
    <w:rsid w:val="00275665"/>
    <w:rsid w:val="00275BEC"/>
    <w:rsid w:val="00275F3F"/>
    <w:rsid w:val="00275F7A"/>
    <w:rsid w:val="00276372"/>
    <w:rsid w:val="002763E1"/>
    <w:rsid w:val="00276CD3"/>
    <w:rsid w:val="002774FE"/>
    <w:rsid w:val="00277643"/>
    <w:rsid w:val="0027770D"/>
    <w:rsid w:val="00277978"/>
    <w:rsid w:val="00277C9D"/>
    <w:rsid w:val="002801A0"/>
    <w:rsid w:val="002801DD"/>
    <w:rsid w:val="002804E6"/>
    <w:rsid w:val="00280622"/>
    <w:rsid w:val="0028062D"/>
    <w:rsid w:val="00280FE4"/>
    <w:rsid w:val="0028118D"/>
    <w:rsid w:val="0028162C"/>
    <w:rsid w:val="002819CA"/>
    <w:rsid w:val="00281FBB"/>
    <w:rsid w:val="00281FE4"/>
    <w:rsid w:val="002828E9"/>
    <w:rsid w:val="00282CD0"/>
    <w:rsid w:val="00283442"/>
    <w:rsid w:val="00283A21"/>
    <w:rsid w:val="00283A42"/>
    <w:rsid w:val="00283AEA"/>
    <w:rsid w:val="00283C13"/>
    <w:rsid w:val="00283F42"/>
    <w:rsid w:val="00284067"/>
    <w:rsid w:val="002840C9"/>
    <w:rsid w:val="00284A7D"/>
    <w:rsid w:val="00284AA2"/>
    <w:rsid w:val="002854F3"/>
    <w:rsid w:val="002855F2"/>
    <w:rsid w:val="00285794"/>
    <w:rsid w:val="00285B85"/>
    <w:rsid w:val="0028635E"/>
    <w:rsid w:val="002867B1"/>
    <w:rsid w:val="00286883"/>
    <w:rsid w:val="00286E19"/>
    <w:rsid w:val="00286E56"/>
    <w:rsid w:val="00286F73"/>
    <w:rsid w:val="00286FD3"/>
    <w:rsid w:val="002873FA"/>
    <w:rsid w:val="00287584"/>
    <w:rsid w:val="002876FC"/>
    <w:rsid w:val="0029034B"/>
    <w:rsid w:val="002903E4"/>
    <w:rsid w:val="00290873"/>
    <w:rsid w:val="00290957"/>
    <w:rsid w:val="00291119"/>
    <w:rsid w:val="00291127"/>
    <w:rsid w:val="00291B31"/>
    <w:rsid w:val="00291F0D"/>
    <w:rsid w:val="002922AC"/>
    <w:rsid w:val="00292457"/>
    <w:rsid w:val="00292923"/>
    <w:rsid w:val="00292D9A"/>
    <w:rsid w:val="00292DFB"/>
    <w:rsid w:val="00292FAF"/>
    <w:rsid w:val="00293214"/>
    <w:rsid w:val="00293433"/>
    <w:rsid w:val="0029363F"/>
    <w:rsid w:val="002936C7"/>
    <w:rsid w:val="002939F2"/>
    <w:rsid w:val="00293EF4"/>
    <w:rsid w:val="0029400E"/>
    <w:rsid w:val="0029422E"/>
    <w:rsid w:val="00294AF4"/>
    <w:rsid w:val="00294C0A"/>
    <w:rsid w:val="00294E76"/>
    <w:rsid w:val="00294EC0"/>
    <w:rsid w:val="002951D9"/>
    <w:rsid w:val="0029585B"/>
    <w:rsid w:val="00295BA5"/>
    <w:rsid w:val="00295DF2"/>
    <w:rsid w:val="00295FB4"/>
    <w:rsid w:val="00296029"/>
    <w:rsid w:val="002964F2"/>
    <w:rsid w:val="002966B6"/>
    <w:rsid w:val="00296B6B"/>
    <w:rsid w:val="00296ED2"/>
    <w:rsid w:val="00296F93"/>
    <w:rsid w:val="00297895"/>
    <w:rsid w:val="00297A9B"/>
    <w:rsid w:val="002A0013"/>
    <w:rsid w:val="002A053B"/>
    <w:rsid w:val="002A0ACD"/>
    <w:rsid w:val="002A110C"/>
    <w:rsid w:val="002A1ABC"/>
    <w:rsid w:val="002A1CB4"/>
    <w:rsid w:val="002A1F2E"/>
    <w:rsid w:val="002A21A9"/>
    <w:rsid w:val="002A2A30"/>
    <w:rsid w:val="002A2E30"/>
    <w:rsid w:val="002A30E4"/>
    <w:rsid w:val="002A31CB"/>
    <w:rsid w:val="002A364E"/>
    <w:rsid w:val="002A3674"/>
    <w:rsid w:val="002A3D35"/>
    <w:rsid w:val="002A40BD"/>
    <w:rsid w:val="002A40E2"/>
    <w:rsid w:val="002A4206"/>
    <w:rsid w:val="002A42AB"/>
    <w:rsid w:val="002A45D8"/>
    <w:rsid w:val="002A467F"/>
    <w:rsid w:val="002A47A0"/>
    <w:rsid w:val="002A4C1E"/>
    <w:rsid w:val="002A4CDF"/>
    <w:rsid w:val="002A4D4A"/>
    <w:rsid w:val="002A5112"/>
    <w:rsid w:val="002A5589"/>
    <w:rsid w:val="002A59F8"/>
    <w:rsid w:val="002A5C45"/>
    <w:rsid w:val="002A6617"/>
    <w:rsid w:val="002A6D51"/>
    <w:rsid w:val="002A6E32"/>
    <w:rsid w:val="002A70C3"/>
    <w:rsid w:val="002A713B"/>
    <w:rsid w:val="002A7474"/>
    <w:rsid w:val="002A788C"/>
    <w:rsid w:val="002A7ADD"/>
    <w:rsid w:val="002A7C83"/>
    <w:rsid w:val="002A7F03"/>
    <w:rsid w:val="002B018C"/>
    <w:rsid w:val="002B0511"/>
    <w:rsid w:val="002B073D"/>
    <w:rsid w:val="002B07E0"/>
    <w:rsid w:val="002B0875"/>
    <w:rsid w:val="002B1177"/>
    <w:rsid w:val="002B1245"/>
    <w:rsid w:val="002B12C4"/>
    <w:rsid w:val="002B16CA"/>
    <w:rsid w:val="002B1877"/>
    <w:rsid w:val="002B189F"/>
    <w:rsid w:val="002B18C8"/>
    <w:rsid w:val="002B1B37"/>
    <w:rsid w:val="002B1B51"/>
    <w:rsid w:val="002B1CFA"/>
    <w:rsid w:val="002B1EC4"/>
    <w:rsid w:val="002B1F83"/>
    <w:rsid w:val="002B2452"/>
    <w:rsid w:val="002B2BDC"/>
    <w:rsid w:val="002B2E7C"/>
    <w:rsid w:val="002B33E7"/>
    <w:rsid w:val="002B3B66"/>
    <w:rsid w:val="002B3E88"/>
    <w:rsid w:val="002B3FE8"/>
    <w:rsid w:val="002B41F2"/>
    <w:rsid w:val="002B4244"/>
    <w:rsid w:val="002B4332"/>
    <w:rsid w:val="002B437E"/>
    <w:rsid w:val="002B4460"/>
    <w:rsid w:val="002B4D62"/>
    <w:rsid w:val="002B4D9E"/>
    <w:rsid w:val="002B4F1D"/>
    <w:rsid w:val="002B4F2E"/>
    <w:rsid w:val="002B5107"/>
    <w:rsid w:val="002B597F"/>
    <w:rsid w:val="002B5F03"/>
    <w:rsid w:val="002B6279"/>
    <w:rsid w:val="002B6504"/>
    <w:rsid w:val="002B6737"/>
    <w:rsid w:val="002B6925"/>
    <w:rsid w:val="002B692C"/>
    <w:rsid w:val="002B7207"/>
    <w:rsid w:val="002B7558"/>
    <w:rsid w:val="002B78BD"/>
    <w:rsid w:val="002B7F31"/>
    <w:rsid w:val="002C0461"/>
    <w:rsid w:val="002C04F2"/>
    <w:rsid w:val="002C06F2"/>
    <w:rsid w:val="002C1501"/>
    <w:rsid w:val="002C16AE"/>
    <w:rsid w:val="002C17E9"/>
    <w:rsid w:val="002C1861"/>
    <w:rsid w:val="002C1D66"/>
    <w:rsid w:val="002C2261"/>
    <w:rsid w:val="002C24F7"/>
    <w:rsid w:val="002C259F"/>
    <w:rsid w:val="002C2A3B"/>
    <w:rsid w:val="002C2AF6"/>
    <w:rsid w:val="002C2F17"/>
    <w:rsid w:val="002C308F"/>
    <w:rsid w:val="002C3C5F"/>
    <w:rsid w:val="002C408E"/>
    <w:rsid w:val="002C4192"/>
    <w:rsid w:val="002C41BF"/>
    <w:rsid w:val="002C469E"/>
    <w:rsid w:val="002C46B2"/>
    <w:rsid w:val="002C4B45"/>
    <w:rsid w:val="002C4D1D"/>
    <w:rsid w:val="002C50D4"/>
    <w:rsid w:val="002C5560"/>
    <w:rsid w:val="002C5A8D"/>
    <w:rsid w:val="002C5B9A"/>
    <w:rsid w:val="002C601F"/>
    <w:rsid w:val="002C64CD"/>
    <w:rsid w:val="002C6FF8"/>
    <w:rsid w:val="002C709D"/>
    <w:rsid w:val="002C72D7"/>
    <w:rsid w:val="002C74A2"/>
    <w:rsid w:val="002C7B1E"/>
    <w:rsid w:val="002C7D88"/>
    <w:rsid w:val="002C7E07"/>
    <w:rsid w:val="002C7E53"/>
    <w:rsid w:val="002C7E9E"/>
    <w:rsid w:val="002C7FCC"/>
    <w:rsid w:val="002D07F9"/>
    <w:rsid w:val="002D0885"/>
    <w:rsid w:val="002D0A55"/>
    <w:rsid w:val="002D0F35"/>
    <w:rsid w:val="002D12AD"/>
    <w:rsid w:val="002D1A89"/>
    <w:rsid w:val="002D1BF8"/>
    <w:rsid w:val="002D1C15"/>
    <w:rsid w:val="002D2259"/>
    <w:rsid w:val="002D2491"/>
    <w:rsid w:val="002D24DC"/>
    <w:rsid w:val="002D259B"/>
    <w:rsid w:val="002D2682"/>
    <w:rsid w:val="002D2AF6"/>
    <w:rsid w:val="002D2BF0"/>
    <w:rsid w:val="002D3047"/>
    <w:rsid w:val="002D3B36"/>
    <w:rsid w:val="002D40B0"/>
    <w:rsid w:val="002D43B3"/>
    <w:rsid w:val="002D442A"/>
    <w:rsid w:val="002D44A4"/>
    <w:rsid w:val="002D457C"/>
    <w:rsid w:val="002D4660"/>
    <w:rsid w:val="002D476E"/>
    <w:rsid w:val="002D4921"/>
    <w:rsid w:val="002D49B7"/>
    <w:rsid w:val="002D4FE1"/>
    <w:rsid w:val="002D5099"/>
    <w:rsid w:val="002D5134"/>
    <w:rsid w:val="002D5590"/>
    <w:rsid w:val="002D5967"/>
    <w:rsid w:val="002D5AE7"/>
    <w:rsid w:val="002D615A"/>
    <w:rsid w:val="002D62B2"/>
    <w:rsid w:val="002D6646"/>
    <w:rsid w:val="002D667A"/>
    <w:rsid w:val="002D6B39"/>
    <w:rsid w:val="002D726E"/>
    <w:rsid w:val="002D7501"/>
    <w:rsid w:val="002D757C"/>
    <w:rsid w:val="002D784C"/>
    <w:rsid w:val="002E0297"/>
    <w:rsid w:val="002E06B6"/>
    <w:rsid w:val="002E06DA"/>
    <w:rsid w:val="002E117E"/>
    <w:rsid w:val="002E126A"/>
    <w:rsid w:val="002E1374"/>
    <w:rsid w:val="002E198F"/>
    <w:rsid w:val="002E1CDE"/>
    <w:rsid w:val="002E1F0F"/>
    <w:rsid w:val="002E2241"/>
    <w:rsid w:val="002E2351"/>
    <w:rsid w:val="002E2496"/>
    <w:rsid w:val="002E267B"/>
    <w:rsid w:val="002E29DE"/>
    <w:rsid w:val="002E30E8"/>
    <w:rsid w:val="002E3150"/>
    <w:rsid w:val="002E31D3"/>
    <w:rsid w:val="002E34B1"/>
    <w:rsid w:val="002E35EB"/>
    <w:rsid w:val="002E37B2"/>
    <w:rsid w:val="002E388F"/>
    <w:rsid w:val="002E3B39"/>
    <w:rsid w:val="002E4611"/>
    <w:rsid w:val="002E5F7E"/>
    <w:rsid w:val="002E5F8E"/>
    <w:rsid w:val="002E680B"/>
    <w:rsid w:val="002E682A"/>
    <w:rsid w:val="002E6870"/>
    <w:rsid w:val="002E699C"/>
    <w:rsid w:val="002E6C83"/>
    <w:rsid w:val="002E6FFC"/>
    <w:rsid w:val="002E75B7"/>
    <w:rsid w:val="002E7966"/>
    <w:rsid w:val="002E7B12"/>
    <w:rsid w:val="002E7C75"/>
    <w:rsid w:val="002E7E08"/>
    <w:rsid w:val="002E7EB4"/>
    <w:rsid w:val="002E7FEE"/>
    <w:rsid w:val="002F0187"/>
    <w:rsid w:val="002F029F"/>
    <w:rsid w:val="002F0CB1"/>
    <w:rsid w:val="002F0DC0"/>
    <w:rsid w:val="002F118B"/>
    <w:rsid w:val="002F11F1"/>
    <w:rsid w:val="002F1A01"/>
    <w:rsid w:val="002F1B5C"/>
    <w:rsid w:val="002F1CCE"/>
    <w:rsid w:val="002F1D3E"/>
    <w:rsid w:val="002F1F06"/>
    <w:rsid w:val="002F22FF"/>
    <w:rsid w:val="002F25B9"/>
    <w:rsid w:val="002F2BD8"/>
    <w:rsid w:val="002F31CA"/>
    <w:rsid w:val="002F3486"/>
    <w:rsid w:val="002F3A22"/>
    <w:rsid w:val="002F3B07"/>
    <w:rsid w:val="002F3E03"/>
    <w:rsid w:val="002F3E86"/>
    <w:rsid w:val="002F4129"/>
    <w:rsid w:val="002F414F"/>
    <w:rsid w:val="002F4C8B"/>
    <w:rsid w:val="002F50AA"/>
    <w:rsid w:val="002F5432"/>
    <w:rsid w:val="002F5482"/>
    <w:rsid w:val="002F55A5"/>
    <w:rsid w:val="002F585E"/>
    <w:rsid w:val="002F5DA5"/>
    <w:rsid w:val="002F612F"/>
    <w:rsid w:val="002F66A3"/>
    <w:rsid w:val="002F672A"/>
    <w:rsid w:val="002F68FB"/>
    <w:rsid w:val="002F6971"/>
    <w:rsid w:val="002F6E05"/>
    <w:rsid w:val="002F6F2A"/>
    <w:rsid w:val="002F776B"/>
    <w:rsid w:val="00300243"/>
    <w:rsid w:val="003004B4"/>
    <w:rsid w:val="0030140B"/>
    <w:rsid w:val="00301898"/>
    <w:rsid w:val="00301A05"/>
    <w:rsid w:val="00301A32"/>
    <w:rsid w:val="00301BFC"/>
    <w:rsid w:val="00301C64"/>
    <w:rsid w:val="00302124"/>
    <w:rsid w:val="0030224A"/>
    <w:rsid w:val="00302398"/>
    <w:rsid w:val="0030244B"/>
    <w:rsid w:val="0030255B"/>
    <w:rsid w:val="00302580"/>
    <w:rsid w:val="00302AF5"/>
    <w:rsid w:val="00302BF5"/>
    <w:rsid w:val="00302F51"/>
    <w:rsid w:val="00303019"/>
    <w:rsid w:val="003031A3"/>
    <w:rsid w:val="00303254"/>
    <w:rsid w:val="00303600"/>
    <w:rsid w:val="00303880"/>
    <w:rsid w:val="00303E09"/>
    <w:rsid w:val="00304057"/>
    <w:rsid w:val="00304349"/>
    <w:rsid w:val="0030434F"/>
    <w:rsid w:val="0030445D"/>
    <w:rsid w:val="003050D7"/>
    <w:rsid w:val="0030568D"/>
    <w:rsid w:val="0030580A"/>
    <w:rsid w:val="00305D15"/>
    <w:rsid w:val="00305ED0"/>
    <w:rsid w:val="00305F46"/>
    <w:rsid w:val="00305F79"/>
    <w:rsid w:val="00306650"/>
    <w:rsid w:val="003066E0"/>
    <w:rsid w:val="003068B0"/>
    <w:rsid w:val="003068B4"/>
    <w:rsid w:val="00306C95"/>
    <w:rsid w:val="00306EA7"/>
    <w:rsid w:val="00307387"/>
    <w:rsid w:val="003079CD"/>
    <w:rsid w:val="00307F77"/>
    <w:rsid w:val="003102FD"/>
    <w:rsid w:val="0031034C"/>
    <w:rsid w:val="003104C4"/>
    <w:rsid w:val="0031058A"/>
    <w:rsid w:val="00310959"/>
    <w:rsid w:val="00310BFE"/>
    <w:rsid w:val="00310D61"/>
    <w:rsid w:val="00310E37"/>
    <w:rsid w:val="00310FFF"/>
    <w:rsid w:val="003110D6"/>
    <w:rsid w:val="0031111E"/>
    <w:rsid w:val="00311793"/>
    <w:rsid w:val="00311BB5"/>
    <w:rsid w:val="00311C21"/>
    <w:rsid w:val="0031210D"/>
    <w:rsid w:val="00312997"/>
    <w:rsid w:val="003129B1"/>
    <w:rsid w:val="00312A4C"/>
    <w:rsid w:val="00312B1D"/>
    <w:rsid w:val="00312BA0"/>
    <w:rsid w:val="0031340E"/>
    <w:rsid w:val="003134E5"/>
    <w:rsid w:val="00313C07"/>
    <w:rsid w:val="0031437A"/>
    <w:rsid w:val="0031449E"/>
    <w:rsid w:val="0031450F"/>
    <w:rsid w:val="003145AA"/>
    <w:rsid w:val="003148CA"/>
    <w:rsid w:val="00314945"/>
    <w:rsid w:val="0031497F"/>
    <w:rsid w:val="00314DC4"/>
    <w:rsid w:val="00314EE6"/>
    <w:rsid w:val="00315188"/>
    <w:rsid w:val="0031547F"/>
    <w:rsid w:val="00315888"/>
    <w:rsid w:val="00315A59"/>
    <w:rsid w:val="0031606C"/>
    <w:rsid w:val="0031609B"/>
    <w:rsid w:val="003165C1"/>
    <w:rsid w:val="00316D53"/>
    <w:rsid w:val="00317A27"/>
    <w:rsid w:val="00317C4D"/>
    <w:rsid w:val="0032010F"/>
    <w:rsid w:val="00320133"/>
    <w:rsid w:val="00320423"/>
    <w:rsid w:val="00320CF0"/>
    <w:rsid w:val="00321334"/>
    <w:rsid w:val="00321365"/>
    <w:rsid w:val="003216FB"/>
    <w:rsid w:val="003217AD"/>
    <w:rsid w:val="0032185D"/>
    <w:rsid w:val="003218ED"/>
    <w:rsid w:val="00321980"/>
    <w:rsid w:val="00321C25"/>
    <w:rsid w:val="003220EA"/>
    <w:rsid w:val="00322B3E"/>
    <w:rsid w:val="00322C7D"/>
    <w:rsid w:val="00322D7D"/>
    <w:rsid w:val="00322E29"/>
    <w:rsid w:val="0032389F"/>
    <w:rsid w:val="00323E28"/>
    <w:rsid w:val="003242EC"/>
    <w:rsid w:val="003251C0"/>
    <w:rsid w:val="003253BD"/>
    <w:rsid w:val="00325685"/>
    <w:rsid w:val="00325862"/>
    <w:rsid w:val="00325919"/>
    <w:rsid w:val="00326110"/>
    <w:rsid w:val="00326717"/>
    <w:rsid w:val="0032676E"/>
    <w:rsid w:val="00326888"/>
    <w:rsid w:val="00326B22"/>
    <w:rsid w:val="00326C89"/>
    <w:rsid w:val="00326DBE"/>
    <w:rsid w:val="00326FFD"/>
    <w:rsid w:val="00327080"/>
    <w:rsid w:val="0032756C"/>
    <w:rsid w:val="00327B76"/>
    <w:rsid w:val="00327D06"/>
    <w:rsid w:val="00330143"/>
    <w:rsid w:val="003302BA"/>
    <w:rsid w:val="0033036C"/>
    <w:rsid w:val="00330485"/>
    <w:rsid w:val="00330D6A"/>
    <w:rsid w:val="00330D8A"/>
    <w:rsid w:val="003311BD"/>
    <w:rsid w:val="00331BE5"/>
    <w:rsid w:val="00331C0B"/>
    <w:rsid w:val="00331CFE"/>
    <w:rsid w:val="0033217A"/>
    <w:rsid w:val="003323C8"/>
    <w:rsid w:val="003323CF"/>
    <w:rsid w:val="0033244D"/>
    <w:rsid w:val="00332528"/>
    <w:rsid w:val="00332622"/>
    <w:rsid w:val="0033294B"/>
    <w:rsid w:val="00332B77"/>
    <w:rsid w:val="00332C6E"/>
    <w:rsid w:val="00332CE4"/>
    <w:rsid w:val="003332A2"/>
    <w:rsid w:val="0033339B"/>
    <w:rsid w:val="003333F6"/>
    <w:rsid w:val="00333736"/>
    <w:rsid w:val="003339C5"/>
    <w:rsid w:val="003339FE"/>
    <w:rsid w:val="00333D45"/>
    <w:rsid w:val="00334474"/>
    <w:rsid w:val="00334693"/>
    <w:rsid w:val="00334993"/>
    <w:rsid w:val="00334C62"/>
    <w:rsid w:val="00334E45"/>
    <w:rsid w:val="00334FB6"/>
    <w:rsid w:val="00335FD6"/>
    <w:rsid w:val="00336160"/>
    <w:rsid w:val="00336369"/>
    <w:rsid w:val="00336490"/>
    <w:rsid w:val="0033673E"/>
    <w:rsid w:val="00336DC7"/>
    <w:rsid w:val="003370B9"/>
    <w:rsid w:val="003374CA"/>
    <w:rsid w:val="003377CB"/>
    <w:rsid w:val="00340181"/>
    <w:rsid w:val="003401A8"/>
    <w:rsid w:val="00340366"/>
    <w:rsid w:val="00340E7D"/>
    <w:rsid w:val="00340F1A"/>
    <w:rsid w:val="00341118"/>
    <w:rsid w:val="0034165F"/>
    <w:rsid w:val="003419DA"/>
    <w:rsid w:val="003419F5"/>
    <w:rsid w:val="00341A30"/>
    <w:rsid w:val="00341E51"/>
    <w:rsid w:val="0034205D"/>
    <w:rsid w:val="0034236B"/>
    <w:rsid w:val="00342B25"/>
    <w:rsid w:val="00342C3A"/>
    <w:rsid w:val="00342CFA"/>
    <w:rsid w:val="00342D91"/>
    <w:rsid w:val="003432C5"/>
    <w:rsid w:val="003434D1"/>
    <w:rsid w:val="003435A9"/>
    <w:rsid w:val="003437C6"/>
    <w:rsid w:val="00343B06"/>
    <w:rsid w:val="00343FD5"/>
    <w:rsid w:val="0034424E"/>
    <w:rsid w:val="003443AB"/>
    <w:rsid w:val="00344564"/>
    <w:rsid w:val="0034460E"/>
    <w:rsid w:val="00344855"/>
    <w:rsid w:val="00344973"/>
    <w:rsid w:val="00345414"/>
    <w:rsid w:val="003455B6"/>
    <w:rsid w:val="00345618"/>
    <w:rsid w:val="00345711"/>
    <w:rsid w:val="00345722"/>
    <w:rsid w:val="00345A52"/>
    <w:rsid w:val="00345AAF"/>
    <w:rsid w:val="00345B18"/>
    <w:rsid w:val="0034611A"/>
    <w:rsid w:val="003461A3"/>
    <w:rsid w:val="003466EE"/>
    <w:rsid w:val="003466FD"/>
    <w:rsid w:val="003468C0"/>
    <w:rsid w:val="00346C30"/>
    <w:rsid w:val="00346D11"/>
    <w:rsid w:val="00346EA4"/>
    <w:rsid w:val="00346ECA"/>
    <w:rsid w:val="00347176"/>
    <w:rsid w:val="00347207"/>
    <w:rsid w:val="00347234"/>
    <w:rsid w:val="00347642"/>
    <w:rsid w:val="00347AF6"/>
    <w:rsid w:val="00347B7B"/>
    <w:rsid w:val="00347CB4"/>
    <w:rsid w:val="00347D0F"/>
    <w:rsid w:val="00350295"/>
    <w:rsid w:val="003507DA"/>
    <w:rsid w:val="00350A0C"/>
    <w:rsid w:val="00350A55"/>
    <w:rsid w:val="00350DE0"/>
    <w:rsid w:val="003512B4"/>
    <w:rsid w:val="0035138F"/>
    <w:rsid w:val="003513E9"/>
    <w:rsid w:val="0035152D"/>
    <w:rsid w:val="00351BAE"/>
    <w:rsid w:val="00351F87"/>
    <w:rsid w:val="003526ED"/>
    <w:rsid w:val="00352B72"/>
    <w:rsid w:val="003534E5"/>
    <w:rsid w:val="0035359E"/>
    <w:rsid w:val="0035380C"/>
    <w:rsid w:val="003538A2"/>
    <w:rsid w:val="00353D2F"/>
    <w:rsid w:val="0035417B"/>
    <w:rsid w:val="00354285"/>
    <w:rsid w:val="00354592"/>
    <w:rsid w:val="00354E30"/>
    <w:rsid w:val="00354F6F"/>
    <w:rsid w:val="00355100"/>
    <w:rsid w:val="0035564E"/>
    <w:rsid w:val="00355A8D"/>
    <w:rsid w:val="00356230"/>
    <w:rsid w:val="00356513"/>
    <w:rsid w:val="00356561"/>
    <w:rsid w:val="003565DC"/>
    <w:rsid w:val="003565FC"/>
    <w:rsid w:val="0035684E"/>
    <w:rsid w:val="00357205"/>
    <w:rsid w:val="00357244"/>
    <w:rsid w:val="00357775"/>
    <w:rsid w:val="00357BF6"/>
    <w:rsid w:val="00357C22"/>
    <w:rsid w:val="00357CB4"/>
    <w:rsid w:val="00357D3B"/>
    <w:rsid w:val="00357DCF"/>
    <w:rsid w:val="0036057D"/>
    <w:rsid w:val="00360725"/>
    <w:rsid w:val="00360CCA"/>
    <w:rsid w:val="0036138C"/>
    <w:rsid w:val="00361488"/>
    <w:rsid w:val="003617E8"/>
    <w:rsid w:val="00361BD9"/>
    <w:rsid w:val="00361E64"/>
    <w:rsid w:val="003622EE"/>
    <w:rsid w:val="00362758"/>
    <w:rsid w:val="00362A74"/>
    <w:rsid w:val="00362C8E"/>
    <w:rsid w:val="00362D34"/>
    <w:rsid w:val="00363480"/>
    <w:rsid w:val="00363BB0"/>
    <w:rsid w:val="00363DF3"/>
    <w:rsid w:val="00364910"/>
    <w:rsid w:val="00364AB9"/>
    <w:rsid w:val="003653A7"/>
    <w:rsid w:val="00365A17"/>
    <w:rsid w:val="00365C0F"/>
    <w:rsid w:val="00365E96"/>
    <w:rsid w:val="00365EB2"/>
    <w:rsid w:val="00366357"/>
    <w:rsid w:val="003669C6"/>
    <w:rsid w:val="00366BAA"/>
    <w:rsid w:val="00366EDB"/>
    <w:rsid w:val="00367418"/>
    <w:rsid w:val="003674B9"/>
    <w:rsid w:val="00367535"/>
    <w:rsid w:val="00367556"/>
    <w:rsid w:val="00367B17"/>
    <w:rsid w:val="00370517"/>
    <w:rsid w:val="003707E3"/>
    <w:rsid w:val="00370C17"/>
    <w:rsid w:val="003712AB"/>
    <w:rsid w:val="00371661"/>
    <w:rsid w:val="00371997"/>
    <w:rsid w:val="00371EB6"/>
    <w:rsid w:val="00372CEC"/>
    <w:rsid w:val="00372ED5"/>
    <w:rsid w:val="003734BA"/>
    <w:rsid w:val="00373D44"/>
    <w:rsid w:val="00374278"/>
    <w:rsid w:val="003742D3"/>
    <w:rsid w:val="003743FE"/>
    <w:rsid w:val="003748C4"/>
    <w:rsid w:val="00374AE7"/>
    <w:rsid w:val="0037520A"/>
    <w:rsid w:val="00375212"/>
    <w:rsid w:val="003758D3"/>
    <w:rsid w:val="00375B40"/>
    <w:rsid w:val="00375E0D"/>
    <w:rsid w:val="003760F3"/>
    <w:rsid w:val="00376EBC"/>
    <w:rsid w:val="00376F60"/>
    <w:rsid w:val="00377369"/>
    <w:rsid w:val="00377C34"/>
    <w:rsid w:val="00380037"/>
    <w:rsid w:val="00380540"/>
    <w:rsid w:val="00380B7D"/>
    <w:rsid w:val="00380C82"/>
    <w:rsid w:val="00381018"/>
    <w:rsid w:val="00381123"/>
    <w:rsid w:val="00381798"/>
    <w:rsid w:val="00381D71"/>
    <w:rsid w:val="00381E54"/>
    <w:rsid w:val="00381F93"/>
    <w:rsid w:val="00381F9E"/>
    <w:rsid w:val="00382236"/>
    <w:rsid w:val="00382777"/>
    <w:rsid w:val="00382784"/>
    <w:rsid w:val="003828FB"/>
    <w:rsid w:val="00382944"/>
    <w:rsid w:val="00382A01"/>
    <w:rsid w:val="00382A2F"/>
    <w:rsid w:val="00382D58"/>
    <w:rsid w:val="0038383A"/>
    <w:rsid w:val="00383A65"/>
    <w:rsid w:val="00383DB4"/>
    <w:rsid w:val="00383FC6"/>
    <w:rsid w:val="00383FD0"/>
    <w:rsid w:val="003847D3"/>
    <w:rsid w:val="0038485A"/>
    <w:rsid w:val="003850BC"/>
    <w:rsid w:val="003851D3"/>
    <w:rsid w:val="0038525E"/>
    <w:rsid w:val="00385B84"/>
    <w:rsid w:val="0038612F"/>
    <w:rsid w:val="00386155"/>
    <w:rsid w:val="0038665A"/>
    <w:rsid w:val="00386AC3"/>
    <w:rsid w:val="0038702B"/>
    <w:rsid w:val="003875AD"/>
    <w:rsid w:val="00387645"/>
    <w:rsid w:val="00387831"/>
    <w:rsid w:val="00387B7F"/>
    <w:rsid w:val="00387CFE"/>
    <w:rsid w:val="00387F6C"/>
    <w:rsid w:val="003904D4"/>
    <w:rsid w:val="00390668"/>
    <w:rsid w:val="0039070F"/>
    <w:rsid w:val="00390A61"/>
    <w:rsid w:val="00390FD2"/>
    <w:rsid w:val="0039158E"/>
    <w:rsid w:val="0039176D"/>
    <w:rsid w:val="0039197B"/>
    <w:rsid w:val="00391A45"/>
    <w:rsid w:val="00391AD7"/>
    <w:rsid w:val="0039256C"/>
    <w:rsid w:val="00392637"/>
    <w:rsid w:val="0039264D"/>
    <w:rsid w:val="003929F9"/>
    <w:rsid w:val="00392A76"/>
    <w:rsid w:val="00392FBD"/>
    <w:rsid w:val="003933E4"/>
    <w:rsid w:val="003935B0"/>
    <w:rsid w:val="00393AE0"/>
    <w:rsid w:val="00394274"/>
    <w:rsid w:val="00394CBF"/>
    <w:rsid w:val="00394D34"/>
    <w:rsid w:val="00395F8B"/>
    <w:rsid w:val="00396AE2"/>
    <w:rsid w:val="00396BCF"/>
    <w:rsid w:val="00396E49"/>
    <w:rsid w:val="00396E71"/>
    <w:rsid w:val="00396EAD"/>
    <w:rsid w:val="00396F00"/>
    <w:rsid w:val="00396F06"/>
    <w:rsid w:val="003971CB"/>
    <w:rsid w:val="00397896"/>
    <w:rsid w:val="0039793C"/>
    <w:rsid w:val="00397ED7"/>
    <w:rsid w:val="003A00BC"/>
    <w:rsid w:val="003A0155"/>
    <w:rsid w:val="003A020B"/>
    <w:rsid w:val="003A031A"/>
    <w:rsid w:val="003A0516"/>
    <w:rsid w:val="003A06CD"/>
    <w:rsid w:val="003A0982"/>
    <w:rsid w:val="003A0D6E"/>
    <w:rsid w:val="003A0F3B"/>
    <w:rsid w:val="003A0FD3"/>
    <w:rsid w:val="003A0FF3"/>
    <w:rsid w:val="003A10C0"/>
    <w:rsid w:val="003A12A8"/>
    <w:rsid w:val="003A1349"/>
    <w:rsid w:val="003A14A6"/>
    <w:rsid w:val="003A1672"/>
    <w:rsid w:val="003A16BB"/>
    <w:rsid w:val="003A1C2C"/>
    <w:rsid w:val="003A2591"/>
    <w:rsid w:val="003A265B"/>
    <w:rsid w:val="003A27EC"/>
    <w:rsid w:val="003A2D03"/>
    <w:rsid w:val="003A2F91"/>
    <w:rsid w:val="003A2FD5"/>
    <w:rsid w:val="003A32B4"/>
    <w:rsid w:val="003A3604"/>
    <w:rsid w:val="003A3C70"/>
    <w:rsid w:val="003A3DD6"/>
    <w:rsid w:val="003A3DF5"/>
    <w:rsid w:val="003A3EE6"/>
    <w:rsid w:val="003A3F84"/>
    <w:rsid w:val="003A4464"/>
    <w:rsid w:val="003A452C"/>
    <w:rsid w:val="003A4669"/>
    <w:rsid w:val="003A4E9A"/>
    <w:rsid w:val="003A5471"/>
    <w:rsid w:val="003A5511"/>
    <w:rsid w:val="003A560D"/>
    <w:rsid w:val="003A587E"/>
    <w:rsid w:val="003A5B33"/>
    <w:rsid w:val="003A6382"/>
    <w:rsid w:val="003A638E"/>
    <w:rsid w:val="003A6449"/>
    <w:rsid w:val="003A667B"/>
    <w:rsid w:val="003A6A07"/>
    <w:rsid w:val="003A6D2D"/>
    <w:rsid w:val="003A6DF1"/>
    <w:rsid w:val="003A7376"/>
    <w:rsid w:val="003A749D"/>
    <w:rsid w:val="003A7644"/>
    <w:rsid w:val="003A7882"/>
    <w:rsid w:val="003A79B0"/>
    <w:rsid w:val="003A7B73"/>
    <w:rsid w:val="003B012B"/>
    <w:rsid w:val="003B0589"/>
    <w:rsid w:val="003B062D"/>
    <w:rsid w:val="003B0774"/>
    <w:rsid w:val="003B0A29"/>
    <w:rsid w:val="003B0C89"/>
    <w:rsid w:val="003B1187"/>
    <w:rsid w:val="003B14D8"/>
    <w:rsid w:val="003B16A1"/>
    <w:rsid w:val="003B16C7"/>
    <w:rsid w:val="003B1716"/>
    <w:rsid w:val="003B1826"/>
    <w:rsid w:val="003B1AC4"/>
    <w:rsid w:val="003B1D0A"/>
    <w:rsid w:val="003B25DC"/>
    <w:rsid w:val="003B2971"/>
    <w:rsid w:val="003B34F6"/>
    <w:rsid w:val="003B38D8"/>
    <w:rsid w:val="003B393E"/>
    <w:rsid w:val="003B3A8E"/>
    <w:rsid w:val="003B3AB4"/>
    <w:rsid w:val="003B445C"/>
    <w:rsid w:val="003B4A19"/>
    <w:rsid w:val="003B4B21"/>
    <w:rsid w:val="003B4F51"/>
    <w:rsid w:val="003B4FA5"/>
    <w:rsid w:val="003B528D"/>
    <w:rsid w:val="003B5A44"/>
    <w:rsid w:val="003B5CDB"/>
    <w:rsid w:val="003B616B"/>
    <w:rsid w:val="003B632A"/>
    <w:rsid w:val="003B6836"/>
    <w:rsid w:val="003B6938"/>
    <w:rsid w:val="003B6C39"/>
    <w:rsid w:val="003B72C7"/>
    <w:rsid w:val="003B736C"/>
    <w:rsid w:val="003B7460"/>
    <w:rsid w:val="003B782A"/>
    <w:rsid w:val="003B7A77"/>
    <w:rsid w:val="003B7A79"/>
    <w:rsid w:val="003B7AFD"/>
    <w:rsid w:val="003B7EA0"/>
    <w:rsid w:val="003C0272"/>
    <w:rsid w:val="003C0706"/>
    <w:rsid w:val="003C07C8"/>
    <w:rsid w:val="003C0B86"/>
    <w:rsid w:val="003C10A0"/>
    <w:rsid w:val="003C1342"/>
    <w:rsid w:val="003C184F"/>
    <w:rsid w:val="003C2297"/>
    <w:rsid w:val="003C231A"/>
    <w:rsid w:val="003C24E3"/>
    <w:rsid w:val="003C26BD"/>
    <w:rsid w:val="003C303F"/>
    <w:rsid w:val="003C34D0"/>
    <w:rsid w:val="003C355F"/>
    <w:rsid w:val="003C3E2C"/>
    <w:rsid w:val="003C3F45"/>
    <w:rsid w:val="003C3FDC"/>
    <w:rsid w:val="003C42FB"/>
    <w:rsid w:val="003C4437"/>
    <w:rsid w:val="003C451C"/>
    <w:rsid w:val="003C4528"/>
    <w:rsid w:val="003C48AB"/>
    <w:rsid w:val="003C48DA"/>
    <w:rsid w:val="003C4914"/>
    <w:rsid w:val="003C4CC9"/>
    <w:rsid w:val="003C4D19"/>
    <w:rsid w:val="003C4F7C"/>
    <w:rsid w:val="003C538E"/>
    <w:rsid w:val="003C553B"/>
    <w:rsid w:val="003C5DF8"/>
    <w:rsid w:val="003C5F62"/>
    <w:rsid w:val="003C6033"/>
    <w:rsid w:val="003C68A9"/>
    <w:rsid w:val="003C6B97"/>
    <w:rsid w:val="003C711A"/>
    <w:rsid w:val="003C732E"/>
    <w:rsid w:val="003C75C1"/>
    <w:rsid w:val="003C79BE"/>
    <w:rsid w:val="003C7B26"/>
    <w:rsid w:val="003C7CA5"/>
    <w:rsid w:val="003C7D29"/>
    <w:rsid w:val="003D02BC"/>
    <w:rsid w:val="003D05A1"/>
    <w:rsid w:val="003D06EC"/>
    <w:rsid w:val="003D07EE"/>
    <w:rsid w:val="003D08B5"/>
    <w:rsid w:val="003D0A82"/>
    <w:rsid w:val="003D0D4E"/>
    <w:rsid w:val="003D0F4F"/>
    <w:rsid w:val="003D11E5"/>
    <w:rsid w:val="003D11E7"/>
    <w:rsid w:val="003D1661"/>
    <w:rsid w:val="003D168C"/>
    <w:rsid w:val="003D171B"/>
    <w:rsid w:val="003D1A63"/>
    <w:rsid w:val="003D1E46"/>
    <w:rsid w:val="003D2BB5"/>
    <w:rsid w:val="003D2C0E"/>
    <w:rsid w:val="003D2CFF"/>
    <w:rsid w:val="003D2F47"/>
    <w:rsid w:val="003D3172"/>
    <w:rsid w:val="003D37BC"/>
    <w:rsid w:val="003D3824"/>
    <w:rsid w:val="003D3A84"/>
    <w:rsid w:val="003D3B3E"/>
    <w:rsid w:val="003D3B47"/>
    <w:rsid w:val="003D3BB5"/>
    <w:rsid w:val="003D3BD0"/>
    <w:rsid w:val="003D3BF9"/>
    <w:rsid w:val="003D42C6"/>
    <w:rsid w:val="003D446D"/>
    <w:rsid w:val="003D5382"/>
    <w:rsid w:val="003D5766"/>
    <w:rsid w:val="003D5844"/>
    <w:rsid w:val="003D5B2F"/>
    <w:rsid w:val="003D5F9E"/>
    <w:rsid w:val="003D5FFB"/>
    <w:rsid w:val="003D680B"/>
    <w:rsid w:val="003D6ADF"/>
    <w:rsid w:val="003D6CDA"/>
    <w:rsid w:val="003D6D1F"/>
    <w:rsid w:val="003D6FB5"/>
    <w:rsid w:val="003D7637"/>
    <w:rsid w:val="003D7939"/>
    <w:rsid w:val="003D79B2"/>
    <w:rsid w:val="003E0523"/>
    <w:rsid w:val="003E0821"/>
    <w:rsid w:val="003E0BB5"/>
    <w:rsid w:val="003E0DF7"/>
    <w:rsid w:val="003E0F45"/>
    <w:rsid w:val="003E1506"/>
    <w:rsid w:val="003E1523"/>
    <w:rsid w:val="003E17BD"/>
    <w:rsid w:val="003E1852"/>
    <w:rsid w:val="003E195B"/>
    <w:rsid w:val="003E1C2C"/>
    <w:rsid w:val="003E1E7D"/>
    <w:rsid w:val="003E1FD1"/>
    <w:rsid w:val="003E251B"/>
    <w:rsid w:val="003E277D"/>
    <w:rsid w:val="003E2B62"/>
    <w:rsid w:val="003E308D"/>
    <w:rsid w:val="003E328C"/>
    <w:rsid w:val="003E3461"/>
    <w:rsid w:val="003E3A62"/>
    <w:rsid w:val="003E4C29"/>
    <w:rsid w:val="003E4F32"/>
    <w:rsid w:val="003E571D"/>
    <w:rsid w:val="003E5954"/>
    <w:rsid w:val="003E5DDE"/>
    <w:rsid w:val="003E60B5"/>
    <w:rsid w:val="003E60FD"/>
    <w:rsid w:val="003E6271"/>
    <w:rsid w:val="003E628C"/>
    <w:rsid w:val="003E62F3"/>
    <w:rsid w:val="003E6B1D"/>
    <w:rsid w:val="003E6D10"/>
    <w:rsid w:val="003E6D60"/>
    <w:rsid w:val="003E706F"/>
    <w:rsid w:val="003E70B2"/>
    <w:rsid w:val="003E719F"/>
    <w:rsid w:val="003E749C"/>
    <w:rsid w:val="003E79CA"/>
    <w:rsid w:val="003E7B6E"/>
    <w:rsid w:val="003F0323"/>
    <w:rsid w:val="003F05CB"/>
    <w:rsid w:val="003F08BC"/>
    <w:rsid w:val="003F08E0"/>
    <w:rsid w:val="003F0BFA"/>
    <w:rsid w:val="003F1498"/>
    <w:rsid w:val="003F155F"/>
    <w:rsid w:val="003F19F5"/>
    <w:rsid w:val="003F1AF3"/>
    <w:rsid w:val="003F1BE4"/>
    <w:rsid w:val="003F1D6F"/>
    <w:rsid w:val="003F2CF8"/>
    <w:rsid w:val="003F30E4"/>
    <w:rsid w:val="003F3164"/>
    <w:rsid w:val="003F32EF"/>
    <w:rsid w:val="003F3575"/>
    <w:rsid w:val="003F36E5"/>
    <w:rsid w:val="003F37C5"/>
    <w:rsid w:val="003F39BD"/>
    <w:rsid w:val="003F3C6C"/>
    <w:rsid w:val="003F3FDC"/>
    <w:rsid w:val="003F402E"/>
    <w:rsid w:val="003F47DC"/>
    <w:rsid w:val="003F4916"/>
    <w:rsid w:val="003F4A49"/>
    <w:rsid w:val="003F4BC4"/>
    <w:rsid w:val="003F4BFF"/>
    <w:rsid w:val="003F4C74"/>
    <w:rsid w:val="003F4D12"/>
    <w:rsid w:val="003F4EF4"/>
    <w:rsid w:val="003F5165"/>
    <w:rsid w:val="003F51A2"/>
    <w:rsid w:val="003F54D3"/>
    <w:rsid w:val="003F564B"/>
    <w:rsid w:val="003F56CF"/>
    <w:rsid w:val="003F5B21"/>
    <w:rsid w:val="003F5CAD"/>
    <w:rsid w:val="003F5EB5"/>
    <w:rsid w:val="003F749D"/>
    <w:rsid w:val="003F75EE"/>
    <w:rsid w:val="003F77E1"/>
    <w:rsid w:val="003F7B48"/>
    <w:rsid w:val="003F7F2B"/>
    <w:rsid w:val="00400898"/>
    <w:rsid w:val="00400B4A"/>
    <w:rsid w:val="00400CEA"/>
    <w:rsid w:val="00401117"/>
    <w:rsid w:val="00401C7B"/>
    <w:rsid w:val="00401CF9"/>
    <w:rsid w:val="00401F1B"/>
    <w:rsid w:val="0040231D"/>
    <w:rsid w:val="00402332"/>
    <w:rsid w:val="00402C3D"/>
    <w:rsid w:val="004032BB"/>
    <w:rsid w:val="0040363E"/>
    <w:rsid w:val="0040387E"/>
    <w:rsid w:val="00403A05"/>
    <w:rsid w:val="00403A7C"/>
    <w:rsid w:val="00403B75"/>
    <w:rsid w:val="00403C7F"/>
    <w:rsid w:val="00403FBE"/>
    <w:rsid w:val="0040426D"/>
    <w:rsid w:val="00404AEB"/>
    <w:rsid w:val="00404B93"/>
    <w:rsid w:val="00404E4C"/>
    <w:rsid w:val="00404FBB"/>
    <w:rsid w:val="00405054"/>
    <w:rsid w:val="004051E4"/>
    <w:rsid w:val="00405437"/>
    <w:rsid w:val="00405485"/>
    <w:rsid w:val="004057E4"/>
    <w:rsid w:val="004057F6"/>
    <w:rsid w:val="004059F6"/>
    <w:rsid w:val="00406224"/>
    <w:rsid w:val="004064C7"/>
    <w:rsid w:val="00406811"/>
    <w:rsid w:val="00406A02"/>
    <w:rsid w:val="00406DD6"/>
    <w:rsid w:val="00406FA0"/>
    <w:rsid w:val="004071E2"/>
    <w:rsid w:val="0040756A"/>
    <w:rsid w:val="00407607"/>
    <w:rsid w:val="00407932"/>
    <w:rsid w:val="00407C80"/>
    <w:rsid w:val="00407F6F"/>
    <w:rsid w:val="0041033B"/>
    <w:rsid w:val="0041033D"/>
    <w:rsid w:val="0041055D"/>
    <w:rsid w:val="0041107D"/>
    <w:rsid w:val="0041141A"/>
    <w:rsid w:val="004114C6"/>
    <w:rsid w:val="00411CC3"/>
    <w:rsid w:val="00411CC6"/>
    <w:rsid w:val="00411D3F"/>
    <w:rsid w:val="00412071"/>
    <w:rsid w:val="004123E0"/>
    <w:rsid w:val="0041241E"/>
    <w:rsid w:val="00412480"/>
    <w:rsid w:val="004126E2"/>
    <w:rsid w:val="00412811"/>
    <w:rsid w:val="00412FBF"/>
    <w:rsid w:val="004137F2"/>
    <w:rsid w:val="00413B36"/>
    <w:rsid w:val="00413C5E"/>
    <w:rsid w:val="00413ED0"/>
    <w:rsid w:val="0041403F"/>
    <w:rsid w:val="004141BF"/>
    <w:rsid w:val="0041475B"/>
    <w:rsid w:val="00414998"/>
    <w:rsid w:val="00414F7E"/>
    <w:rsid w:val="004151ED"/>
    <w:rsid w:val="00415958"/>
    <w:rsid w:val="00415CD7"/>
    <w:rsid w:val="00415E67"/>
    <w:rsid w:val="00416041"/>
    <w:rsid w:val="004167E1"/>
    <w:rsid w:val="00416A08"/>
    <w:rsid w:val="00416B47"/>
    <w:rsid w:val="00416F33"/>
    <w:rsid w:val="00416F58"/>
    <w:rsid w:val="004175F8"/>
    <w:rsid w:val="00417ADC"/>
    <w:rsid w:val="00417BB9"/>
    <w:rsid w:val="00417C4D"/>
    <w:rsid w:val="00417D64"/>
    <w:rsid w:val="004203B2"/>
    <w:rsid w:val="0042083C"/>
    <w:rsid w:val="00420B44"/>
    <w:rsid w:val="00420CC7"/>
    <w:rsid w:val="00420CE0"/>
    <w:rsid w:val="00420EB5"/>
    <w:rsid w:val="00421199"/>
    <w:rsid w:val="00421595"/>
    <w:rsid w:val="00421A76"/>
    <w:rsid w:val="00421CBC"/>
    <w:rsid w:val="00421E2B"/>
    <w:rsid w:val="0042212F"/>
    <w:rsid w:val="00422715"/>
    <w:rsid w:val="0042286A"/>
    <w:rsid w:val="0042293F"/>
    <w:rsid w:val="004229D9"/>
    <w:rsid w:val="00422BEF"/>
    <w:rsid w:val="00422DFD"/>
    <w:rsid w:val="00422F63"/>
    <w:rsid w:val="00422FE9"/>
    <w:rsid w:val="00423524"/>
    <w:rsid w:val="00423704"/>
    <w:rsid w:val="0042394C"/>
    <w:rsid w:val="004239E9"/>
    <w:rsid w:val="004240C4"/>
    <w:rsid w:val="0042428A"/>
    <w:rsid w:val="0042490A"/>
    <w:rsid w:val="00424AF2"/>
    <w:rsid w:val="00425215"/>
    <w:rsid w:val="004255D2"/>
    <w:rsid w:val="00425A31"/>
    <w:rsid w:val="00425C24"/>
    <w:rsid w:val="004260DB"/>
    <w:rsid w:val="004262BA"/>
    <w:rsid w:val="00426808"/>
    <w:rsid w:val="00427131"/>
    <w:rsid w:val="004278A6"/>
    <w:rsid w:val="00427A90"/>
    <w:rsid w:val="00427DE0"/>
    <w:rsid w:val="00430037"/>
    <w:rsid w:val="00430049"/>
    <w:rsid w:val="00430164"/>
    <w:rsid w:val="00430881"/>
    <w:rsid w:val="00430C70"/>
    <w:rsid w:val="004312A3"/>
    <w:rsid w:val="004313A8"/>
    <w:rsid w:val="004317D3"/>
    <w:rsid w:val="00431C88"/>
    <w:rsid w:val="00431CD6"/>
    <w:rsid w:val="00431DFB"/>
    <w:rsid w:val="00431FD3"/>
    <w:rsid w:val="004323F7"/>
    <w:rsid w:val="0043300D"/>
    <w:rsid w:val="00433395"/>
    <w:rsid w:val="00433970"/>
    <w:rsid w:val="00433C71"/>
    <w:rsid w:val="00433DBD"/>
    <w:rsid w:val="00434112"/>
    <w:rsid w:val="004343EB"/>
    <w:rsid w:val="00434BC8"/>
    <w:rsid w:val="00434BCF"/>
    <w:rsid w:val="00435240"/>
    <w:rsid w:val="00435329"/>
    <w:rsid w:val="004357BD"/>
    <w:rsid w:val="004358C7"/>
    <w:rsid w:val="00435A85"/>
    <w:rsid w:val="00435B65"/>
    <w:rsid w:val="00435DDE"/>
    <w:rsid w:val="00435EE3"/>
    <w:rsid w:val="00435FB7"/>
    <w:rsid w:val="0043615F"/>
    <w:rsid w:val="00436693"/>
    <w:rsid w:val="004367FE"/>
    <w:rsid w:val="00436AF3"/>
    <w:rsid w:val="00436B24"/>
    <w:rsid w:val="00436CEA"/>
    <w:rsid w:val="00436F96"/>
    <w:rsid w:val="00437475"/>
    <w:rsid w:val="00437978"/>
    <w:rsid w:val="0044070C"/>
    <w:rsid w:val="004408A6"/>
    <w:rsid w:val="00440A00"/>
    <w:rsid w:val="00440C4E"/>
    <w:rsid w:val="00440FB1"/>
    <w:rsid w:val="00441104"/>
    <w:rsid w:val="00441861"/>
    <w:rsid w:val="00441870"/>
    <w:rsid w:val="00441E35"/>
    <w:rsid w:val="00442015"/>
    <w:rsid w:val="004424AE"/>
    <w:rsid w:val="0044260A"/>
    <w:rsid w:val="00442A0F"/>
    <w:rsid w:val="00442B14"/>
    <w:rsid w:val="00442D24"/>
    <w:rsid w:val="00442DD2"/>
    <w:rsid w:val="0044334A"/>
    <w:rsid w:val="004433EA"/>
    <w:rsid w:val="00443901"/>
    <w:rsid w:val="00443C35"/>
    <w:rsid w:val="00443C52"/>
    <w:rsid w:val="00444063"/>
    <w:rsid w:val="00444068"/>
    <w:rsid w:val="0044425D"/>
    <w:rsid w:val="00444353"/>
    <w:rsid w:val="004451BA"/>
    <w:rsid w:val="004456D3"/>
    <w:rsid w:val="00445E17"/>
    <w:rsid w:val="00445E91"/>
    <w:rsid w:val="00445EB6"/>
    <w:rsid w:val="00446508"/>
    <w:rsid w:val="0044683B"/>
    <w:rsid w:val="00446F93"/>
    <w:rsid w:val="00447174"/>
    <w:rsid w:val="0044719E"/>
    <w:rsid w:val="004471C6"/>
    <w:rsid w:val="004475F7"/>
    <w:rsid w:val="00447700"/>
    <w:rsid w:val="00447C5B"/>
    <w:rsid w:val="00447CFB"/>
    <w:rsid w:val="00447D25"/>
    <w:rsid w:val="00450148"/>
    <w:rsid w:val="004504A6"/>
    <w:rsid w:val="00450536"/>
    <w:rsid w:val="004509F5"/>
    <w:rsid w:val="00450C65"/>
    <w:rsid w:val="00450F9E"/>
    <w:rsid w:val="004512D1"/>
    <w:rsid w:val="00451403"/>
    <w:rsid w:val="00451506"/>
    <w:rsid w:val="0045171C"/>
    <w:rsid w:val="00451A80"/>
    <w:rsid w:val="00452993"/>
    <w:rsid w:val="00452C36"/>
    <w:rsid w:val="004532EE"/>
    <w:rsid w:val="0045355B"/>
    <w:rsid w:val="00453641"/>
    <w:rsid w:val="00453A93"/>
    <w:rsid w:val="00453C88"/>
    <w:rsid w:val="00453CAB"/>
    <w:rsid w:val="00453D39"/>
    <w:rsid w:val="00453DCD"/>
    <w:rsid w:val="0045411F"/>
    <w:rsid w:val="00454832"/>
    <w:rsid w:val="00454B1F"/>
    <w:rsid w:val="00454E30"/>
    <w:rsid w:val="00454E6E"/>
    <w:rsid w:val="004559FA"/>
    <w:rsid w:val="00455BCB"/>
    <w:rsid w:val="004560CB"/>
    <w:rsid w:val="0045613A"/>
    <w:rsid w:val="00456AF6"/>
    <w:rsid w:val="004570A2"/>
    <w:rsid w:val="004570A4"/>
    <w:rsid w:val="00457323"/>
    <w:rsid w:val="0045754B"/>
    <w:rsid w:val="0045772B"/>
    <w:rsid w:val="00457B6A"/>
    <w:rsid w:val="00457C97"/>
    <w:rsid w:val="00457DC8"/>
    <w:rsid w:val="00460212"/>
    <w:rsid w:val="0046035C"/>
    <w:rsid w:val="00460B10"/>
    <w:rsid w:val="00460D07"/>
    <w:rsid w:val="00461453"/>
    <w:rsid w:val="004617C2"/>
    <w:rsid w:val="004617C8"/>
    <w:rsid w:val="00461905"/>
    <w:rsid w:val="00461ACF"/>
    <w:rsid w:val="00461B3D"/>
    <w:rsid w:val="00461CF5"/>
    <w:rsid w:val="00461E50"/>
    <w:rsid w:val="00462523"/>
    <w:rsid w:val="00462590"/>
    <w:rsid w:val="00462654"/>
    <w:rsid w:val="0046279E"/>
    <w:rsid w:val="004631A0"/>
    <w:rsid w:val="004631BD"/>
    <w:rsid w:val="00463572"/>
    <w:rsid w:val="00463827"/>
    <w:rsid w:val="00463E5C"/>
    <w:rsid w:val="00463E5D"/>
    <w:rsid w:val="0046412B"/>
    <w:rsid w:val="004645C3"/>
    <w:rsid w:val="00464942"/>
    <w:rsid w:val="0046537E"/>
    <w:rsid w:val="00465623"/>
    <w:rsid w:val="0046627F"/>
    <w:rsid w:val="00466A63"/>
    <w:rsid w:val="00466AD5"/>
    <w:rsid w:val="00466D2B"/>
    <w:rsid w:val="00466D83"/>
    <w:rsid w:val="00466F00"/>
    <w:rsid w:val="00467324"/>
    <w:rsid w:val="004676DC"/>
    <w:rsid w:val="00467821"/>
    <w:rsid w:val="004679D7"/>
    <w:rsid w:val="00467A60"/>
    <w:rsid w:val="00467ACB"/>
    <w:rsid w:val="00467E95"/>
    <w:rsid w:val="00467FF3"/>
    <w:rsid w:val="004700B5"/>
    <w:rsid w:val="00470858"/>
    <w:rsid w:val="00470E5C"/>
    <w:rsid w:val="00471088"/>
    <w:rsid w:val="004715E7"/>
    <w:rsid w:val="00471941"/>
    <w:rsid w:val="00471AEB"/>
    <w:rsid w:val="00471D2B"/>
    <w:rsid w:val="0047240E"/>
    <w:rsid w:val="00472550"/>
    <w:rsid w:val="0047286A"/>
    <w:rsid w:val="0047295D"/>
    <w:rsid w:val="00472A69"/>
    <w:rsid w:val="00472A7E"/>
    <w:rsid w:val="00473262"/>
    <w:rsid w:val="00473272"/>
    <w:rsid w:val="00473275"/>
    <w:rsid w:val="00473656"/>
    <w:rsid w:val="00474231"/>
    <w:rsid w:val="00474A1E"/>
    <w:rsid w:val="00474AD0"/>
    <w:rsid w:val="00474D36"/>
    <w:rsid w:val="00474E74"/>
    <w:rsid w:val="00475331"/>
    <w:rsid w:val="004757BB"/>
    <w:rsid w:val="004762CD"/>
    <w:rsid w:val="004763B0"/>
    <w:rsid w:val="00476B5F"/>
    <w:rsid w:val="00476E67"/>
    <w:rsid w:val="0047730B"/>
    <w:rsid w:val="00477BB1"/>
    <w:rsid w:val="00477BF3"/>
    <w:rsid w:val="00477C8F"/>
    <w:rsid w:val="00477D92"/>
    <w:rsid w:val="00477E94"/>
    <w:rsid w:val="00477F24"/>
    <w:rsid w:val="004800D9"/>
    <w:rsid w:val="004801A2"/>
    <w:rsid w:val="00480292"/>
    <w:rsid w:val="00480358"/>
    <w:rsid w:val="004809B4"/>
    <w:rsid w:val="00480DBA"/>
    <w:rsid w:val="004810C9"/>
    <w:rsid w:val="00481767"/>
    <w:rsid w:val="00481C3B"/>
    <w:rsid w:val="00481C5A"/>
    <w:rsid w:val="00482043"/>
    <w:rsid w:val="00482C29"/>
    <w:rsid w:val="00482E76"/>
    <w:rsid w:val="00482EF3"/>
    <w:rsid w:val="00483660"/>
    <w:rsid w:val="00483774"/>
    <w:rsid w:val="00483DFE"/>
    <w:rsid w:val="00484104"/>
    <w:rsid w:val="00484CCC"/>
    <w:rsid w:val="00485076"/>
    <w:rsid w:val="00485291"/>
    <w:rsid w:val="0048543C"/>
    <w:rsid w:val="00485462"/>
    <w:rsid w:val="004857F9"/>
    <w:rsid w:val="0048587E"/>
    <w:rsid w:val="00485FD4"/>
    <w:rsid w:val="00485FDC"/>
    <w:rsid w:val="00486530"/>
    <w:rsid w:val="00486597"/>
    <w:rsid w:val="00486703"/>
    <w:rsid w:val="00486968"/>
    <w:rsid w:val="00486AFD"/>
    <w:rsid w:val="00486FF1"/>
    <w:rsid w:val="004874D0"/>
    <w:rsid w:val="0048776E"/>
    <w:rsid w:val="0048783C"/>
    <w:rsid w:val="00490366"/>
    <w:rsid w:val="00490C22"/>
    <w:rsid w:val="00490CC6"/>
    <w:rsid w:val="004910DC"/>
    <w:rsid w:val="00491298"/>
    <w:rsid w:val="004913D8"/>
    <w:rsid w:val="00491D70"/>
    <w:rsid w:val="00491DCE"/>
    <w:rsid w:val="00491FB5"/>
    <w:rsid w:val="0049205B"/>
    <w:rsid w:val="004927E1"/>
    <w:rsid w:val="004929C3"/>
    <w:rsid w:val="00492C9A"/>
    <w:rsid w:val="004934FA"/>
    <w:rsid w:val="00493DFB"/>
    <w:rsid w:val="00493EF3"/>
    <w:rsid w:val="00494056"/>
    <w:rsid w:val="00494086"/>
    <w:rsid w:val="004942F2"/>
    <w:rsid w:val="00494498"/>
    <w:rsid w:val="0049512D"/>
    <w:rsid w:val="004952F6"/>
    <w:rsid w:val="0049553E"/>
    <w:rsid w:val="00495FCE"/>
    <w:rsid w:val="0049672C"/>
    <w:rsid w:val="00496CCF"/>
    <w:rsid w:val="00496EB4"/>
    <w:rsid w:val="004972A8"/>
    <w:rsid w:val="00497AFD"/>
    <w:rsid w:val="00497B6D"/>
    <w:rsid w:val="004A0036"/>
    <w:rsid w:val="004A0321"/>
    <w:rsid w:val="004A068D"/>
    <w:rsid w:val="004A0A84"/>
    <w:rsid w:val="004A10EB"/>
    <w:rsid w:val="004A12FD"/>
    <w:rsid w:val="004A1327"/>
    <w:rsid w:val="004A136B"/>
    <w:rsid w:val="004A1908"/>
    <w:rsid w:val="004A1935"/>
    <w:rsid w:val="004A276E"/>
    <w:rsid w:val="004A27E7"/>
    <w:rsid w:val="004A28B0"/>
    <w:rsid w:val="004A2AC2"/>
    <w:rsid w:val="004A2CB2"/>
    <w:rsid w:val="004A3F81"/>
    <w:rsid w:val="004A41F4"/>
    <w:rsid w:val="004A426D"/>
    <w:rsid w:val="004A427A"/>
    <w:rsid w:val="004A46BF"/>
    <w:rsid w:val="004A4DCD"/>
    <w:rsid w:val="004A4E60"/>
    <w:rsid w:val="004A5136"/>
    <w:rsid w:val="004A5399"/>
    <w:rsid w:val="004A5572"/>
    <w:rsid w:val="004A59A8"/>
    <w:rsid w:val="004A59E5"/>
    <w:rsid w:val="004A64F2"/>
    <w:rsid w:val="004A666F"/>
    <w:rsid w:val="004A6805"/>
    <w:rsid w:val="004A6AEA"/>
    <w:rsid w:val="004A73AE"/>
    <w:rsid w:val="004A7F69"/>
    <w:rsid w:val="004B017E"/>
    <w:rsid w:val="004B02FE"/>
    <w:rsid w:val="004B03CA"/>
    <w:rsid w:val="004B0718"/>
    <w:rsid w:val="004B0D97"/>
    <w:rsid w:val="004B275C"/>
    <w:rsid w:val="004B2DF3"/>
    <w:rsid w:val="004B2F5F"/>
    <w:rsid w:val="004B36C1"/>
    <w:rsid w:val="004B397F"/>
    <w:rsid w:val="004B39CE"/>
    <w:rsid w:val="004B402A"/>
    <w:rsid w:val="004B4144"/>
    <w:rsid w:val="004B44FF"/>
    <w:rsid w:val="004B46BA"/>
    <w:rsid w:val="004B482B"/>
    <w:rsid w:val="004B482F"/>
    <w:rsid w:val="004B537C"/>
    <w:rsid w:val="004B5AA9"/>
    <w:rsid w:val="004B5C05"/>
    <w:rsid w:val="004B5D0D"/>
    <w:rsid w:val="004B5E2D"/>
    <w:rsid w:val="004B63E6"/>
    <w:rsid w:val="004B64EF"/>
    <w:rsid w:val="004B6597"/>
    <w:rsid w:val="004B689A"/>
    <w:rsid w:val="004B698B"/>
    <w:rsid w:val="004B6EE7"/>
    <w:rsid w:val="004B7091"/>
    <w:rsid w:val="004B78C6"/>
    <w:rsid w:val="004B7A3F"/>
    <w:rsid w:val="004B7BF0"/>
    <w:rsid w:val="004B7EEC"/>
    <w:rsid w:val="004C043E"/>
    <w:rsid w:val="004C0AD2"/>
    <w:rsid w:val="004C0F49"/>
    <w:rsid w:val="004C2832"/>
    <w:rsid w:val="004C2E26"/>
    <w:rsid w:val="004C2ED7"/>
    <w:rsid w:val="004C3244"/>
    <w:rsid w:val="004C34D7"/>
    <w:rsid w:val="004C37BB"/>
    <w:rsid w:val="004C37EF"/>
    <w:rsid w:val="004C3B8D"/>
    <w:rsid w:val="004C3CC0"/>
    <w:rsid w:val="004C4647"/>
    <w:rsid w:val="004C46E0"/>
    <w:rsid w:val="004C4D77"/>
    <w:rsid w:val="004C5049"/>
    <w:rsid w:val="004C5409"/>
    <w:rsid w:val="004C546F"/>
    <w:rsid w:val="004C567D"/>
    <w:rsid w:val="004C6602"/>
    <w:rsid w:val="004C6856"/>
    <w:rsid w:val="004C69AB"/>
    <w:rsid w:val="004C69CC"/>
    <w:rsid w:val="004C6ABD"/>
    <w:rsid w:val="004C6F2D"/>
    <w:rsid w:val="004C71B2"/>
    <w:rsid w:val="004C746C"/>
    <w:rsid w:val="004C76CE"/>
    <w:rsid w:val="004C7848"/>
    <w:rsid w:val="004C7975"/>
    <w:rsid w:val="004D0251"/>
    <w:rsid w:val="004D03A5"/>
    <w:rsid w:val="004D03CD"/>
    <w:rsid w:val="004D09FD"/>
    <w:rsid w:val="004D0BB3"/>
    <w:rsid w:val="004D0CA0"/>
    <w:rsid w:val="004D10AF"/>
    <w:rsid w:val="004D17AA"/>
    <w:rsid w:val="004D1E29"/>
    <w:rsid w:val="004D1EB8"/>
    <w:rsid w:val="004D1EE0"/>
    <w:rsid w:val="004D1F08"/>
    <w:rsid w:val="004D20B9"/>
    <w:rsid w:val="004D2248"/>
    <w:rsid w:val="004D241D"/>
    <w:rsid w:val="004D2492"/>
    <w:rsid w:val="004D2609"/>
    <w:rsid w:val="004D2C73"/>
    <w:rsid w:val="004D2F30"/>
    <w:rsid w:val="004D3150"/>
    <w:rsid w:val="004D33F2"/>
    <w:rsid w:val="004D341E"/>
    <w:rsid w:val="004D39A9"/>
    <w:rsid w:val="004D3DEC"/>
    <w:rsid w:val="004D44A7"/>
    <w:rsid w:val="004D47AE"/>
    <w:rsid w:val="004D4A31"/>
    <w:rsid w:val="004D4D7A"/>
    <w:rsid w:val="004D4FA9"/>
    <w:rsid w:val="004D576B"/>
    <w:rsid w:val="004D5B2E"/>
    <w:rsid w:val="004D5EA7"/>
    <w:rsid w:val="004D5FCF"/>
    <w:rsid w:val="004D6036"/>
    <w:rsid w:val="004D62CE"/>
    <w:rsid w:val="004D6351"/>
    <w:rsid w:val="004D64D7"/>
    <w:rsid w:val="004D65FC"/>
    <w:rsid w:val="004D6A24"/>
    <w:rsid w:val="004D6D43"/>
    <w:rsid w:val="004D6E98"/>
    <w:rsid w:val="004D70F8"/>
    <w:rsid w:val="004D71DC"/>
    <w:rsid w:val="004D7474"/>
    <w:rsid w:val="004D793D"/>
    <w:rsid w:val="004D7CF2"/>
    <w:rsid w:val="004D7EDD"/>
    <w:rsid w:val="004E01A0"/>
    <w:rsid w:val="004E03F3"/>
    <w:rsid w:val="004E04A8"/>
    <w:rsid w:val="004E05AF"/>
    <w:rsid w:val="004E089F"/>
    <w:rsid w:val="004E0AA6"/>
    <w:rsid w:val="004E0C3A"/>
    <w:rsid w:val="004E1077"/>
    <w:rsid w:val="004E11D7"/>
    <w:rsid w:val="004E133E"/>
    <w:rsid w:val="004E18C4"/>
    <w:rsid w:val="004E198C"/>
    <w:rsid w:val="004E1A6A"/>
    <w:rsid w:val="004E1C37"/>
    <w:rsid w:val="004E1C93"/>
    <w:rsid w:val="004E2407"/>
    <w:rsid w:val="004E25F5"/>
    <w:rsid w:val="004E2672"/>
    <w:rsid w:val="004E292A"/>
    <w:rsid w:val="004E2CB0"/>
    <w:rsid w:val="004E2CCB"/>
    <w:rsid w:val="004E2EA1"/>
    <w:rsid w:val="004E307F"/>
    <w:rsid w:val="004E3098"/>
    <w:rsid w:val="004E326A"/>
    <w:rsid w:val="004E3414"/>
    <w:rsid w:val="004E34B1"/>
    <w:rsid w:val="004E3A67"/>
    <w:rsid w:val="004E3C3D"/>
    <w:rsid w:val="004E3D1F"/>
    <w:rsid w:val="004E3D24"/>
    <w:rsid w:val="004E3EE9"/>
    <w:rsid w:val="004E3F36"/>
    <w:rsid w:val="004E3F78"/>
    <w:rsid w:val="004E435B"/>
    <w:rsid w:val="004E4958"/>
    <w:rsid w:val="004E4BBA"/>
    <w:rsid w:val="004E506F"/>
    <w:rsid w:val="004E514D"/>
    <w:rsid w:val="004E5BC8"/>
    <w:rsid w:val="004E6083"/>
    <w:rsid w:val="004E6110"/>
    <w:rsid w:val="004E6848"/>
    <w:rsid w:val="004E6B5C"/>
    <w:rsid w:val="004E6D4A"/>
    <w:rsid w:val="004E6E03"/>
    <w:rsid w:val="004E70B9"/>
    <w:rsid w:val="004E76BB"/>
    <w:rsid w:val="004E7A31"/>
    <w:rsid w:val="004E7F66"/>
    <w:rsid w:val="004F00E9"/>
    <w:rsid w:val="004F0296"/>
    <w:rsid w:val="004F0657"/>
    <w:rsid w:val="004F0864"/>
    <w:rsid w:val="004F0BB7"/>
    <w:rsid w:val="004F0CC3"/>
    <w:rsid w:val="004F1203"/>
    <w:rsid w:val="004F1310"/>
    <w:rsid w:val="004F1517"/>
    <w:rsid w:val="004F179A"/>
    <w:rsid w:val="004F1C23"/>
    <w:rsid w:val="004F1D2A"/>
    <w:rsid w:val="004F2D19"/>
    <w:rsid w:val="004F2E6A"/>
    <w:rsid w:val="004F2EEE"/>
    <w:rsid w:val="004F3083"/>
    <w:rsid w:val="004F316C"/>
    <w:rsid w:val="004F34D3"/>
    <w:rsid w:val="004F364C"/>
    <w:rsid w:val="004F38A4"/>
    <w:rsid w:val="004F3957"/>
    <w:rsid w:val="004F3E29"/>
    <w:rsid w:val="004F3F90"/>
    <w:rsid w:val="004F42B1"/>
    <w:rsid w:val="004F456E"/>
    <w:rsid w:val="004F467C"/>
    <w:rsid w:val="004F48AA"/>
    <w:rsid w:val="004F4DBF"/>
    <w:rsid w:val="004F4E4D"/>
    <w:rsid w:val="004F4F12"/>
    <w:rsid w:val="004F568F"/>
    <w:rsid w:val="004F5760"/>
    <w:rsid w:val="004F5896"/>
    <w:rsid w:val="004F5A85"/>
    <w:rsid w:val="004F5B4E"/>
    <w:rsid w:val="004F5C04"/>
    <w:rsid w:val="004F61D8"/>
    <w:rsid w:val="004F646B"/>
    <w:rsid w:val="004F6911"/>
    <w:rsid w:val="004F6DF1"/>
    <w:rsid w:val="004F7267"/>
    <w:rsid w:val="004F72D2"/>
    <w:rsid w:val="004F73A3"/>
    <w:rsid w:val="004F755B"/>
    <w:rsid w:val="004F7FB0"/>
    <w:rsid w:val="0050031F"/>
    <w:rsid w:val="005004E1"/>
    <w:rsid w:val="005005A5"/>
    <w:rsid w:val="005008C2"/>
    <w:rsid w:val="00500AE4"/>
    <w:rsid w:val="00500BF5"/>
    <w:rsid w:val="00500DB8"/>
    <w:rsid w:val="00500E6F"/>
    <w:rsid w:val="0050100C"/>
    <w:rsid w:val="005010E6"/>
    <w:rsid w:val="005011B4"/>
    <w:rsid w:val="005013B9"/>
    <w:rsid w:val="00501468"/>
    <w:rsid w:val="0050186E"/>
    <w:rsid w:val="005018EA"/>
    <w:rsid w:val="0050198E"/>
    <w:rsid w:val="00501A44"/>
    <w:rsid w:val="00501BA1"/>
    <w:rsid w:val="00501D32"/>
    <w:rsid w:val="00501D3E"/>
    <w:rsid w:val="005023BE"/>
    <w:rsid w:val="005023F4"/>
    <w:rsid w:val="005024AF"/>
    <w:rsid w:val="005025DD"/>
    <w:rsid w:val="0050354E"/>
    <w:rsid w:val="00503BC3"/>
    <w:rsid w:val="00503C58"/>
    <w:rsid w:val="00503D09"/>
    <w:rsid w:val="00503EC3"/>
    <w:rsid w:val="005040E4"/>
    <w:rsid w:val="00504402"/>
    <w:rsid w:val="00504492"/>
    <w:rsid w:val="0050458F"/>
    <w:rsid w:val="00504D3D"/>
    <w:rsid w:val="00504EBD"/>
    <w:rsid w:val="00504F71"/>
    <w:rsid w:val="00505117"/>
    <w:rsid w:val="00505248"/>
    <w:rsid w:val="005052DA"/>
    <w:rsid w:val="00505366"/>
    <w:rsid w:val="00505873"/>
    <w:rsid w:val="005058A7"/>
    <w:rsid w:val="005059EB"/>
    <w:rsid w:val="00505E44"/>
    <w:rsid w:val="00505F39"/>
    <w:rsid w:val="00506800"/>
    <w:rsid w:val="00506CD5"/>
    <w:rsid w:val="00506FC3"/>
    <w:rsid w:val="0050706E"/>
    <w:rsid w:val="00507618"/>
    <w:rsid w:val="00507B0D"/>
    <w:rsid w:val="00510014"/>
    <w:rsid w:val="005106B9"/>
    <w:rsid w:val="00510D15"/>
    <w:rsid w:val="00510D38"/>
    <w:rsid w:val="00510DB5"/>
    <w:rsid w:val="00511169"/>
    <w:rsid w:val="0051180D"/>
    <w:rsid w:val="005122B2"/>
    <w:rsid w:val="0051237A"/>
    <w:rsid w:val="005125BA"/>
    <w:rsid w:val="0051284D"/>
    <w:rsid w:val="00512A24"/>
    <w:rsid w:val="00513516"/>
    <w:rsid w:val="00513FBF"/>
    <w:rsid w:val="00514C35"/>
    <w:rsid w:val="00514F64"/>
    <w:rsid w:val="0051520A"/>
    <w:rsid w:val="00515275"/>
    <w:rsid w:val="005158C8"/>
    <w:rsid w:val="0051611E"/>
    <w:rsid w:val="00516195"/>
    <w:rsid w:val="005167B1"/>
    <w:rsid w:val="00516995"/>
    <w:rsid w:val="00516B6F"/>
    <w:rsid w:val="00516C11"/>
    <w:rsid w:val="00517159"/>
    <w:rsid w:val="005176A6"/>
    <w:rsid w:val="00517B69"/>
    <w:rsid w:val="00517DC1"/>
    <w:rsid w:val="00520121"/>
    <w:rsid w:val="005205D0"/>
    <w:rsid w:val="00520B69"/>
    <w:rsid w:val="00520C94"/>
    <w:rsid w:val="005215B3"/>
    <w:rsid w:val="00521634"/>
    <w:rsid w:val="00521793"/>
    <w:rsid w:val="0052192C"/>
    <w:rsid w:val="005222B2"/>
    <w:rsid w:val="00522556"/>
    <w:rsid w:val="00522B20"/>
    <w:rsid w:val="00522CBB"/>
    <w:rsid w:val="00522D16"/>
    <w:rsid w:val="005231B5"/>
    <w:rsid w:val="0052328C"/>
    <w:rsid w:val="0052348E"/>
    <w:rsid w:val="00523E96"/>
    <w:rsid w:val="0052405B"/>
    <w:rsid w:val="0052406B"/>
    <w:rsid w:val="0052442D"/>
    <w:rsid w:val="005247F9"/>
    <w:rsid w:val="0052486B"/>
    <w:rsid w:val="005249C6"/>
    <w:rsid w:val="00524AA5"/>
    <w:rsid w:val="0052501F"/>
    <w:rsid w:val="005250AF"/>
    <w:rsid w:val="0052530E"/>
    <w:rsid w:val="005254A7"/>
    <w:rsid w:val="005254AB"/>
    <w:rsid w:val="005254C7"/>
    <w:rsid w:val="00525709"/>
    <w:rsid w:val="00525717"/>
    <w:rsid w:val="00525A2E"/>
    <w:rsid w:val="00525FD7"/>
    <w:rsid w:val="005263B9"/>
    <w:rsid w:val="005264A4"/>
    <w:rsid w:val="005267E2"/>
    <w:rsid w:val="00527248"/>
    <w:rsid w:val="0052734A"/>
    <w:rsid w:val="00527440"/>
    <w:rsid w:val="005275C9"/>
    <w:rsid w:val="00527904"/>
    <w:rsid w:val="00527A31"/>
    <w:rsid w:val="00527B3B"/>
    <w:rsid w:val="00527D0D"/>
    <w:rsid w:val="00530151"/>
    <w:rsid w:val="005305E4"/>
    <w:rsid w:val="0053099C"/>
    <w:rsid w:val="00530FAE"/>
    <w:rsid w:val="0053171B"/>
    <w:rsid w:val="005317C9"/>
    <w:rsid w:val="00531877"/>
    <w:rsid w:val="005318D4"/>
    <w:rsid w:val="00531E35"/>
    <w:rsid w:val="00531F1E"/>
    <w:rsid w:val="00532614"/>
    <w:rsid w:val="005326CA"/>
    <w:rsid w:val="00532951"/>
    <w:rsid w:val="005329E2"/>
    <w:rsid w:val="00532B51"/>
    <w:rsid w:val="00532DC0"/>
    <w:rsid w:val="005331D9"/>
    <w:rsid w:val="00533252"/>
    <w:rsid w:val="00533F5E"/>
    <w:rsid w:val="00534695"/>
    <w:rsid w:val="005347CA"/>
    <w:rsid w:val="00534866"/>
    <w:rsid w:val="00534EF4"/>
    <w:rsid w:val="00534FE8"/>
    <w:rsid w:val="00535119"/>
    <w:rsid w:val="005352BD"/>
    <w:rsid w:val="00535312"/>
    <w:rsid w:val="00535881"/>
    <w:rsid w:val="005358A2"/>
    <w:rsid w:val="0053593D"/>
    <w:rsid w:val="00535D31"/>
    <w:rsid w:val="00535E64"/>
    <w:rsid w:val="00536219"/>
    <w:rsid w:val="00536566"/>
    <w:rsid w:val="005369CA"/>
    <w:rsid w:val="00536A9C"/>
    <w:rsid w:val="00536F6C"/>
    <w:rsid w:val="005371A8"/>
    <w:rsid w:val="00537294"/>
    <w:rsid w:val="0053756C"/>
    <w:rsid w:val="00537635"/>
    <w:rsid w:val="005377AD"/>
    <w:rsid w:val="005378D9"/>
    <w:rsid w:val="0054038B"/>
    <w:rsid w:val="0054043C"/>
    <w:rsid w:val="00540778"/>
    <w:rsid w:val="00540C9D"/>
    <w:rsid w:val="00540CF1"/>
    <w:rsid w:val="005413CB"/>
    <w:rsid w:val="00541FDA"/>
    <w:rsid w:val="0054284A"/>
    <w:rsid w:val="00543078"/>
    <w:rsid w:val="0054313F"/>
    <w:rsid w:val="0054348A"/>
    <w:rsid w:val="0054384F"/>
    <w:rsid w:val="00543A90"/>
    <w:rsid w:val="005441C2"/>
    <w:rsid w:val="0054421A"/>
    <w:rsid w:val="00544618"/>
    <w:rsid w:val="00544686"/>
    <w:rsid w:val="00545066"/>
    <w:rsid w:val="005451DE"/>
    <w:rsid w:val="0054556A"/>
    <w:rsid w:val="00545A62"/>
    <w:rsid w:val="0054611F"/>
    <w:rsid w:val="005461FE"/>
    <w:rsid w:val="00546324"/>
    <w:rsid w:val="00546679"/>
    <w:rsid w:val="005468C7"/>
    <w:rsid w:val="00547AA1"/>
    <w:rsid w:val="00547EF9"/>
    <w:rsid w:val="0055005C"/>
    <w:rsid w:val="00550081"/>
    <w:rsid w:val="00550FD2"/>
    <w:rsid w:val="00551A36"/>
    <w:rsid w:val="00551BA8"/>
    <w:rsid w:val="00551BD1"/>
    <w:rsid w:val="00551C2C"/>
    <w:rsid w:val="005520C7"/>
    <w:rsid w:val="00552464"/>
    <w:rsid w:val="005525F9"/>
    <w:rsid w:val="00552C27"/>
    <w:rsid w:val="005530E0"/>
    <w:rsid w:val="00553151"/>
    <w:rsid w:val="005533B6"/>
    <w:rsid w:val="00553BB5"/>
    <w:rsid w:val="00553CB5"/>
    <w:rsid w:val="005541FD"/>
    <w:rsid w:val="005544E5"/>
    <w:rsid w:val="00554A80"/>
    <w:rsid w:val="00554AA9"/>
    <w:rsid w:val="00554ED2"/>
    <w:rsid w:val="0055513C"/>
    <w:rsid w:val="005556AE"/>
    <w:rsid w:val="00556382"/>
    <w:rsid w:val="00556A4F"/>
    <w:rsid w:val="00556A8B"/>
    <w:rsid w:val="00556E9C"/>
    <w:rsid w:val="00556FB9"/>
    <w:rsid w:val="00557B03"/>
    <w:rsid w:val="00557E5B"/>
    <w:rsid w:val="00557F2C"/>
    <w:rsid w:val="0056006D"/>
    <w:rsid w:val="0056049B"/>
    <w:rsid w:val="0056060F"/>
    <w:rsid w:val="0056066B"/>
    <w:rsid w:val="00560871"/>
    <w:rsid w:val="00560A9E"/>
    <w:rsid w:val="00560AAC"/>
    <w:rsid w:val="00560FFF"/>
    <w:rsid w:val="005614B8"/>
    <w:rsid w:val="005619B6"/>
    <w:rsid w:val="00561C0D"/>
    <w:rsid w:val="00561EA3"/>
    <w:rsid w:val="0056261A"/>
    <w:rsid w:val="0056283C"/>
    <w:rsid w:val="00563212"/>
    <w:rsid w:val="005638BE"/>
    <w:rsid w:val="00563C85"/>
    <w:rsid w:val="00563F7F"/>
    <w:rsid w:val="0056473F"/>
    <w:rsid w:val="00564779"/>
    <w:rsid w:val="005650EF"/>
    <w:rsid w:val="00565FF0"/>
    <w:rsid w:val="00566136"/>
    <w:rsid w:val="00566BDA"/>
    <w:rsid w:val="00566C40"/>
    <w:rsid w:val="00566CF4"/>
    <w:rsid w:val="00566D74"/>
    <w:rsid w:val="00567AE9"/>
    <w:rsid w:val="00570A43"/>
    <w:rsid w:val="00570F90"/>
    <w:rsid w:val="005710C7"/>
    <w:rsid w:val="005711D6"/>
    <w:rsid w:val="00571668"/>
    <w:rsid w:val="005725DE"/>
    <w:rsid w:val="0057263B"/>
    <w:rsid w:val="005726A7"/>
    <w:rsid w:val="0057277D"/>
    <w:rsid w:val="005729CD"/>
    <w:rsid w:val="00572BB0"/>
    <w:rsid w:val="00572C40"/>
    <w:rsid w:val="00572C63"/>
    <w:rsid w:val="00572D33"/>
    <w:rsid w:val="005732FE"/>
    <w:rsid w:val="0057341B"/>
    <w:rsid w:val="0057344D"/>
    <w:rsid w:val="005734BE"/>
    <w:rsid w:val="005737A2"/>
    <w:rsid w:val="00573C25"/>
    <w:rsid w:val="00573D40"/>
    <w:rsid w:val="005741AE"/>
    <w:rsid w:val="00574215"/>
    <w:rsid w:val="00574D09"/>
    <w:rsid w:val="00574F40"/>
    <w:rsid w:val="00575458"/>
    <w:rsid w:val="005754EF"/>
    <w:rsid w:val="00575A62"/>
    <w:rsid w:val="00575F8E"/>
    <w:rsid w:val="00575FDB"/>
    <w:rsid w:val="00576579"/>
    <w:rsid w:val="00576811"/>
    <w:rsid w:val="00576819"/>
    <w:rsid w:val="0057693D"/>
    <w:rsid w:val="0057749B"/>
    <w:rsid w:val="00577784"/>
    <w:rsid w:val="005779F1"/>
    <w:rsid w:val="00577C8C"/>
    <w:rsid w:val="005804B1"/>
    <w:rsid w:val="00580A62"/>
    <w:rsid w:val="0058165C"/>
    <w:rsid w:val="005816F0"/>
    <w:rsid w:val="00581F6A"/>
    <w:rsid w:val="0058207E"/>
    <w:rsid w:val="00582261"/>
    <w:rsid w:val="00582678"/>
    <w:rsid w:val="0058285F"/>
    <w:rsid w:val="00582949"/>
    <w:rsid w:val="00582981"/>
    <w:rsid w:val="005830FE"/>
    <w:rsid w:val="0058317C"/>
    <w:rsid w:val="00583954"/>
    <w:rsid w:val="005839B4"/>
    <w:rsid w:val="00583B6A"/>
    <w:rsid w:val="00584C3F"/>
    <w:rsid w:val="00584D37"/>
    <w:rsid w:val="0058549D"/>
    <w:rsid w:val="0058559D"/>
    <w:rsid w:val="00585744"/>
    <w:rsid w:val="00585900"/>
    <w:rsid w:val="00585949"/>
    <w:rsid w:val="00585EE8"/>
    <w:rsid w:val="0058603B"/>
    <w:rsid w:val="00586229"/>
    <w:rsid w:val="00586756"/>
    <w:rsid w:val="005869A2"/>
    <w:rsid w:val="00586CF7"/>
    <w:rsid w:val="00586FED"/>
    <w:rsid w:val="00587229"/>
    <w:rsid w:val="00587384"/>
    <w:rsid w:val="00587717"/>
    <w:rsid w:val="0058781E"/>
    <w:rsid w:val="005901FE"/>
    <w:rsid w:val="005903BE"/>
    <w:rsid w:val="00590649"/>
    <w:rsid w:val="00590AB7"/>
    <w:rsid w:val="00590AD7"/>
    <w:rsid w:val="00590E52"/>
    <w:rsid w:val="00590E9E"/>
    <w:rsid w:val="00591906"/>
    <w:rsid w:val="00591C91"/>
    <w:rsid w:val="00592061"/>
    <w:rsid w:val="0059213D"/>
    <w:rsid w:val="005923EF"/>
    <w:rsid w:val="00592ED2"/>
    <w:rsid w:val="00592F3D"/>
    <w:rsid w:val="005930DC"/>
    <w:rsid w:val="00593227"/>
    <w:rsid w:val="0059329E"/>
    <w:rsid w:val="00593390"/>
    <w:rsid w:val="005933DB"/>
    <w:rsid w:val="00593523"/>
    <w:rsid w:val="005935DB"/>
    <w:rsid w:val="0059436A"/>
    <w:rsid w:val="005945DB"/>
    <w:rsid w:val="005949B2"/>
    <w:rsid w:val="00594ECC"/>
    <w:rsid w:val="00595615"/>
    <w:rsid w:val="00595CAC"/>
    <w:rsid w:val="00595D82"/>
    <w:rsid w:val="00595E69"/>
    <w:rsid w:val="0059627D"/>
    <w:rsid w:val="005962A1"/>
    <w:rsid w:val="005964CF"/>
    <w:rsid w:val="0059694B"/>
    <w:rsid w:val="00596BA2"/>
    <w:rsid w:val="00596BAA"/>
    <w:rsid w:val="00596F5C"/>
    <w:rsid w:val="0059709A"/>
    <w:rsid w:val="005971FB"/>
    <w:rsid w:val="00597555"/>
    <w:rsid w:val="005977D4"/>
    <w:rsid w:val="005A0378"/>
    <w:rsid w:val="005A05D9"/>
    <w:rsid w:val="005A071D"/>
    <w:rsid w:val="005A0AD1"/>
    <w:rsid w:val="005A0CE7"/>
    <w:rsid w:val="005A0F66"/>
    <w:rsid w:val="005A0FFF"/>
    <w:rsid w:val="005A1013"/>
    <w:rsid w:val="005A11BF"/>
    <w:rsid w:val="005A11DC"/>
    <w:rsid w:val="005A139C"/>
    <w:rsid w:val="005A1510"/>
    <w:rsid w:val="005A15B1"/>
    <w:rsid w:val="005A160A"/>
    <w:rsid w:val="005A2077"/>
    <w:rsid w:val="005A2541"/>
    <w:rsid w:val="005A267F"/>
    <w:rsid w:val="005A268A"/>
    <w:rsid w:val="005A26E3"/>
    <w:rsid w:val="005A26EA"/>
    <w:rsid w:val="005A2708"/>
    <w:rsid w:val="005A293E"/>
    <w:rsid w:val="005A29EC"/>
    <w:rsid w:val="005A2C50"/>
    <w:rsid w:val="005A35EB"/>
    <w:rsid w:val="005A39C1"/>
    <w:rsid w:val="005A3C30"/>
    <w:rsid w:val="005A4092"/>
    <w:rsid w:val="005A4191"/>
    <w:rsid w:val="005A4EB4"/>
    <w:rsid w:val="005A4FB3"/>
    <w:rsid w:val="005A5B48"/>
    <w:rsid w:val="005A5C01"/>
    <w:rsid w:val="005A5C99"/>
    <w:rsid w:val="005A62C8"/>
    <w:rsid w:val="005A62ED"/>
    <w:rsid w:val="005A62F2"/>
    <w:rsid w:val="005A63E5"/>
    <w:rsid w:val="005A6CA2"/>
    <w:rsid w:val="005A6FB2"/>
    <w:rsid w:val="005A7391"/>
    <w:rsid w:val="005A79BC"/>
    <w:rsid w:val="005A7F03"/>
    <w:rsid w:val="005B0102"/>
    <w:rsid w:val="005B0185"/>
    <w:rsid w:val="005B0CEC"/>
    <w:rsid w:val="005B1606"/>
    <w:rsid w:val="005B1686"/>
    <w:rsid w:val="005B18D5"/>
    <w:rsid w:val="005B1EC1"/>
    <w:rsid w:val="005B21C0"/>
    <w:rsid w:val="005B2534"/>
    <w:rsid w:val="005B2BF5"/>
    <w:rsid w:val="005B2DD7"/>
    <w:rsid w:val="005B31C7"/>
    <w:rsid w:val="005B34B3"/>
    <w:rsid w:val="005B3524"/>
    <w:rsid w:val="005B353B"/>
    <w:rsid w:val="005B359E"/>
    <w:rsid w:val="005B3A81"/>
    <w:rsid w:val="005B3B93"/>
    <w:rsid w:val="005B4251"/>
    <w:rsid w:val="005B4A92"/>
    <w:rsid w:val="005B4CEE"/>
    <w:rsid w:val="005B4E83"/>
    <w:rsid w:val="005B51E4"/>
    <w:rsid w:val="005B52E9"/>
    <w:rsid w:val="005B5931"/>
    <w:rsid w:val="005B5D89"/>
    <w:rsid w:val="005B5EB2"/>
    <w:rsid w:val="005B5EDB"/>
    <w:rsid w:val="005B6A78"/>
    <w:rsid w:val="005B6DA1"/>
    <w:rsid w:val="005B6EFD"/>
    <w:rsid w:val="005B744B"/>
    <w:rsid w:val="005B75FB"/>
    <w:rsid w:val="005B7BD8"/>
    <w:rsid w:val="005B7CE2"/>
    <w:rsid w:val="005B7D9C"/>
    <w:rsid w:val="005B7D9D"/>
    <w:rsid w:val="005B7E68"/>
    <w:rsid w:val="005C0629"/>
    <w:rsid w:val="005C082B"/>
    <w:rsid w:val="005C0896"/>
    <w:rsid w:val="005C0A67"/>
    <w:rsid w:val="005C0D01"/>
    <w:rsid w:val="005C160B"/>
    <w:rsid w:val="005C163F"/>
    <w:rsid w:val="005C17A7"/>
    <w:rsid w:val="005C1FF8"/>
    <w:rsid w:val="005C283C"/>
    <w:rsid w:val="005C28B1"/>
    <w:rsid w:val="005C2A1B"/>
    <w:rsid w:val="005C34D8"/>
    <w:rsid w:val="005C365F"/>
    <w:rsid w:val="005C3801"/>
    <w:rsid w:val="005C3A9B"/>
    <w:rsid w:val="005C3CD0"/>
    <w:rsid w:val="005C3F3B"/>
    <w:rsid w:val="005C44A9"/>
    <w:rsid w:val="005C46D8"/>
    <w:rsid w:val="005C48F4"/>
    <w:rsid w:val="005C4BA6"/>
    <w:rsid w:val="005C5266"/>
    <w:rsid w:val="005C5409"/>
    <w:rsid w:val="005C54D4"/>
    <w:rsid w:val="005C5C17"/>
    <w:rsid w:val="005C5E1E"/>
    <w:rsid w:val="005C5EC1"/>
    <w:rsid w:val="005C5FCD"/>
    <w:rsid w:val="005C621D"/>
    <w:rsid w:val="005C62D2"/>
    <w:rsid w:val="005C6D22"/>
    <w:rsid w:val="005C74BF"/>
    <w:rsid w:val="005C770D"/>
    <w:rsid w:val="005C799B"/>
    <w:rsid w:val="005C79EB"/>
    <w:rsid w:val="005C7D21"/>
    <w:rsid w:val="005D01BD"/>
    <w:rsid w:val="005D044E"/>
    <w:rsid w:val="005D056F"/>
    <w:rsid w:val="005D05BB"/>
    <w:rsid w:val="005D0863"/>
    <w:rsid w:val="005D0883"/>
    <w:rsid w:val="005D0BC7"/>
    <w:rsid w:val="005D0D73"/>
    <w:rsid w:val="005D1155"/>
    <w:rsid w:val="005D13B5"/>
    <w:rsid w:val="005D1A17"/>
    <w:rsid w:val="005D1AEE"/>
    <w:rsid w:val="005D1BBC"/>
    <w:rsid w:val="005D1CCE"/>
    <w:rsid w:val="005D242C"/>
    <w:rsid w:val="005D24FA"/>
    <w:rsid w:val="005D28BF"/>
    <w:rsid w:val="005D2C91"/>
    <w:rsid w:val="005D3765"/>
    <w:rsid w:val="005D3B61"/>
    <w:rsid w:val="005D3CE4"/>
    <w:rsid w:val="005D40EB"/>
    <w:rsid w:val="005D43D2"/>
    <w:rsid w:val="005D498A"/>
    <w:rsid w:val="005D4D0F"/>
    <w:rsid w:val="005D4DBE"/>
    <w:rsid w:val="005D5353"/>
    <w:rsid w:val="005D5492"/>
    <w:rsid w:val="005D585A"/>
    <w:rsid w:val="005D63D0"/>
    <w:rsid w:val="005D6411"/>
    <w:rsid w:val="005D654C"/>
    <w:rsid w:val="005D6859"/>
    <w:rsid w:val="005D6CC2"/>
    <w:rsid w:val="005D72D8"/>
    <w:rsid w:val="005D72E3"/>
    <w:rsid w:val="005D73BE"/>
    <w:rsid w:val="005D777A"/>
    <w:rsid w:val="005D79BE"/>
    <w:rsid w:val="005D7A78"/>
    <w:rsid w:val="005D7F18"/>
    <w:rsid w:val="005E0614"/>
    <w:rsid w:val="005E0750"/>
    <w:rsid w:val="005E0A35"/>
    <w:rsid w:val="005E0CD0"/>
    <w:rsid w:val="005E0E55"/>
    <w:rsid w:val="005E11AE"/>
    <w:rsid w:val="005E12A4"/>
    <w:rsid w:val="005E12B1"/>
    <w:rsid w:val="005E135E"/>
    <w:rsid w:val="005E13F1"/>
    <w:rsid w:val="005E14D7"/>
    <w:rsid w:val="005E165A"/>
    <w:rsid w:val="005E1759"/>
    <w:rsid w:val="005E1A33"/>
    <w:rsid w:val="005E1F33"/>
    <w:rsid w:val="005E2113"/>
    <w:rsid w:val="005E2B82"/>
    <w:rsid w:val="005E2D75"/>
    <w:rsid w:val="005E2E37"/>
    <w:rsid w:val="005E2EF3"/>
    <w:rsid w:val="005E3368"/>
    <w:rsid w:val="005E3409"/>
    <w:rsid w:val="005E3A6F"/>
    <w:rsid w:val="005E3A7F"/>
    <w:rsid w:val="005E3A82"/>
    <w:rsid w:val="005E3B0F"/>
    <w:rsid w:val="005E3EFF"/>
    <w:rsid w:val="005E42DD"/>
    <w:rsid w:val="005E49E0"/>
    <w:rsid w:val="005E4D11"/>
    <w:rsid w:val="005E4E36"/>
    <w:rsid w:val="005E5583"/>
    <w:rsid w:val="005E5774"/>
    <w:rsid w:val="005E5967"/>
    <w:rsid w:val="005E5CA3"/>
    <w:rsid w:val="005E5FFD"/>
    <w:rsid w:val="005E61CF"/>
    <w:rsid w:val="005E626A"/>
    <w:rsid w:val="005E62B2"/>
    <w:rsid w:val="005E6448"/>
    <w:rsid w:val="005E660D"/>
    <w:rsid w:val="005E6987"/>
    <w:rsid w:val="005E6A36"/>
    <w:rsid w:val="005E6ABB"/>
    <w:rsid w:val="005E6C1C"/>
    <w:rsid w:val="005E6C87"/>
    <w:rsid w:val="005E6D47"/>
    <w:rsid w:val="005E7411"/>
    <w:rsid w:val="005E781D"/>
    <w:rsid w:val="005E7C82"/>
    <w:rsid w:val="005E7D19"/>
    <w:rsid w:val="005E7D3B"/>
    <w:rsid w:val="005F0EA7"/>
    <w:rsid w:val="005F0F14"/>
    <w:rsid w:val="005F0F7C"/>
    <w:rsid w:val="005F1232"/>
    <w:rsid w:val="005F1662"/>
    <w:rsid w:val="005F19E9"/>
    <w:rsid w:val="005F1B2A"/>
    <w:rsid w:val="005F1CC2"/>
    <w:rsid w:val="005F1D11"/>
    <w:rsid w:val="005F22B0"/>
    <w:rsid w:val="005F2A8F"/>
    <w:rsid w:val="005F2BD4"/>
    <w:rsid w:val="005F2EE5"/>
    <w:rsid w:val="005F30EC"/>
    <w:rsid w:val="005F3447"/>
    <w:rsid w:val="005F36AD"/>
    <w:rsid w:val="005F3722"/>
    <w:rsid w:val="005F4194"/>
    <w:rsid w:val="005F44D9"/>
    <w:rsid w:val="005F4A8C"/>
    <w:rsid w:val="005F4B48"/>
    <w:rsid w:val="005F4CD8"/>
    <w:rsid w:val="005F4E8A"/>
    <w:rsid w:val="005F523C"/>
    <w:rsid w:val="005F5245"/>
    <w:rsid w:val="005F52AC"/>
    <w:rsid w:val="005F5B48"/>
    <w:rsid w:val="005F60DA"/>
    <w:rsid w:val="005F65E7"/>
    <w:rsid w:val="005F6717"/>
    <w:rsid w:val="005F69C2"/>
    <w:rsid w:val="005F6A43"/>
    <w:rsid w:val="005F709C"/>
    <w:rsid w:val="005F736F"/>
    <w:rsid w:val="005F73D7"/>
    <w:rsid w:val="005F75CE"/>
    <w:rsid w:val="005F7DF7"/>
    <w:rsid w:val="006002A2"/>
    <w:rsid w:val="006002DB"/>
    <w:rsid w:val="0060062D"/>
    <w:rsid w:val="006006E4"/>
    <w:rsid w:val="0060090A"/>
    <w:rsid w:val="0060162A"/>
    <w:rsid w:val="006019E1"/>
    <w:rsid w:val="00601D32"/>
    <w:rsid w:val="00601D7C"/>
    <w:rsid w:val="006021A0"/>
    <w:rsid w:val="00602264"/>
    <w:rsid w:val="00602908"/>
    <w:rsid w:val="00602A2C"/>
    <w:rsid w:val="0060320F"/>
    <w:rsid w:val="006033A5"/>
    <w:rsid w:val="00603A86"/>
    <w:rsid w:val="00604314"/>
    <w:rsid w:val="00604938"/>
    <w:rsid w:val="00604DA4"/>
    <w:rsid w:val="00604F0A"/>
    <w:rsid w:val="00605425"/>
    <w:rsid w:val="00605770"/>
    <w:rsid w:val="00605B20"/>
    <w:rsid w:val="00605B39"/>
    <w:rsid w:val="006065EA"/>
    <w:rsid w:val="0060696B"/>
    <w:rsid w:val="00606BAA"/>
    <w:rsid w:val="00606F27"/>
    <w:rsid w:val="00606F55"/>
    <w:rsid w:val="006072FF"/>
    <w:rsid w:val="006078E3"/>
    <w:rsid w:val="0060790B"/>
    <w:rsid w:val="00607972"/>
    <w:rsid w:val="006101A8"/>
    <w:rsid w:val="00610528"/>
    <w:rsid w:val="00610631"/>
    <w:rsid w:val="00610B31"/>
    <w:rsid w:val="00610C0F"/>
    <w:rsid w:val="00610C55"/>
    <w:rsid w:val="00610CB8"/>
    <w:rsid w:val="00611169"/>
    <w:rsid w:val="00611248"/>
    <w:rsid w:val="0061166A"/>
    <w:rsid w:val="0061168A"/>
    <w:rsid w:val="00611B4E"/>
    <w:rsid w:val="00611F74"/>
    <w:rsid w:val="0061201D"/>
    <w:rsid w:val="00612512"/>
    <w:rsid w:val="00613093"/>
    <w:rsid w:val="00613283"/>
    <w:rsid w:val="00613372"/>
    <w:rsid w:val="00613462"/>
    <w:rsid w:val="00613572"/>
    <w:rsid w:val="0061363A"/>
    <w:rsid w:val="00613AC7"/>
    <w:rsid w:val="00613CEE"/>
    <w:rsid w:val="00613E1F"/>
    <w:rsid w:val="00614122"/>
    <w:rsid w:val="00614244"/>
    <w:rsid w:val="006147F6"/>
    <w:rsid w:val="00614A23"/>
    <w:rsid w:val="006150FE"/>
    <w:rsid w:val="006151A2"/>
    <w:rsid w:val="0061599E"/>
    <w:rsid w:val="00615C13"/>
    <w:rsid w:val="00616032"/>
    <w:rsid w:val="00616AD9"/>
    <w:rsid w:val="006170AF"/>
    <w:rsid w:val="0061755A"/>
    <w:rsid w:val="006176C5"/>
    <w:rsid w:val="0061778C"/>
    <w:rsid w:val="00617B85"/>
    <w:rsid w:val="00617CCD"/>
    <w:rsid w:val="00617FC8"/>
    <w:rsid w:val="00620103"/>
    <w:rsid w:val="006206A2"/>
    <w:rsid w:val="00620CF5"/>
    <w:rsid w:val="00621056"/>
    <w:rsid w:val="00621066"/>
    <w:rsid w:val="006210A8"/>
    <w:rsid w:val="006212AF"/>
    <w:rsid w:val="0062182F"/>
    <w:rsid w:val="0062190D"/>
    <w:rsid w:val="0062196D"/>
    <w:rsid w:val="00621D47"/>
    <w:rsid w:val="00621D4F"/>
    <w:rsid w:val="00621DE2"/>
    <w:rsid w:val="00621E81"/>
    <w:rsid w:val="00622A22"/>
    <w:rsid w:val="00622B32"/>
    <w:rsid w:val="00622F7B"/>
    <w:rsid w:val="00623015"/>
    <w:rsid w:val="00623236"/>
    <w:rsid w:val="006235BA"/>
    <w:rsid w:val="00623A51"/>
    <w:rsid w:val="00623C5B"/>
    <w:rsid w:val="00623D4C"/>
    <w:rsid w:val="00624191"/>
    <w:rsid w:val="00624291"/>
    <w:rsid w:val="006244B9"/>
    <w:rsid w:val="00624C2C"/>
    <w:rsid w:val="00624CBA"/>
    <w:rsid w:val="00624E3D"/>
    <w:rsid w:val="006253BD"/>
    <w:rsid w:val="00625545"/>
    <w:rsid w:val="006257BC"/>
    <w:rsid w:val="006258E9"/>
    <w:rsid w:val="00625B23"/>
    <w:rsid w:val="00625E75"/>
    <w:rsid w:val="00625FFA"/>
    <w:rsid w:val="0062670E"/>
    <w:rsid w:val="006267C6"/>
    <w:rsid w:val="0062682C"/>
    <w:rsid w:val="00626D0A"/>
    <w:rsid w:val="00626F3F"/>
    <w:rsid w:val="0062704D"/>
    <w:rsid w:val="0062730E"/>
    <w:rsid w:val="006273D0"/>
    <w:rsid w:val="00627570"/>
    <w:rsid w:val="00627D53"/>
    <w:rsid w:val="00627F72"/>
    <w:rsid w:val="00630676"/>
    <w:rsid w:val="00630AC0"/>
    <w:rsid w:val="00630D15"/>
    <w:rsid w:val="00630D23"/>
    <w:rsid w:val="00630DD6"/>
    <w:rsid w:val="0063132D"/>
    <w:rsid w:val="0063136E"/>
    <w:rsid w:val="00631747"/>
    <w:rsid w:val="006318E3"/>
    <w:rsid w:val="00631E40"/>
    <w:rsid w:val="006327A2"/>
    <w:rsid w:val="006328C3"/>
    <w:rsid w:val="00632A6B"/>
    <w:rsid w:val="00632E16"/>
    <w:rsid w:val="00632F50"/>
    <w:rsid w:val="006333F9"/>
    <w:rsid w:val="0063351C"/>
    <w:rsid w:val="00633876"/>
    <w:rsid w:val="006338F6"/>
    <w:rsid w:val="00633B9E"/>
    <w:rsid w:val="00633E6D"/>
    <w:rsid w:val="00634A99"/>
    <w:rsid w:val="00634B0C"/>
    <w:rsid w:val="0063571A"/>
    <w:rsid w:val="006359B9"/>
    <w:rsid w:val="00635CDF"/>
    <w:rsid w:val="00635D6A"/>
    <w:rsid w:val="00635E40"/>
    <w:rsid w:val="0063679B"/>
    <w:rsid w:val="00636971"/>
    <w:rsid w:val="00636977"/>
    <w:rsid w:val="00636EDF"/>
    <w:rsid w:val="0063784C"/>
    <w:rsid w:val="00637A3F"/>
    <w:rsid w:val="00637F2C"/>
    <w:rsid w:val="00640734"/>
    <w:rsid w:val="00640CC0"/>
    <w:rsid w:val="00640D72"/>
    <w:rsid w:val="00641076"/>
    <w:rsid w:val="0064111D"/>
    <w:rsid w:val="0064115E"/>
    <w:rsid w:val="00641702"/>
    <w:rsid w:val="006417A5"/>
    <w:rsid w:val="006419F9"/>
    <w:rsid w:val="006421FD"/>
    <w:rsid w:val="00642240"/>
    <w:rsid w:val="00642273"/>
    <w:rsid w:val="0064227B"/>
    <w:rsid w:val="00642336"/>
    <w:rsid w:val="00642434"/>
    <w:rsid w:val="00642609"/>
    <w:rsid w:val="0064272E"/>
    <w:rsid w:val="006427AB"/>
    <w:rsid w:val="00642AD2"/>
    <w:rsid w:val="00642E66"/>
    <w:rsid w:val="006431F2"/>
    <w:rsid w:val="0064372E"/>
    <w:rsid w:val="00643AA8"/>
    <w:rsid w:val="00643C80"/>
    <w:rsid w:val="00643F58"/>
    <w:rsid w:val="006440EE"/>
    <w:rsid w:val="00644376"/>
    <w:rsid w:val="0064449B"/>
    <w:rsid w:val="00644798"/>
    <w:rsid w:val="006449B4"/>
    <w:rsid w:val="006449F8"/>
    <w:rsid w:val="00644F4E"/>
    <w:rsid w:val="00645136"/>
    <w:rsid w:val="00645171"/>
    <w:rsid w:val="00645618"/>
    <w:rsid w:val="00645625"/>
    <w:rsid w:val="006457E4"/>
    <w:rsid w:val="00645DD7"/>
    <w:rsid w:val="00645FEF"/>
    <w:rsid w:val="0064618D"/>
    <w:rsid w:val="00646195"/>
    <w:rsid w:val="0064633A"/>
    <w:rsid w:val="00646372"/>
    <w:rsid w:val="006467C7"/>
    <w:rsid w:val="00646E55"/>
    <w:rsid w:val="00647033"/>
    <w:rsid w:val="00647156"/>
    <w:rsid w:val="00647662"/>
    <w:rsid w:val="0064767E"/>
    <w:rsid w:val="00650A2B"/>
    <w:rsid w:val="00650C48"/>
    <w:rsid w:val="00651260"/>
    <w:rsid w:val="006512A9"/>
    <w:rsid w:val="006512F4"/>
    <w:rsid w:val="00652632"/>
    <w:rsid w:val="00652757"/>
    <w:rsid w:val="0065323E"/>
    <w:rsid w:val="00653320"/>
    <w:rsid w:val="00653324"/>
    <w:rsid w:val="006533AA"/>
    <w:rsid w:val="006538FF"/>
    <w:rsid w:val="00653BD1"/>
    <w:rsid w:val="00653FED"/>
    <w:rsid w:val="00654176"/>
    <w:rsid w:val="006542EA"/>
    <w:rsid w:val="00654C18"/>
    <w:rsid w:val="00654C3B"/>
    <w:rsid w:val="00654C55"/>
    <w:rsid w:val="00654D68"/>
    <w:rsid w:val="00654EF4"/>
    <w:rsid w:val="00655050"/>
    <w:rsid w:val="006550B2"/>
    <w:rsid w:val="00655295"/>
    <w:rsid w:val="00655596"/>
    <w:rsid w:val="00655D9E"/>
    <w:rsid w:val="006564EC"/>
    <w:rsid w:val="00656785"/>
    <w:rsid w:val="00656845"/>
    <w:rsid w:val="00656CA7"/>
    <w:rsid w:val="00657698"/>
    <w:rsid w:val="00657A01"/>
    <w:rsid w:val="00657AAC"/>
    <w:rsid w:val="00657AF0"/>
    <w:rsid w:val="00660571"/>
    <w:rsid w:val="00660597"/>
    <w:rsid w:val="0066099F"/>
    <w:rsid w:val="00660D96"/>
    <w:rsid w:val="00660E91"/>
    <w:rsid w:val="00660ECF"/>
    <w:rsid w:val="00661473"/>
    <w:rsid w:val="00661B0F"/>
    <w:rsid w:val="00661E32"/>
    <w:rsid w:val="006621E6"/>
    <w:rsid w:val="006623E7"/>
    <w:rsid w:val="006629C4"/>
    <w:rsid w:val="00662B61"/>
    <w:rsid w:val="00662F31"/>
    <w:rsid w:val="006630C9"/>
    <w:rsid w:val="00663669"/>
    <w:rsid w:val="00663725"/>
    <w:rsid w:val="006638A0"/>
    <w:rsid w:val="00664535"/>
    <w:rsid w:val="006648C8"/>
    <w:rsid w:val="00664D1B"/>
    <w:rsid w:val="006652A9"/>
    <w:rsid w:val="006652CA"/>
    <w:rsid w:val="00665601"/>
    <w:rsid w:val="00665B57"/>
    <w:rsid w:val="00665CE0"/>
    <w:rsid w:val="00665D46"/>
    <w:rsid w:val="00666011"/>
    <w:rsid w:val="0066605A"/>
    <w:rsid w:val="006665FB"/>
    <w:rsid w:val="006668BE"/>
    <w:rsid w:val="006668EA"/>
    <w:rsid w:val="00666B6D"/>
    <w:rsid w:val="00666DFB"/>
    <w:rsid w:val="00667952"/>
    <w:rsid w:val="00667F8D"/>
    <w:rsid w:val="00670243"/>
    <w:rsid w:val="006703EB"/>
    <w:rsid w:val="00670E93"/>
    <w:rsid w:val="00670FB5"/>
    <w:rsid w:val="00671C6F"/>
    <w:rsid w:val="00672A91"/>
    <w:rsid w:val="00672D74"/>
    <w:rsid w:val="00672F20"/>
    <w:rsid w:val="00673473"/>
    <w:rsid w:val="00673635"/>
    <w:rsid w:val="006736DE"/>
    <w:rsid w:val="00673B7C"/>
    <w:rsid w:val="00673BD4"/>
    <w:rsid w:val="00673C85"/>
    <w:rsid w:val="00673FA5"/>
    <w:rsid w:val="0067417A"/>
    <w:rsid w:val="0067444B"/>
    <w:rsid w:val="00674909"/>
    <w:rsid w:val="00674948"/>
    <w:rsid w:val="006752EC"/>
    <w:rsid w:val="00675511"/>
    <w:rsid w:val="006755A7"/>
    <w:rsid w:val="006755BF"/>
    <w:rsid w:val="006757B4"/>
    <w:rsid w:val="00676493"/>
    <w:rsid w:val="00676A64"/>
    <w:rsid w:val="00676AB6"/>
    <w:rsid w:val="00676D7F"/>
    <w:rsid w:val="00677461"/>
    <w:rsid w:val="0067777E"/>
    <w:rsid w:val="00677842"/>
    <w:rsid w:val="00677E0D"/>
    <w:rsid w:val="006802C2"/>
    <w:rsid w:val="006805C2"/>
    <w:rsid w:val="00680653"/>
    <w:rsid w:val="00680688"/>
    <w:rsid w:val="006811BE"/>
    <w:rsid w:val="0068121C"/>
    <w:rsid w:val="00681FB0"/>
    <w:rsid w:val="006821F3"/>
    <w:rsid w:val="006824E6"/>
    <w:rsid w:val="00682561"/>
    <w:rsid w:val="00682AC7"/>
    <w:rsid w:val="00682E02"/>
    <w:rsid w:val="006834BA"/>
    <w:rsid w:val="006834EC"/>
    <w:rsid w:val="0068384F"/>
    <w:rsid w:val="00683958"/>
    <w:rsid w:val="00683C94"/>
    <w:rsid w:val="00683D38"/>
    <w:rsid w:val="00683EA7"/>
    <w:rsid w:val="006841B8"/>
    <w:rsid w:val="006846D9"/>
    <w:rsid w:val="00684ABA"/>
    <w:rsid w:val="00685532"/>
    <w:rsid w:val="00685675"/>
    <w:rsid w:val="00685970"/>
    <w:rsid w:val="00685F1D"/>
    <w:rsid w:val="00686452"/>
    <w:rsid w:val="006865F4"/>
    <w:rsid w:val="00687687"/>
    <w:rsid w:val="00687AEE"/>
    <w:rsid w:val="00690B5C"/>
    <w:rsid w:val="00690F61"/>
    <w:rsid w:val="00691743"/>
    <w:rsid w:val="006922F9"/>
    <w:rsid w:val="00692D68"/>
    <w:rsid w:val="00692DF0"/>
    <w:rsid w:val="0069329D"/>
    <w:rsid w:val="006932CA"/>
    <w:rsid w:val="0069350E"/>
    <w:rsid w:val="0069373B"/>
    <w:rsid w:val="00693D6E"/>
    <w:rsid w:val="00693D8F"/>
    <w:rsid w:val="00693EF9"/>
    <w:rsid w:val="006945D0"/>
    <w:rsid w:val="006946D8"/>
    <w:rsid w:val="00694803"/>
    <w:rsid w:val="00695125"/>
    <w:rsid w:val="0069520B"/>
    <w:rsid w:val="006957BE"/>
    <w:rsid w:val="00695C65"/>
    <w:rsid w:val="006961C0"/>
    <w:rsid w:val="0069684E"/>
    <w:rsid w:val="006968BE"/>
    <w:rsid w:val="00696FDE"/>
    <w:rsid w:val="006970DC"/>
    <w:rsid w:val="00697A8D"/>
    <w:rsid w:val="00697C63"/>
    <w:rsid w:val="006A04C4"/>
    <w:rsid w:val="006A0607"/>
    <w:rsid w:val="006A0663"/>
    <w:rsid w:val="006A066C"/>
    <w:rsid w:val="006A0E71"/>
    <w:rsid w:val="006A110C"/>
    <w:rsid w:val="006A1153"/>
    <w:rsid w:val="006A1206"/>
    <w:rsid w:val="006A1F96"/>
    <w:rsid w:val="006A2061"/>
    <w:rsid w:val="006A209C"/>
    <w:rsid w:val="006A2BDF"/>
    <w:rsid w:val="006A2D18"/>
    <w:rsid w:val="006A313B"/>
    <w:rsid w:val="006A3338"/>
    <w:rsid w:val="006A37AF"/>
    <w:rsid w:val="006A3B93"/>
    <w:rsid w:val="006A42FC"/>
    <w:rsid w:val="006A4648"/>
    <w:rsid w:val="006A4B0E"/>
    <w:rsid w:val="006A4BC6"/>
    <w:rsid w:val="006A4DAF"/>
    <w:rsid w:val="006A5220"/>
    <w:rsid w:val="006A590B"/>
    <w:rsid w:val="006A5AFC"/>
    <w:rsid w:val="006A5CE9"/>
    <w:rsid w:val="006A5F44"/>
    <w:rsid w:val="006A6154"/>
    <w:rsid w:val="006A6273"/>
    <w:rsid w:val="006A62DB"/>
    <w:rsid w:val="006A62F7"/>
    <w:rsid w:val="006A673C"/>
    <w:rsid w:val="006A68E8"/>
    <w:rsid w:val="006A68E9"/>
    <w:rsid w:val="006A6C78"/>
    <w:rsid w:val="006A6CB8"/>
    <w:rsid w:val="006A6E5D"/>
    <w:rsid w:val="006A6F58"/>
    <w:rsid w:val="006A7333"/>
    <w:rsid w:val="006A75CD"/>
    <w:rsid w:val="006A7A5B"/>
    <w:rsid w:val="006A7C22"/>
    <w:rsid w:val="006B00BA"/>
    <w:rsid w:val="006B0585"/>
    <w:rsid w:val="006B08F5"/>
    <w:rsid w:val="006B0938"/>
    <w:rsid w:val="006B0C08"/>
    <w:rsid w:val="006B0FC8"/>
    <w:rsid w:val="006B10EF"/>
    <w:rsid w:val="006B13A0"/>
    <w:rsid w:val="006B146A"/>
    <w:rsid w:val="006B168D"/>
    <w:rsid w:val="006B1B9B"/>
    <w:rsid w:val="006B1BCE"/>
    <w:rsid w:val="006B1CEE"/>
    <w:rsid w:val="006B1EE5"/>
    <w:rsid w:val="006B1F62"/>
    <w:rsid w:val="006B21A5"/>
    <w:rsid w:val="006B220C"/>
    <w:rsid w:val="006B27F4"/>
    <w:rsid w:val="006B29F8"/>
    <w:rsid w:val="006B33AF"/>
    <w:rsid w:val="006B3956"/>
    <w:rsid w:val="006B3AAB"/>
    <w:rsid w:val="006B3CAD"/>
    <w:rsid w:val="006B3CB2"/>
    <w:rsid w:val="006B3D50"/>
    <w:rsid w:val="006B4116"/>
    <w:rsid w:val="006B43EC"/>
    <w:rsid w:val="006B472A"/>
    <w:rsid w:val="006B4CD4"/>
    <w:rsid w:val="006B4E4B"/>
    <w:rsid w:val="006B500C"/>
    <w:rsid w:val="006B57ED"/>
    <w:rsid w:val="006B5FE7"/>
    <w:rsid w:val="006B6180"/>
    <w:rsid w:val="006B61BB"/>
    <w:rsid w:val="006B648B"/>
    <w:rsid w:val="006B654D"/>
    <w:rsid w:val="006B6E11"/>
    <w:rsid w:val="006B7099"/>
    <w:rsid w:val="006B7134"/>
    <w:rsid w:val="006B72F0"/>
    <w:rsid w:val="006B73DF"/>
    <w:rsid w:val="006B774D"/>
    <w:rsid w:val="006B7830"/>
    <w:rsid w:val="006B7AA5"/>
    <w:rsid w:val="006B7B29"/>
    <w:rsid w:val="006B7F31"/>
    <w:rsid w:val="006C0238"/>
    <w:rsid w:val="006C03DC"/>
    <w:rsid w:val="006C0500"/>
    <w:rsid w:val="006C1041"/>
    <w:rsid w:val="006C11B9"/>
    <w:rsid w:val="006C16C9"/>
    <w:rsid w:val="006C1823"/>
    <w:rsid w:val="006C1EC1"/>
    <w:rsid w:val="006C207D"/>
    <w:rsid w:val="006C219F"/>
    <w:rsid w:val="006C2396"/>
    <w:rsid w:val="006C240F"/>
    <w:rsid w:val="006C2AA1"/>
    <w:rsid w:val="006C3775"/>
    <w:rsid w:val="006C3E35"/>
    <w:rsid w:val="006C438B"/>
    <w:rsid w:val="006C447E"/>
    <w:rsid w:val="006C4483"/>
    <w:rsid w:val="006C464F"/>
    <w:rsid w:val="006C4A34"/>
    <w:rsid w:val="006C4A4F"/>
    <w:rsid w:val="006C4EDF"/>
    <w:rsid w:val="006C530C"/>
    <w:rsid w:val="006C5323"/>
    <w:rsid w:val="006C5707"/>
    <w:rsid w:val="006C5BF0"/>
    <w:rsid w:val="006C5E6D"/>
    <w:rsid w:val="006C650A"/>
    <w:rsid w:val="006C6789"/>
    <w:rsid w:val="006C6A65"/>
    <w:rsid w:val="006C71DD"/>
    <w:rsid w:val="006C7561"/>
    <w:rsid w:val="006C7563"/>
    <w:rsid w:val="006C7D42"/>
    <w:rsid w:val="006C7DD7"/>
    <w:rsid w:val="006C7E6D"/>
    <w:rsid w:val="006C7F1C"/>
    <w:rsid w:val="006D0518"/>
    <w:rsid w:val="006D055B"/>
    <w:rsid w:val="006D0806"/>
    <w:rsid w:val="006D09B0"/>
    <w:rsid w:val="006D172E"/>
    <w:rsid w:val="006D19EC"/>
    <w:rsid w:val="006D1BC5"/>
    <w:rsid w:val="006D1DE0"/>
    <w:rsid w:val="006D1E55"/>
    <w:rsid w:val="006D260A"/>
    <w:rsid w:val="006D3144"/>
    <w:rsid w:val="006D378A"/>
    <w:rsid w:val="006D3BE6"/>
    <w:rsid w:val="006D412A"/>
    <w:rsid w:val="006D4A10"/>
    <w:rsid w:val="006D4D26"/>
    <w:rsid w:val="006D4DE2"/>
    <w:rsid w:val="006D4E2E"/>
    <w:rsid w:val="006D5044"/>
    <w:rsid w:val="006D5269"/>
    <w:rsid w:val="006D538D"/>
    <w:rsid w:val="006D5A59"/>
    <w:rsid w:val="006D5FEF"/>
    <w:rsid w:val="006D64F4"/>
    <w:rsid w:val="006D6820"/>
    <w:rsid w:val="006D687B"/>
    <w:rsid w:val="006D6A01"/>
    <w:rsid w:val="006D6B05"/>
    <w:rsid w:val="006D6E9D"/>
    <w:rsid w:val="006D6F3D"/>
    <w:rsid w:val="006D74A9"/>
    <w:rsid w:val="006D74E8"/>
    <w:rsid w:val="006D7C34"/>
    <w:rsid w:val="006D7C6E"/>
    <w:rsid w:val="006E020E"/>
    <w:rsid w:val="006E0618"/>
    <w:rsid w:val="006E1048"/>
    <w:rsid w:val="006E12A5"/>
    <w:rsid w:val="006E1446"/>
    <w:rsid w:val="006E1482"/>
    <w:rsid w:val="006E238A"/>
    <w:rsid w:val="006E2752"/>
    <w:rsid w:val="006E2781"/>
    <w:rsid w:val="006E321F"/>
    <w:rsid w:val="006E32F8"/>
    <w:rsid w:val="006E345D"/>
    <w:rsid w:val="006E353A"/>
    <w:rsid w:val="006E3FBE"/>
    <w:rsid w:val="006E4252"/>
    <w:rsid w:val="006E456B"/>
    <w:rsid w:val="006E485B"/>
    <w:rsid w:val="006E4AF3"/>
    <w:rsid w:val="006E5266"/>
    <w:rsid w:val="006E52E9"/>
    <w:rsid w:val="006E54BB"/>
    <w:rsid w:val="006E5815"/>
    <w:rsid w:val="006E5956"/>
    <w:rsid w:val="006E5984"/>
    <w:rsid w:val="006E5A46"/>
    <w:rsid w:val="006E61FE"/>
    <w:rsid w:val="006E62A9"/>
    <w:rsid w:val="006E641A"/>
    <w:rsid w:val="006E6C47"/>
    <w:rsid w:val="006E7808"/>
    <w:rsid w:val="006E7F39"/>
    <w:rsid w:val="006F043C"/>
    <w:rsid w:val="006F0CFF"/>
    <w:rsid w:val="006F10D6"/>
    <w:rsid w:val="006F1119"/>
    <w:rsid w:val="006F1652"/>
    <w:rsid w:val="006F16AD"/>
    <w:rsid w:val="006F1766"/>
    <w:rsid w:val="006F17FA"/>
    <w:rsid w:val="006F1B8D"/>
    <w:rsid w:val="006F1D04"/>
    <w:rsid w:val="006F1F62"/>
    <w:rsid w:val="006F2639"/>
    <w:rsid w:val="006F268F"/>
    <w:rsid w:val="006F2D64"/>
    <w:rsid w:val="006F3133"/>
    <w:rsid w:val="006F351A"/>
    <w:rsid w:val="006F360C"/>
    <w:rsid w:val="006F3EE8"/>
    <w:rsid w:val="006F4093"/>
    <w:rsid w:val="006F425C"/>
    <w:rsid w:val="006F445C"/>
    <w:rsid w:val="006F48B9"/>
    <w:rsid w:val="006F4BF0"/>
    <w:rsid w:val="006F4FAC"/>
    <w:rsid w:val="006F4FB8"/>
    <w:rsid w:val="006F540C"/>
    <w:rsid w:val="006F5520"/>
    <w:rsid w:val="006F5ABA"/>
    <w:rsid w:val="006F5E89"/>
    <w:rsid w:val="006F5F66"/>
    <w:rsid w:val="006F616F"/>
    <w:rsid w:val="006F6462"/>
    <w:rsid w:val="006F6978"/>
    <w:rsid w:val="006F6F0F"/>
    <w:rsid w:val="006F75E1"/>
    <w:rsid w:val="006F7B67"/>
    <w:rsid w:val="006F7BD4"/>
    <w:rsid w:val="00700572"/>
    <w:rsid w:val="00700D15"/>
    <w:rsid w:val="00701142"/>
    <w:rsid w:val="0070118D"/>
    <w:rsid w:val="00701C4A"/>
    <w:rsid w:val="0070215C"/>
    <w:rsid w:val="007024BB"/>
    <w:rsid w:val="0070298B"/>
    <w:rsid w:val="007030F1"/>
    <w:rsid w:val="00703126"/>
    <w:rsid w:val="00703538"/>
    <w:rsid w:val="007035B5"/>
    <w:rsid w:val="00703D4B"/>
    <w:rsid w:val="00703E93"/>
    <w:rsid w:val="0070415E"/>
    <w:rsid w:val="00704164"/>
    <w:rsid w:val="0070416D"/>
    <w:rsid w:val="00704300"/>
    <w:rsid w:val="00704610"/>
    <w:rsid w:val="00704CE2"/>
    <w:rsid w:val="00704FC6"/>
    <w:rsid w:val="007054D3"/>
    <w:rsid w:val="007055E0"/>
    <w:rsid w:val="00705A83"/>
    <w:rsid w:val="00705E9D"/>
    <w:rsid w:val="0070622C"/>
    <w:rsid w:val="00706A93"/>
    <w:rsid w:val="00706BCD"/>
    <w:rsid w:val="00706F64"/>
    <w:rsid w:val="00707112"/>
    <w:rsid w:val="007073B3"/>
    <w:rsid w:val="00707917"/>
    <w:rsid w:val="00707A1E"/>
    <w:rsid w:val="00707D76"/>
    <w:rsid w:val="00707DFD"/>
    <w:rsid w:val="00707E3E"/>
    <w:rsid w:val="00707EFD"/>
    <w:rsid w:val="007104C8"/>
    <w:rsid w:val="00710664"/>
    <w:rsid w:val="0071072C"/>
    <w:rsid w:val="007109C0"/>
    <w:rsid w:val="00710AB8"/>
    <w:rsid w:val="00710CA3"/>
    <w:rsid w:val="00710CAC"/>
    <w:rsid w:val="00710F28"/>
    <w:rsid w:val="00711181"/>
    <w:rsid w:val="00711AED"/>
    <w:rsid w:val="00711CB2"/>
    <w:rsid w:val="00711D20"/>
    <w:rsid w:val="00712181"/>
    <w:rsid w:val="0071241E"/>
    <w:rsid w:val="007124A1"/>
    <w:rsid w:val="0071268E"/>
    <w:rsid w:val="00712920"/>
    <w:rsid w:val="007131DC"/>
    <w:rsid w:val="00714002"/>
    <w:rsid w:val="007149AC"/>
    <w:rsid w:val="007149B0"/>
    <w:rsid w:val="00714DFB"/>
    <w:rsid w:val="00714F53"/>
    <w:rsid w:val="00715124"/>
    <w:rsid w:val="007153E9"/>
    <w:rsid w:val="00715654"/>
    <w:rsid w:val="00715660"/>
    <w:rsid w:val="00715A4F"/>
    <w:rsid w:val="00715CB9"/>
    <w:rsid w:val="00716052"/>
    <w:rsid w:val="007161C9"/>
    <w:rsid w:val="0071659A"/>
    <w:rsid w:val="0071704C"/>
    <w:rsid w:val="00717438"/>
    <w:rsid w:val="00717D77"/>
    <w:rsid w:val="00720879"/>
    <w:rsid w:val="00720E10"/>
    <w:rsid w:val="00720E7A"/>
    <w:rsid w:val="00720F6E"/>
    <w:rsid w:val="00720F7B"/>
    <w:rsid w:val="007213C8"/>
    <w:rsid w:val="0072178D"/>
    <w:rsid w:val="00721B01"/>
    <w:rsid w:val="00722368"/>
    <w:rsid w:val="00722540"/>
    <w:rsid w:val="007225D4"/>
    <w:rsid w:val="00722C87"/>
    <w:rsid w:val="0072330A"/>
    <w:rsid w:val="00723527"/>
    <w:rsid w:val="00723550"/>
    <w:rsid w:val="007235D6"/>
    <w:rsid w:val="00723813"/>
    <w:rsid w:val="00723AFC"/>
    <w:rsid w:val="0072402B"/>
    <w:rsid w:val="00724030"/>
    <w:rsid w:val="007241E9"/>
    <w:rsid w:val="007242DB"/>
    <w:rsid w:val="007245CB"/>
    <w:rsid w:val="007247C2"/>
    <w:rsid w:val="00724AC2"/>
    <w:rsid w:val="00724D15"/>
    <w:rsid w:val="00724F6B"/>
    <w:rsid w:val="00725665"/>
    <w:rsid w:val="007259B0"/>
    <w:rsid w:val="00725EDD"/>
    <w:rsid w:val="00726615"/>
    <w:rsid w:val="00726EE2"/>
    <w:rsid w:val="0072710D"/>
    <w:rsid w:val="007302D6"/>
    <w:rsid w:val="00730377"/>
    <w:rsid w:val="00730BDE"/>
    <w:rsid w:val="007315BB"/>
    <w:rsid w:val="00731692"/>
    <w:rsid w:val="00731991"/>
    <w:rsid w:val="00731D8F"/>
    <w:rsid w:val="007325C7"/>
    <w:rsid w:val="0073262D"/>
    <w:rsid w:val="0073278F"/>
    <w:rsid w:val="00732D24"/>
    <w:rsid w:val="00732FBD"/>
    <w:rsid w:val="00733576"/>
    <w:rsid w:val="0073363B"/>
    <w:rsid w:val="00733662"/>
    <w:rsid w:val="007336E4"/>
    <w:rsid w:val="0073374A"/>
    <w:rsid w:val="00733807"/>
    <w:rsid w:val="0073388B"/>
    <w:rsid w:val="00733EE5"/>
    <w:rsid w:val="007340CE"/>
    <w:rsid w:val="0073410B"/>
    <w:rsid w:val="00734237"/>
    <w:rsid w:val="007343AF"/>
    <w:rsid w:val="00734485"/>
    <w:rsid w:val="007345F7"/>
    <w:rsid w:val="00734843"/>
    <w:rsid w:val="00734961"/>
    <w:rsid w:val="00734C75"/>
    <w:rsid w:val="00735014"/>
    <w:rsid w:val="00735417"/>
    <w:rsid w:val="00735C8A"/>
    <w:rsid w:val="00735CEF"/>
    <w:rsid w:val="00735F23"/>
    <w:rsid w:val="007364CC"/>
    <w:rsid w:val="00736532"/>
    <w:rsid w:val="00736AB6"/>
    <w:rsid w:val="00736B7C"/>
    <w:rsid w:val="00736C02"/>
    <w:rsid w:val="00736F60"/>
    <w:rsid w:val="007374F6"/>
    <w:rsid w:val="00737636"/>
    <w:rsid w:val="0073775D"/>
    <w:rsid w:val="00737CF3"/>
    <w:rsid w:val="00737EA6"/>
    <w:rsid w:val="00737EE4"/>
    <w:rsid w:val="00740629"/>
    <w:rsid w:val="0074080A"/>
    <w:rsid w:val="0074085B"/>
    <w:rsid w:val="00740A6E"/>
    <w:rsid w:val="00740BAE"/>
    <w:rsid w:val="00740D39"/>
    <w:rsid w:val="00740E39"/>
    <w:rsid w:val="007410E8"/>
    <w:rsid w:val="007417CB"/>
    <w:rsid w:val="007419EA"/>
    <w:rsid w:val="00741ACC"/>
    <w:rsid w:val="00741C22"/>
    <w:rsid w:val="00742374"/>
    <w:rsid w:val="00742BD7"/>
    <w:rsid w:val="0074350E"/>
    <w:rsid w:val="00743779"/>
    <w:rsid w:val="0074414C"/>
    <w:rsid w:val="00744150"/>
    <w:rsid w:val="0074426D"/>
    <w:rsid w:val="007446F3"/>
    <w:rsid w:val="00744A40"/>
    <w:rsid w:val="00744AC4"/>
    <w:rsid w:val="00744B09"/>
    <w:rsid w:val="00744D38"/>
    <w:rsid w:val="00744D48"/>
    <w:rsid w:val="007452CB"/>
    <w:rsid w:val="007452E7"/>
    <w:rsid w:val="0074533C"/>
    <w:rsid w:val="0074538D"/>
    <w:rsid w:val="0074540C"/>
    <w:rsid w:val="0074627F"/>
    <w:rsid w:val="0074655A"/>
    <w:rsid w:val="0074694E"/>
    <w:rsid w:val="00746E89"/>
    <w:rsid w:val="00746E94"/>
    <w:rsid w:val="00747390"/>
    <w:rsid w:val="00747838"/>
    <w:rsid w:val="00750044"/>
    <w:rsid w:val="00750288"/>
    <w:rsid w:val="00750423"/>
    <w:rsid w:val="0075053C"/>
    <w:rsid w:val="00751022"/>
    <w:rsid w:val="007511E7"/>
    <w:rsid w:val="0075208F"/>
    <w:rsid w:val="007520D0"/>
    <w:rsid w:val="00752458"/>
    <w:rsid w:val="0075261E"/>
    <w:rsid w:val="00752721"/>
    <w:rsid w:val="0075293D"/>
    <w:rsid w:val="00752EEA"/>
    <w:rsid w:val="007530A9"/>
    <w:rsid w:val="007530DA"/>
    <w:rsid w:val="0075313B"/>
    <w:rsid w:val="00753466"/>
    <w:rsid w:val="00753862"/>
    <w:rsid w:val="007539C8"/>
    <w:rsid w:val="00753D36"/>
    <w:rsid w:val="00753DAB"/>
    <w:rsid w:val="00754502"/>
    <w:rsid w:val="0075477C"/>
    <w:rsid w:val="0075488D"/>
    <w:rsid w:val="00755294"/>
    <w:rsid w:val="0075570E"/>
    <w:rsid w:val="00755AD4"/>
    <w:rsid w:val="00756013"/>
    <w:rsid w:val="00756EBF"/>
    <w:rsid w:val="00757300"/>
    <w:rsid w:val="0075745D"/>
    <w:rsid w:val="0075754E"/>
    <w:rsid w:val="00757C86"/>
    <w:rsid w:val="00757E2C"/>
    <w:rsid w:val="00757F2C"/>
    <w:rsid w:val="007601F1"/>
    <w:rsid w:val="00760390"/>
    <w:rsid w:val="00760A28"/>
    <w:rsid w:val="00761178"/>
    <w:rsid w:val="00761223"/>
    <w:rsid w:val="0076137F"/>
    <w:rsid w:val="007613F8"/>
    <w:rsid w:val="00761705"/>
    <w:rsid w:val="00761AE1"/>
    <w:rsid w:val="00761EA4"/>
    <w:rsid w:val="007624C0"/>
    <w:rsid w:val="00762618"/>
    <w:rsid w:val="00762819"/>
    <w:rsid w:val="00762A1E"/>
    <w:rsid w:val="00762C5F"/>
    <w:rsid w:val="00762DBC"/>
    <w:rsid w:val="00762F9A"/>
    <w:rsid w:val="0076303A"/>
    <w:rsid w:val="0076308E"/>
    <w:rsid w:val="007631EB"/>
    <w:rsid w:val="007637AB"/>
    <w:rsid w:val="00763CBC"/>
    <w:rsid w:val="00764517"/>
    <w:rsid w:val="00764553"/>
    <w:rsid w:val="00764B1F"/>
    <w:rsid w:val="00764CA4"/>
    <w:rsid w:val="00765041"/>
    <w:rsid w:val="0076512F"/>
    <w:rsid w:val="0076531B"/>
    <w:rsid w:val="00765CA9"/>
    <w:rsid w:val="007663FA"/>
    <w:rsid w:val="00766546"/>
    <w:rsid w:val="00766A5A"/>
    <w:rsid w:val="00766B65"/>
    <w:rsid w:val="00766DD8"/>
    <w:rsid w:val="00766EA0"/>
    <w:rsid w:val="00766FD3"/>
    <w:rsid w:val="007672E6"/>
    <w:rsid w:val="007673BD"/>
    <w:rsid w:val="00767725"/>
    <w:rsid w:val="00767975"/>
    <w:rsid w:val="00767F3E"/>
    <w:rsid w:val="00770709"/>
    <w:rsid w:val="00770DB6"/>
    <w:rsid w:val="007712D9"/>
    <w:rsid w:val="007715DF"/>
    <w:rsid w:val="00771A61"/>
    <w:rsid w:val="00771C08"/>
    <w:rsid w:val="00771DC2"/>
    <w:rsid w:val="00772382"/>
    <w:rsid w:val="0077324D"/>
    <w:rsid w:val="00773A8A"/>
    <w:rsid w:val="00773DBE"/>
    <w:rsid w:val="0077418F"/>
    <w:rsid w:val="00774A9C"/>
    <w:rsid w:val="00774D4D"/>
    <w:rsid w:val="00774EDA"/>
    <w:rsid w:val="0077532E"/>
    <w:rsid w:val="00775518"/>
    <w:rsid w:val="0077577A"/>
    <w:rsid w:val="007757F5"/>
    <w:rsid w:val="007758A1"/>
    <w:rsid w:val="0077598D"/>
    <w:rsid w:val="007759D6"/>
    <w:rsid w:val="00775A18"/>
    <w:rsid w:val="00775FA5"/>
    <w:rsid w:val="00776570"/>
    <w:rsid w:val="007765FC"/>
    <w:rsid w:val="00777172"/>
    <w:rsid w:val="007776EA"/>
    <w:rsid w:val="007779FD"/>
    <w:rsid w:val="00777ACB"/>
    <w:rsid w:val="00777B62"/>
    <w:rsid w:val="00777D30"/>
    <w:rsid w:val="0078106D"/>
    <w:rsid w:val="00781070"/>
    <w:rsid w:val="00781677"/>
    <w:rsid w:val="00781792"/>
    <w:rsid w:val="007817EF"/>
    <w:rsid w:val="00781FC4"/>
    <w:rsid w:val="00782031"/>
    <w:rsid w:val="00782432"/>
    <w:rsid w:val="00782D2E"/>
    <w:rsid w:val="00782D41"/>
    <w:rsid w:val="00783659"/>
    <w:rsid w:val="007836C9"/>
    <w:rsid w:val="007837F9"/>
    <w:rsid w:val="00783CF6"/>
    <w:rsid w:val="00783D82"/>
    <w:rsid w:val="00784399"/>
    <w:rsid w:val="0078458A"/>
    <w:rsid w:val="007846FA"/>
    <w:rsid w:val="0078473B"/>
    <w:rsid w:val="00784A22"/>
    <w:rsid w:val="00784B85"/>
    <w:rsid w:val="00784EE5"/>
    <w:rsid w:val="007852D6"/>
    <w:rsid w:val="00785512"/>
    <w:rsid w:val="007855BB"/>
    <w:rsid w:val="0078602C"/>
    <w:rsid w:val="00786BB4"/>
    <w:rsid w:val="00786BC4"/>
    <w:rsid w:val="00786C2A"/>
    <w:rsid w:val="00786D24"/>
    <w:rsid w:val="00787155"/>
    <w:rsid w:val="0078718F"/>
    <w:rsid w:val="007871DE"/>
    <w:rsid w:val="0078759C"/>
    <w:rsid w:val="0078765E"/>
    <w:rsid w:val="00787948"/>
    <w:rsid w:val="0078797F"/>
    <w:rsid w:val="007905D9"/>
    <w:rsid w:val="00790753"/>
    <w:rsid w:val="00790B4A"/>
    <w:rsid w:val="00791318"/>
    <w:rsid w:val="007915EF"/>
    <w:rsid w:val="00791889"/>
    <w:rsid w:val="00791AC9"/>
    <w:rsid w:val="00791BDF"/>
    <w:rsid w:val="00792276"/>
    <w:rsid w:val="0079232F"/>
    <w:rsid w:val="00792430"/>
    <w:rsid w:val="0079293D"/>
    <w:rsid w:val="00792B46"/>
    <w:rsid w:val="00792D0B"/>
    <w:rsid w:val="00792E5D"/>
    <w:rsid w:val="00792EB7"/>
    <w:rsid w:val="00792EBA"/>
    <w:rsid w:val="00792FE3"/>
    <w:rsid w:val="0079368D"/>
    <w:rsid w:val="00793C3C"/>
    <w:rsid w:val="007942D5"/>
    <w:rsid w:val="007943B8"/>
    <w:rsid w:val="00794629"/>
    <w:rsid w:val="0079467E"/>
    <w:rsid w:val="007946A6"/>
    <w:rsid w:val="00794801"/>
    <w:rsid w:val="00794FCC"/>
    <w:rsid w:val="007951E8"/>
    <w:rsid w:val="007951F1"/>
    <w:rsid w:val="0079580D"/>
    <w:rsid w:val="00795DED"/>
    <w:rsid w:val="00795FFA"/>
    <w:rsid w:val="00796359"/>
    <w:rsid w:val="00796404"/>
    <w:rsid w:val="00796480"/>
    <w:rsid w:val="007965F0"/>
    <w:rsid w:val="00796A94"/>
    <w:rsid w:val="00796ACD"/>
    <w:rsid w:val="00796E16"/>
    <w:rsid w:val="00796E72"/>
    <w:rsid w:val="007970C6"/>
    <w:rsid w:val="007970D4"/>
    <w:rsid w:val="00797515"/>
    <w:rsid w:val="007978E4"/>
    <w:rsid w:val="007A031C"/>
    <w:rsid w:val="007A085E"/>
    <w:rsid w:val="007A0FED"/>
    <w:rsid w:val="007A101E"/>
    <w:rsid w:val="007A10F3"/>
    <w:rsid w:val="007A1752"/>
    <w:rsid w:val="007A1844"/>
    <w:rsid w:val="007A1B0A"/>
    <w:rsid w:val="007A208E"/>
    <w:rsid w:val="007A21E3"/>
    <w:rsid w:val="007A2AE5"/>
    <w:rsid w:val="007A2B50"/>
    <w:rsid w:val="007A2E04"/>
    <w:rsid w:val="007A2FF8"/>
    <w:rsid w:val="007A3114"/>
    <w:rsid w:val="007A343D"/>
    <w:rsid w:val="007A37F6"/>
    <w:rsid w:val="007A384C"/>
    <w:rsid w:val="007A3921"/>
    <w:rsid w:val="007A3A60"/>
    <w:rsid w:val="007A3C21"/>
    <w:rsid w:val="007A41EC"/>
    <w:rsid w:val="007A41F7"/>
    <w:rsid w:val="007A428A"/>
    <w:rsid w:val="007A44E5"/>
    <w:rsid w:val="007A4683"/>
    <w:rsid w:val="007A4981"/>
    <w:rsid w:val="007A4A91"/>
    <w:rsid w:val="007A5984"/>
    <w:rsid w:val="007A5CFF"/>
    <w:rsid w:val="007A669B"/>
    <w:rsid w:val="007A677F"/>
    <w:rsid w:val="007A6787"/>
    <w:rsid w:val="007A6D89"/>
    <w:rsid w:val="007A7277"/>
    <w:rsid w:val="007A7283"/>
    <w:rsid w:val="007A7326"/>
    <w:rsid w:val="007A7454"/>
    <w:rsid w:val="007A7916"/>
    <w:rsid w:val="007A7B65"/>
    <w:rsid w:val="007A7F8A"/>
    <w:rsid w:val="007A7FB8"/>
    <w:rsid w:val="007B013D"/>
    <w:rsid w:val="007B035D"/>
    <w:rsid w:val="007B0470"/>
    <w:rsid w:val="007B0671"/>
    <w:rsid w:val="007B069E"/>
    <w:rsid w:val="007B0C09"/>
    <w:rsid w:val="007B0D55"/>
    <w:rsid w:val="007B1015"/>
    <w:rsid w:val="007B11A0"/>
    <w:rsid w:val="007B11A8"/>
    <w:rsid w:val="007B1288"/>
    <w:rsid w:val="007B1361"/>
    <w:rsid w:val="007B17A0"/>
    <w:rsid w:val="007B1DC4"/>
    <w:rsid w:val="007B1DC5"/>
    <w:rsid w:val="007B1DF4"/>
    <w:rsid w:val="007B2315"/>
    <w:rsid w:val="007B28A3"/>
    <w:rsid w:val="007B3716"/>
    <w:rsid w:val="007B39F3"/>
    <w:rsid w:val="007B3EF4"/>
    <w:rsid w:val="007B42E4"/>
    <w:rsid w:val="007B4436"/>
    <w:rsid w:val="007B45BE"/>
    <w:rsid w:val="007B46C9"/>
    <w:rsid w:val="007B4799"/>
    <w:rsid w:val="007B47B6"/>
    <w:rsid w:val="007B4D45"/>
    <w:rsid w:val="007B4E64"/>
    <w:rsid w:val="007B5473"/>
    <w:rsid w:val="007B5624"/>
    <w:rsid w:val="007B5A98"/>
    <w:rsid w:val="007B5EFE"/>
    <w:rsid w:val="007B5FAE"/>
    <w:rsid w:val="007B60AE"/>
    <w:rsid w:val="007B61CA"/>
    <w:rsid w:val="007B62A6"/>
    <w:rsid w:val="007B6385"/>
    <w:rsid w:val="007B660D"/>
    <w:rsid w:val="007B6A70"/>
    <w:rsid w:val="007B6ED2"/>
    <w:rsid w:val="007C027D"/>
    <w:rsid w:val="007C03D0"/>
    <w:rsid w:val="007C042E"/>
    <w:rsid w:val="007C05C0"/>
    <w:rsid w:val="007C0A57"/>
    <w:rsid w:val="007C0D4B"/>
    <w:rsid w:val="007C0F95"/>
    <w:rsid w:val="007C173F"/>
    <w:rsid w:val="007C1AF9"/>
    <w:rsid w:val="007C222A"/>
    <w:rsid w:val="007C24F9"/>
    <w:rsid w:val="007C2547"/>
    <w:rsid w:val="007C262C"/>
    <w:rsid w:val="007C28D9"/>
    <w:rsid w:val="007C2F9E"/>
    <w:rsid w:val="007C30D6"/>
    <w:rsid w:val="007C317F"/>
    <w:rsid w:val="007C36B6"/>
    <w:rsid w:val="007C3F0B"/>
    <w:rsid w:val="007C3FD7"/>
    <w:rsid w:val="007C46FA"/>
    <w:rsid w:val="007C4723"/>
    <w:rsid w:val="007C48DB"/>
    <w:rsid w:val="007C4DF5"/>
    <w:rsid w:val="007C4E46"/>
    <w:rsid w:val="007C531D"/>
    <w:rsid w:val="007C56E3"/>
    <w:rsid w:val="007C570F"/>
    <w:rsid w:val="007C5DAD"/>
    <w:rsid w:val="007C6124"/>
    <w:rsid w:val="007C61DB"/>
    <w:rsid w:val="007C6AFF"/>
    <w:rsid w:val="007C7031"/>
    <w:rsid w:val="007C7090"/>
    <w:rsid w:val="007C70DA"/>
    <w:rsid w:val="007C76DF"/>
    <w:rsid w:val="007C778F"/>
    <w:rsid w:val="007C7C1E"/>
    <w:rsid w:val="007C7DBA"/>
    <w:rsid w:val="007D0257"/>
    <w:rsid w:val="007D025D"/>
    <w:rsid w:val="007D0272"/>
    <w:rsid w:val="007D03E7"/>
    <w:rsid w:val="007D040C"/>
    <w:rsid w:val="007D13C7"/>
    <w:rsid w:val="007D14B3"/>
    <w:rsid w:val="007D159F"/>
    <w:rsid w:val="007D1BAA"/>
    <w:rsid w:val="007D2377"/>
    <w:rsid w:val="007D2382"/>
    <w:rsid w:val="007D2428"/>
    <w:rsid w:val="007D283A"/>
    <w:rsid w:val="007D2922"/>
    <w:rsid w:val="007D2B7B"/>
    <w:rsid w:val="007D2CD5"/>
    <w:rsid w:val="007D2D8C"/>
    <w:rsid w:val="007D3D5F"/>
    <w:rsid w:val="007D3EF0"/>
    <w:rsid w:val="007D425F"/>
    <w:rsid w:val="007D437A"/>
    <w:rsid w:val="007D4650"/>
    <w:rsid w:val="007D49F7"/>
    <w:rsid w:val="007D4AB0"/>
    <w:rsid w:val="007D4CD0"/>
    <w:rsid w:val="007D4E7C"/>
    <w:rsid w:val="007D5178"/>
    <w:rsid w:val="007D5624"/>
    <w:rsid w:val="007D5DD3"/>
    <w:rsid w:val="007D63CC"/>
    <w:rsid w:val="007D63E3"/>
    <w:rsid w:val="007D678F"/>
    <w:rsid w:val="007D68FD"/>
    <w:rsid w:val="007D6939"/>
    <w:rsid w:val="007D6A38"/>
    <w:rsid w:val="007D6A8C"/>
    <w:rsid w:val="007D7065"/>
    <w:rsid w:val="007D7476"/>
    <w:rsid w:val="007D774F"/>
    <w:rsid w:val="007D7B39"/>
    <w:rsid w:val="007D7D31"/>
    <w:rsid w:val="007D7E8D"/>
    <w:rsid w:val="007E0916"/>
    <w:rsid w:val="007E0AA6"/>
    <w:rsid w:val="007E0CCD"/>
    <w:rsid w:val="007E0F6B"/>
    <w:rsid w:val="007E0F84"/>
    <w:rsid w:val="007E14AA"/>
    <w:rsid w:val="007E1600"/>
    <w:rsid w:val="007E1936"/>
    <w:rsid w:val="007E2104"/>
    <w:rsid w:val="007E21DB"/>
    <w:rsid w:val="007E26AB"/>
    <w:rsid w:val="007E2906"/>
    <w:rsid w:val="007E2B08"/>
    <w:rsid w:val="007E3485"/>
    <w:rsid w:val="007E3554"/>
    <w:rsid w:val="007E438F"/>
    <w:rsid w:val="007E446A"/>
    <w:rsid w:val="007E449A"/>
    <w:rsid w:val="007E46E2"/>
    <w:rsid w:val="007E4CB9"/>
    <w:rsid w:val="007E4CD3"/>
    <w:rsid w:val="007E4DBC"/>
    <w:rsid w:val="007E5284"/>
    <w:rsid w:val="007E53EF"/>
    <w:rsid w:val="007E5A92"/>
    <w:rsid w:val="007E6703"/>
    <w:rsid w:val="007E6836"/>
    <w:rsid w:val="007E6B2E"/>
    <w:rsid w:val="007E6D67"/>
    <w:rsid w:val="007E6F6C"/>
    <w:rsid w:val="007E75AE"/>
    <w:rsid w:val="007E7E90"/>
    <w:rsid w:val="007E7EBA"/>
    <w:rsid w:val="007F00AB"/>
    <w:rsid w:val="007F0D25"/>
    <w:rsid w:val="007F0D64"/>
    <w:rsid w:val="007F0ED3"/>
    <w:rsid w:val="007F0EEB"/>
    <w:rsid w:val="007F138C"/>
    <w:rsid w:val="007F1476"/>
    <w:rsid w:val="007F16A1"/>
    <w:rsid w:val="007F20A4"/>
    <w:rsid w:val="007F217C"/>
    <w:rsid w:val="007F2789"/>
    <w:rsid w:val="007F2C42"/>
    <w:rsid w:val="007F33B4"/>
    <w:rsid w:val="007F3C97"/>
    <w:rsid w:val="007F3F53"/>
    <w:rsid w:val="007F41EA"/>
    <w:rsid w:val="007F42F3"/>
    <w:rsid w:val="007F4645"/>
    <w:rsid w:val="007F49A2"/>
    <w:rsid w:val="007F4CED"/>
    <w:rsid w:val="007F4FAC"/>
    <w:rsid w:val="007F5071"/>
    <w:rsid w:val="007F5219"/>
    <w:rsid w:val="007F57FD"/>
    <w:rsid w:val="007F6220"/>
    <w:rsid w:val="007F6312"/>
    <w:rsid w:val="007F6C8B"/>
    <w:rsid w:val="007F6CA7"/>
    <w:rsid w:val="007F6D8A"/>
    <w:rsid w:val="007F7037"/>
    <w:rsid w:val="007F7058"/>
    <w:rsid w:val="007F70AC"/>
    <w:rsid w:val="007F70B2"/>
    <w:rsid w:val="007F7588"/>
    <w:rsid w:val="007F76A7"/>
    <w:rsid w:val="007F794D"/>
    <w:rsid w:val="007F7F1A"/>
    <w:rsid w:val="00800455"/>
    <w:rsid w:val="0080079F"/>
    <w:rsid w:val="00800DFA"/>
    <w:rsid w:val="00800E13"/>
    <w:rsid w:val="00800E5B"/>
    <w:rsid w:val="008013D9"/>
    <w:rsid w:val="008018D1"/>
    <w:rsid w:val="00801A9E"/>
    <w:rsid w:val="008024F4"/>
    <w:rsid w:val="00802927"/>
    <w:rsid w:val="00802BF8"/>
    <w:rsid w:val="00802C66"/>
    <w:rsid w:val="00803098"/>
    <w:rsid w:val="00803334"/>
    <w:rsid w:val="00803448"/>
    <w:rsid w:val="00803486"/>
    <w:rsid w:val="008035EE"/>
    <w:rsid w:val="00803698"/>
    <w:rsid w:val="008037CD"/>
    <w:rsid w:val="00803C05"/>
    <w:rsid w:val="00804442"/>
    <w:rsid w:val="0080463D"/>
    <w:rsid w:val="00804DBF"/>
    <w:rsid w:val="00805190"/>
    <w:rsid w:val="008053C2"/>
    <w:rsid w:val="008057E8"/>
    <w:rsid w:val="0080595A"/>
    <w:rsid w:val="00805DC9"/>
    <w:rsid w:val="00805F2F"/>
    <w:rsid w:val="00805F96"/>
    <w:rsid w:val="008067C7"/>
    <w:rsid w:val="00806ACC"/>
    <w:rsid w:val="008075F5"/>
    <w:rsid w:val="0080777D"/>
    <w:rsid w:val="008077E3"/>
    <w:rsid w:val="00807A0B"/>
    <w:rsid w:val="00807E51"/>
    <w:rsid w:val="00807E70"/>
    <w:rsid w:val="00807FBE"/>
    <w:rsid w:val="0081003F"/>
    <w:rsid w:val="0081004C"/>
    <w:rsid w:val="008107C7"/>
    <w:rsid w:val="00811259"/>
    <w:rsid w:val="0081177E"/>
    <w:rsid w:val="00811D0D"/>
    <w:rsid w:val="00812031"/>
    <w:rsid w:val="008120DB"/>
    <w:rsid w:val="00812297"/>
    <w:rsid w:val="0081258A"/>
    <w:rsid w:val="0081276E"/>
    <w:rsid w:val="00812938"/>
    <w:rsid w:val="00812E4B"/>
    <w:rsid w:val="00812F77"/>
    <w:rsid w:val="008135E3"/>
    <w:rsid w:val="008135E5"/>
    <w:rsid w:val="00813C66"/>
    <w:rsid w:val="00813DE0"/>
    <w:rsid w:val="00813EF5"/>
    <w:rsid w:val="0081439B"/>
    <w:rsid w:val="0081516A"/>
    <w:rsid w:val="008155B6"/>
    <w:rsid w:val="0081571C"/>
    <w:rsid w:val="00815959"/>
    <w:rsid w:val="00815BA1"/>
    <w:rsid w:val="00815D00"/>
    <w:rsid w:val="00815E04"/>
    <w:rsid w:val="00815E7D"/>
    <w:rsid w:val="008161B6"/>
    <w:rsid w:val="008164F9"/>
    <w:rsid w:val="00816C1B"/>
    <w:rsid w:val="00816CD0"/>
    <w:rsid w:val="00817DC5"/>
    <w:rsid w:val="008203D7"/>
    <w:rsid w:val="00820AA1"/>
    <w:rsid w:val="00820EEF"/>
    <w:rsid w:val="00821225"/>
    <w:rsid w:val="0082129C"/>
    <w:rsid w:val="008212E3"/>
    <w:rsid w:val="0082158D"/>
    <w:rsid w:val="0082168B"/>
    <w:rsid w:val="0082169F"/>
    <w:rsid w:val="008216F0"/>
    <w:rsid w:val="00821A62"/>
    <w:rsid w:val="00821A85"/>
    <w:rsid w:val="00821B93"/>
    <w:rsid w:val="00821C5F"/>
    <w:rsid w:val="00822635"/>
    <w:rsid w:val="00822D99"/>
    <w:rsid w:val="00822F21"/>
    <w:rsid w:val="00822FC5"/>
    <w:rsid w:val="0082374B"/>
    <w:rsid w:val="00823BD9"/>
    <w:rsid w:val="00823D6E"/>
    <w:rsid w:val="0082410D"/>
    <w:rsid w:val="00824347"/>
    <w:rsid w:val="0082451F"/>
    <w:rsid w:val="00824561"/>
    <w:rsid w:val="0082506F"/>
    <w:rsid w:val="008253F9"/>
    <w:rsid w:val="0082571D"/>
    <w:rsid w:val="00825A1A"/>
    <w:rsid w:val="00826514"/>
    <w:rsid w:val="0082665F"/>
    <w:rsid w:val="008266BC"/>
    <w:rsid w:val="00827387"/>
    <w:rsid w:val="008273F0"/>
    <w:rsid w:val="00827B75"/>
    <w:rsid w:val="00827C85"/>
    <w:rsid w:val="00827D72"/>
    <w:rsid w:val="00827D7F"/>
    <w:rsid w:val="00827EB4"/>
    <w:rsid w:val="00827F59"/>
    <w:rsid w:val="0083005B"/>
    <w:rsid w:val="00830208"/>
    <w:rsid w:val="0083037F"/>
    <w:rsid w:val="008304EC"/>
    <w:rsid w:val="008305AA"/>
    <w:rsid w:val="008305EA"/>
    <w:rsid w:val="008310C9"/>
    <w:rsid w:val="0083178A"/>
    <w:rsid w:val="00831F47"/>
    <w:rsid w:val="00831FC3"/>
    <w:rsid w:val="0083213A"/>
    <w:rsid w:val="0083250D"/>
    <w:rsid w:val="0083251F"/>
    <w:rsid w:val="008328A3"/>
    <w:rsid w:val="00832E7A"/>
    <w:rsid w:val="00833035"/>
    <w:rsid w:val="00833162"/>
    <w:rsid w:val="008335E7"/>
    <w:rsid w:val="00833935"/>
    <w:rsid w:val="0083393B"/>
    <w:rsid w:val="00833C0C"/>
    <w:rsid w:val="00833CDB"/>
    <w:rsid w:val="00834FE8"/>
    <w:rsid w:val="00835134"/>
    <w:rsid w:val="00835467"/>
    <w:rsid w:val="00835BD5"/>
    <w:rsid w:val="00835BFD"/>
    <w:rsid w:val="00835DF9"/>
    <w:rsid w:val="00835E65"/>
    <w:rsid w:val="0083606C"/>
    <w:rsid w:val="008360A8"/>
    <w:rsid w:val="008360C3"/>
    <w:rsid w:val="00836141"/>
    <w:rsid w:val="008361F5"/>
    <w:rsid w:val="0083647E"/>
    <w:rsid w:val="008364A3"/>
    <w:rsid w:val="0083650D"/>
    <w:rsid w:val="008367BD"/>
    <w:rsid w:val="008368B9"/>
    <w:rsid w:val="00836A8E"/>
    <w:rsid w:val="00836B36"/>
    <w:rsid w:val="00836F3D"/>
    <w:rsid w:val="0083756F"/>
    <w:rsid w:val="00837B52"/>
    <w:rsid w:val="00837C37"/>
    <w:rsid w:val="00837C8C"/>
    <w:rsid w:val="008400E4"/>
    <w:rsid w:val="008404E8"/>
    <w:rsid w:val="00840832"/>
    <w:rsid w:val="00840AD2"/>
    <w:rsid w:val="00840F20"/>
    <w:rsid w:val="0084123D"/>
    <w:rsid w:val="00841AFE"/>
    <w:rsid w:val="00842095"/>
    <w:rsid w:val="00842123"/>
    <w:rsid w:val="00842233"/>
    <w:rsid w:val="008425A6"/>
    <w:rsid w:val="00842764"/>
    <w:rsid w:val="00842977"/>
    <w:rsid w:val="00842CF4"/>
    <w:rsid w:val="00842E0A"/>
    <w:rsid w:val="0084315F"/>
    <w:rsid w:val="00843580"/>
    <w:rsid w:val="0084379B"/>
    <w:rsid w:val="0084384A"/>
    <w:rsid w:val="00843DBE"/>
    <w:rsid w:val="0084434D"/>
    <w:rsid w:val="00844A79"/>
    <w:rsid w:val="00844AF3"/>
    <w:rsid w:val="00844B73"/>
    <w:rsid w:val="00844DE6"/>
    <w:rsid w:val="00844E22"/>
    <w:rsid w:val="00845650"/>
    <w:rsid w:val="00845E92"/>
    <w:rsid w:val="00845F19"/>
    <w:rsid w:val="008460BB"/>
    <w:rsid w:val="00846272"/>
    <w:rsid w:val="00846392"/>
    <w:rsid w:val="008463F3"/>
    <w:rsid w:val="00846792"/>
    <w:rsid w:val="00847CDC"/>
    <w:rsid w:val="00847F07"/>
    <w:rsid w:val="00850114"/>
    <w:rsid w:val="0085023C"/>
    <w:rsid w:val="008505B0"/>
    <w:rsid w:val="008506ED"/>
    <w:rsid w:val="008506F1"/>
    <w:rsid w:val="00851747"/>
    <w:rsid w:val="008518D2"/>
    <w:rsid w:val="008519E6"/>
    <w:rsid w:val="008521A9"/>
    <w:rsid w:val="00852294"/>
    <w:rsid w:val="008527A1"/>
    <w:rsid w:val="008529F4"/>
    <w:rsid w:val="00852D16"/>
    <w:rsid w:val="00853336"/>
    <w:rsid w:val="008535C6"/>
    <w:rsid w:val="008538D8"/>
    <w:rsid w:val="00853CFA"/>
    <w:rsid w:val="00854220"/>
    <w:rsid w:val="008548D0"/>
    <w:rsid w:val="00854998"/>
    <w:rsid w:val="00854E1A"/>
    <w:rsid w:val="008550DB"/>
    <w:rsid w:val="0085623D"/>
    <w:rsid w:val="0085684E"/>
    <w:rsid w:val="008570E8"/>
    <w:rsid w:val="008575CA"/>
    <w:rsid w:val="00857699"/>
    <w:rsid w:val="0085786E"/>
    <w:rsid w:val="008578BC"/>
    <w:rsid w:val="00857BED"/>
    <w:rsid w:val="00857BF6"/>
    <w:rsid w:val="00860007"/>
    <w:rsid w:val="00860297"/>
    <w:rsid w:val="00860A62"/>
    <w:rsid w:val="00860AB7"/>
    <w:rsid w:val="00860B8A"/>
    <w:rsid w:val="00860DCB"/>
    <w:rsid w:val="008610DE"/>
    <w:rsid w:val="00861332"/>
    <w:rsid w:val="00861850"/>
    <w:rsid w:val="00861E7A"/>
    <w:rsid w:val="00862003"/>
    <w:rsid w:val="008623B9"/>
    <w:rsid w:val="008629C1"/>
    <w:rsid w:val="008629C6"/>
    <w:rsid w:val="00862B08"/>
    <w:rsid w:val="00862D3F"/>
    <w:rsid w:val="00862D68"/>
    <w:rsid w:val="00864271"/>
    <w:rsid w:val="008643F4"/>
    <w:rsid w:val="008645B0"/>
    <w:rsid w:val="008646E1"/>
    <w:rsid w:val="00864726"/>
    <w:rsid w:val="00864760"/>
    <w:rsid w:val="008648B7"/>
    <w:rsid w:val="00864A0E"/>
    <w:rsid w:val="00864B1A"/>
    <w:rsid w:val="00864B4C"/>
    <w:rsid w:val="00864B6F"/>
    <w:rsid w:val="00864B92"/>
    <w:rsid w:val="00864C37"/>
    <w:rsid w:val="00864D32"/>
    <w:rsid w:val="00864F89"/>
    <w:rsid w:val="008651A6"/>
    <w:rsid w:val="008656B8"/>
    <w:rsid w:val="00865E09"/>
    <w:rsid w:val="008661B9"/>
    <w:rsid w:val="0086625F"/>
    <w:rsid w:val="00866343"/>
    <w:rsid w:val="00866550"/>
    <w:rsid w:val="008667CF"/>
    <w:rsid w:val="008668AC"/>
    <w:rsid w:val="0086696F"/>
    <w:rsid w:val="00866ABA"/>
    <w:rsid w:val="00866B0E"/>
    <w:rsid w:val="00867052"/>
    <w:rsid w:val="008670E3"/>
    <w:rsid w:val="008671D5"/>
    <w:rsid w:val="00870097"/>
    <w:rsid w:val="008702FC"/>
    <w:rsid w:val="0087063E"/>
    <w:rsid w:val="008709B3"/>
    <w:rsid w:val="00870CAB"/>
    <w:rsid w:val="0087106F"/>
    <w:rsid w:val="0087133C"/>
    <w:rsid w:val="008713E7"/>
    <w:rsid w:val="00871B15"/>
    <w:rsid w:val="00871BF3"/>
    <w:rsid w:val="00871D40"/>
    <w:rsid w:val="00871F0A"/>
    <w:rsid w:val="00872206"/>
    <w:rsid w:val="0087224D"/>
    <w:rsid w:val="008725E9"/>
    <w:rsid w:val="00872C82"/>
    <w:rsid w:val="008731B5"/>
    <w:rsid w:val="00873237"/>
    <w:rsid w:val="0087324D"/>
    <w:rsid w:val="00873379"/>
    <w:rsid w:val="00874093"/>
    <w:rsid w:val="008741D4"/>
    <w:rsid w:val="008741E2"/>
    <w:rsid w:val="0087472A"/>
    <w:rsid w:val="00874A1A"/>
    <w:rsid w:val="00874A86"/>
    <w:rsid w:val="00874B71"/>
    <w:rsid w:val="00874FF2"/>
    <w:rsid w:val="00875242"/>
    <w:rsid w:val="00875308"/>
    <w:rsid w:val="0087536E"/>
    <w:rsid w:val="00875791"/>
    <w:rsid w:val="00875798"/>
    <w:rsid w:val="0087590E"/>
    <w:rsid w:val="00875B60"/>
    <w:rsid w:val="00875CF6"/>
    <w:rsid w:val="00875D26"/>
    <w:rsid w:val="00875F2C"/>
    <w:rsid w:val="00876093"/>
    <w:rsid w:val="008760AC"/>
    <w:rsid w:val="00876117"/>
    <w:rsid w:val="00876214"/>
    <w:rsid w:val="0087624C"/>
    <w:rsid w:val="0087630F"/>
    <w:rsid w:val="00876471"/>
    <w:rsid w:val="00876542"/>
    <w:rsid w:val="00876C72"/>
    <w:rsid w:val="00877683"/>
    <w:rsid w:val="00877B68"/>
    <w:rsid w:val="00877B74"/>
    <w:rsid w:val="0088029D"/>
    <w:rsid w:val="00880E42"/>
    <w:rsid w:val="00880FCF"/>
    <w:rsid w:val="0088123F"/>
    <w:rsid w:val="00881440"/>
    <w:rsid w:val="0088191E"/>
    <w:rsid w:val="00881BA2"/>
    <w:rsid w:val="00881F0E"/>
    <w:rsid w:val="008820E6"/>
    <w:rsid w:val="008833A1"/>
    <w:rsid w:val="0088368E"/>
    <w:rsid w:val="0088382A"/>
    <w:rsid w:val="008838BB"/>
    <w:rsid w:val="00883AFC"/>
    <w:rsid w:val="00883CF4"/>
    <w:rsid w:val="00883DC9"/>
    <w:rsid w:val="00883E0B"/>
    <w:rsid w:val="00884029"/>
    <w:rsid w:val="008845E0"/>
    <w:rsid w:val="00884932"/>
    <w:rsid w:val="00884E86"/>
    <w:rsid w:val="00884FDC"/>
    <w:rsid w:val="00885112"/>
    <w:rsid w:val="00885216"/>
    <w:rsid w:val="00885535"/>
    <w:rsid w:val="008856E6"/>
    <w:rsid w:val="00885A17"/>
    <w:rsid w:val="00885B11"/>
    <w:rsid w:val="00885EB9"/>
    <w:rsid w:val="00885F56"/>
    <w:rsid w:val="00885F9C"/>
    <w:rsid w:val="008861B0"/>
    <w:rsid w:val="00886534"/>
    <w:rsid w:val="00886C38"/>
    <w:rsid w:val="00886C7E"/>
    <w:rsid w:val="00887053"/>
    <w:rsid w:val="00887624"/>
    <w:rsid w:val="00887AE3"/>
    <w:rsid w:val="00887AFB"/>
    <w:rsid w:val="00887F27"/>
    <w:rsid w:val="00887FB6"/>
    <w:rsid w:val="00887FF7"/>
    <w:rsid w:val="008900ED"/>
    <w:rsid w:val="008905E3"/>
    <w:rsid w:val="008906A1"/>
    <w:rsid w:val="008907A0"/>
    <w:rsid w:val="00890A11"/>
    <w:rsid w:val="00890DEB"/>
    <w:rsid w:val="008914CB"/>
    <w:rsid w:val="0089199A"/>
    <w:rsid w:val="00891C18"/>
    <w:rsid w:val="008925AD"/>
    <w:rsid w:val="00892AD0"/>
    <w:rsid w:val="00892C42"/>
    <w:rsid w:val="00893124"/>
    <w:rsid w:val="0089318A"/>
    <w:rsid w:val="00893288"/>
    <w:rsid w:val="0089328E"/>
    <w:rsid w:val="00893527"/>
    <w:rsid w:val="00893697"/>
    <w:rsid w:val="008936F2"/>
    <w:rsid w:val="00893EC3"/>
    <w:rsid w:val="008940C8"/>
    <w:rsid w:val="008944DB"/>
    <w:rsid w:val="0089540E"/>
    <w:rsid w:val="0089585A"/>
    <w:rsid w:val="0089592A"/>
    <w:rsid w:val="00895E90"/>
    <w:rsid w:val="008962A1"/>
    <w:rsid w:val="008964F1"/>
    <w:rsid w:val="0089677B"/>
    <w:rsid w:val="008967E3"/>
    <w:rsid w:val="0089687B"/>
    <w:rsid w:val="00896B40"/>
    <w:rsid w:val="00896CF7"/>
    <w:rsid w:val="00896D8C"/>
    <w:rsid w:val="00897070"/>
    <w:rsid w:val="0089758C"/>
    <w:rsid w:val="00897967"/>
    <w:rsid w:val="00897B1F"/>
    <w:rsid w:val="00897BCF"/>
    <w:rsid w:val="008A060E"/>
    <w:rsid w:val="008A07F5"/>
    <w:rsid w:val="008A080F"/>
    <w:rsid w:val="008A08BB"/>
    <w:rsid w:val="008A0B59"/>
    <w:rsid w:val="008A1202"/>
    <w:rsid w:val="008A132D"/>
    <w:rsid w:val="008A16ED"/>
    <w:rsid w:val="008A1BCC"/>
    <w:rsid w:val="008A1D0A"/>
    <w:rsid w:val="008A2001"/>
    <w:rsid w:val="008A200E"/>
    <w:rsid w:val="008A231D"/>
    <w:rsid w:val="008A2379"/>
    <w:rsid w:val="008A23D4"/>
    <w:rsid w:val="008A2AAC"/>
    <w:rsid w:val="008A304F"/>
    <w:rsid w:val="008A3228"/>
    <w:rsid w:val="008A337A"/>
    <w:rsid w:val="008A3397"/>
    <w:rsid w:val="008A3425"/>
    <w:rsid w:val="008A351D"/>
    <w:rsid w:val="008A376A"/>
    <w:rsid w:val="008A39E9"/>
    <w:rsid w:val="008A42E3"/>
    <w:rsid w:val="008A5868"/>
    <w:rsid w:val="008A5A27"/>
    <w:rsid w:val="008A5AE8"/>
    <w:rsid w:val="008A5B8A"/>
    <w:rsid w:val="008A5C42"/>
    <w:rsid w:val="008A5DB6"/>
    <w:rsid w:val="008A627D"/>
    <w:rsid w:val="008A6314"/>
    <w:rsid w:val="008A6395"/>
    <w:rsid w:val="008A650C"/>
    <w:rsid w:val="008A65EC"/>
    <w:rsid w:val="008A6B28"/>
    <w:rsid w:val="008A6B38"/>
    <w:rsid w:val="008A6B8D"/>
    <w:rsid w:val="008A6CBC"/>
    <w:rsid w:val="008A6D07"/>
    <w:rsid w:val="008A706E"/>
    <w:rsid w:val="008A7254"/>
    <w:rsid w:val="008A7256"/>
    <w:rsid w:val="008A730C"/>
    <w:rsid w:val="008A7549"/>
    <w:rsid w:val="008A7C1E"/>
    <w:rsid w:val="008A7E90"/>
    <w:rsid w:val="008A7EB6"/>
    <w:rsid w:val="008A7EBA"/>
    <w:rsid w:val="008B079A"/>
    <w:rsid w:val="008B081E"/>
    <w:rsid w:val="008B09DC"/>
    <w:rsid w:val="008B0B26"/>
    <w:rsid w:val="008B0C15"/>
    <w:rsid w:val="008B0FDD"/>
    <w:rsid w:val="008B1183"/>
    <w:rsid w:val="008B1273"/>
    <w:rsid w:val="008B151D"/>
    <w:rsid w:val="008B16C7"/>
    <w:rsid w:val="008B1780"/>
    <w:rsid w:val="008B1D5F"/>
    <w:rsid w:val="008B240D"/>
    <w:rsid w:val="008B278D"/>
    <w:rsid w:val="008B2B29"/>
    <w:rsid w:val="008B33FE"/>
    <w:rsid w:val="008B3C0A"/>
    <w:rsid w:val="008B3C47"/>
    <w:rsid w:val="008B4270"/>
    <w:rsid w:val="008B4725"/>
    <w:rsid w:val="008B4A49"/>
    <w:rsid w:val="008B4D13"/>
    <w:rsid w:val="008B4E8E"/>
    <w:rsid w:val="008B52A7"/>
    <w:rsid w:val="008B55F3"/>
    <w:rsid w:val="008B56A8"/>
    <w:rsid w:val="008B5B4A"/>
    <w:rsid w:val="008B5EAC"/>
    <w:rsid w:val="008B5EBA"/>
    <w:rsid w:val="008B62AB"/>
    <w:rsid w:val="008B659F"/>
    <w:rsid w:val="008B6A9C"/>
    <w:rsid w:val="008B7209"/>
    <w:rsid w:val="008B7254"/>
    <w:rsid w:val="008B72C8"/>
    <w:rsid w:val="008B7334"/>
    <w:rsid w:val="008B772B"/>
    <w:rsid w:val="008B77B7"/>
    <w:rsid w:val="008B7A8B"/>
    <w:rsid w:val="008B7B98"/>
    <w:rsid w:val="008C0875"/>
    <w:rsid w:val="008C0935"/>
    <w:rsid w:val="008C0E6C"/>
    <w:rsid w:val="008C1701"/>
    <w:rsid w:val="008C1972"/>
    <w:rsid w:val="008C1A5F"/>
    <w:rsid w:val="008C1AB8"/>
    <w:rsid w:val="008C22AF"/>
    <w:rsid w:val="008C2A33"/>
    <w:rsid w:val="008C2A40"/>
    <w:rsid w:val="008C2D48"/>
    <w:rsid w:val="008C3084"/>
    <w:rsid w:val="008C34BC"/>
    <w:rsid w:val="008C36CA"/>
    <w:rsid w:val="008C3843"/>
    <w:rsid w:val="008C3DFD"/>
    <w:rsid w:val="008C3F77"/>
    <w:rsid w:val="008C40EB"/>
    <w:rsid w:val="008C4288"/>
    <w:rsid w:val="008C5137"/>
    <w:rsid w:val="008C5343"/>
    <w:rsid w:val="008C5676"/>
    <w:rsid w:val="008C5774"/>
    <w:rsid w:val="008C58D4"/>
    <w:rsid w:val="008C5F4F"/>
    <w:rsid w:val="008C656A"/>
    <w:rsid w:val="008C6A37"/>
    <w:rsid w:val="008C6ADC"/>
    <w:rsid w:val="008C6BF3"/>
    <w:rsid w:val="008C6E15"/>
    <w:rsid w:val="008C7C05"/>
    <w:rsid w:val="008D056C"/>
    <w:rsid w:val="008D05BD"/>
    <w:rsid w:val="008D0605"/>
    <w:rsid w:val="008D0722"/>
    <w:rsid w:val="008D0890"/>
    <w:rsid w:val="008D0AEB"/>
    <w:rsid w:val="008D0CF5"/>
    <w:rsid w:val="008D0D8C"/>
    <w:rsid w:val="008D1153"/>
    <w:rsid w:val="008D130A"/>
    <w:rsid w:val="008D13C0"/>
    <w:rsid w:val="008D1593"/>
    <w:rsid w:val="008D176F"/>
    <w:rsid w:val="008D1E03"/>
    <w:rsid w:val="008D1E1B"/>
    <w:rsid w:val="008D1FAC"/>
    <w:rsid w:val="008D26F1"/>
    <w:rsid w:val="008D2B13"/>
    <w:rsid w:val="008D2CC0"/>
    <w:rsid w:val="008D2E24"/>
    <w:rsid w:val="008D353C"/>
    <w:rsid w:val="008D36BE"/>
    <w:rsid w:val="008D39B2"/>
    <w:rsid w:val="008D3CDA"/>
    <w:rsid w:val="008D401F"/>
    <w:rsid w:val="008D464C"/>
    <w:rsid w:val="008D470E"/>
    <w:rsid w:val="008D4E34"/>
    <w:rsid w:val="008D507E"/>
    <w:rsid w:val="008D566F"/>
    <w:rsid w:val="008D5936"/>
    <w:rsid w:val="008D63E6"/>
    <w:rsid w:val="008D65A6"/>
    <w:rsid w:val="008D669F"/>
    <w:rsid w:val="008D6941"/>
    <w:rsid w:val="008D6B8D"/>
    <w:rsid w:val="008D6DFA"/>
    <w:rsid w:val="008D7261"/>
    <w:rsid w:val="008D7272"/>
    <w:rsid w:val="008D768F"/>
    <w:rsid w:val="008D7751"/>
    <w:rsid w:val="008D7DA6"/>
    <w:rsid w:val="008E019F"/>
    <w:rsid w:val="008E0603"/>
    <w:rsid w:val="008E0E2A"/>
    <w:rsid w:val="008E155A"/>
    <w:rsid w:val="008E18D9"/>
    <w:rsid w:val="008E1C2F"/>
    <w:rsid w:val="008E2056"/>
    <w:rsid w:val="008E25C9"/>
    <w:rsid w:val="008E2A1C"/>
    <w:rsid w:val="008E2EE3"/>
    <w:rsid w:val="008E31B1"/>
    <w:rsid w:val="008E34B3"/>
    <w:rsid w:val="008E39B9"/>
    <w:rsid w:val="008E3B67"/>
    <w:rsid w:val="008E401D"/>
    <w:rsid w:val="008E4162"/>
    <w:rsid w:val="008E41D6"/>
    <w:rsid w:val="008E41F6"/>
    <w:rsid w:val="008E4208"/>
    <w:rsid w:val="008E45A9"/>
    <w:rsid w:val="008E4688"/>
    <w:rsid w:val="008E4B00"/>
    <w:rsid w:val="008E533B"/>
    <w:rsid w:val="008E58CB"/>
    <w:rsid w:val="008E61F8"/>
    <w:rsid w:val="008E6332"/>
    <w:rsid w:val="008E6552"/>
    <w:rsid w:val="008E6EAA"/>
    <w:rsid w:val="008E70D1"/>
    <w:rsid w:val="008E76C0"/>
    <w:rsid w:val="008E779D"/>
    <w:rsid w:val="008E791C"/>
    <w:rsid w:val="008E7E67"/>
    <w:rsid w:val="008F00B0"/>
    <w:rsid w:val="008F00B6"/>
    <w:rsid w:val="008F0310"/>
    <w:rsid w:val="008F089C"/>
    <w:rsid w:val="008F089D"/>
    <w:rsid w:val="008F0B21"/>
    <w:rsid w:val="008F108D"/>
    <w:rsid w:val="008F1B5B"/>
    <w:rsid w:val="008F1F28"/>
    <w:rsid w:val="008F1FA1"/>
    <w:rsid w:val="008F2356"/>
    <w:rsid w:val="008F245E"/>
    <w:rsid w:val="008F25EA"/>
    <w:rsid w:val="008F2709"/>
    <w:rsid w:val="008F2A1F"/>
    <w:rsid w:val="008F2B42"/>
    <w:rsid w:val="008F2B44"/>
    <w:rsid w:val="008F326E"/>
    <w:rsid w:val="008F3A5E"/>
    <w:rsid w:val="008F3B32"/>
    <w:rsid w:val="008F3E1E"/>
    <w:rsid w:val="008F3E84"/>
    <w:rsid w:val="008F429B"/>
    <w:rsid w:val="008F4708"/>
    <w:rsid w:val="008F4805"/>
    <w:rsid w:val="008F5163"/>
    <w:rsid w:val="008F52E5"/>
    <w:rsid w:val="008F5464"/>
    <w:rsid w:val="008F574C"/>
    <w:rsid w:val="008F5887"/>
    <w:rsid w:val="008F597E"/>
    <w:rsid w:val="008F5CA0"/>
    <w:rsid w:val="008F5CD4"/>
    <w:rsid w:val="008F6622"/>
    <w:rsid w:val="008F6775"/>
    <w:rsid w:val="008F6778"/>
    <w:rsid w:val="008F6A5B"/>
    <w:rsid w:val="008F6E2D"/>
    <w:rsid w:val="008F7090"/>
    <w:rsid w:val="008F714C"/>
    <w:rsid w:val="008F717A"/>
    <w:rsid w:val="008F73A9"/>
    <w:rsid w:val="008F7593"/>
    <w:rsid w:val="008F761B"/>
    <w:rsid w:val="0090004D"/>
    <w:rsid w:val="009005AE"/>
    <w:rsid w:val="009005C1"/>
    <w:rsid w:val="009005D7"/>
    <w:rsid w:val="00900A5E"/>
    <w:rsid w:val="00900C25"/>
    <w:rsid w:val="00900D64"/>
    <w:rsid w:val="00900D91"/>
    <w:rsid w:val="00900EAE"/>
    <w:rsid w:val="00900F76"/>
    <w:rsid w:val="009014D1"/>
    <w:rsid w:val="00901503"/>
    <w:rsid w:val="00901591"/>
    <w:rsid w:val="00901A0E"/>
    <w:rsid w:val="00901E68"/>
    <w:rsid w:val="00901ECD"/>
    <w:rsid w:val="009024C8"/>
    <w:rsid w:val="00902579"/>
    <w:rsid w:val="00902C63"/>
    <w:rsid w:val="00902D22"/>
    <w:rsid w:val="00902E71"/>
    <w:rsid w:val="00903193"/>
    <w:rsid w:val="0090339B"/>
    <w:rsid w:val="009033AA"/>
    <w:rsid w:val="0090345C"/>
    <w:rsid w:val="00903C74"/>
    <w:rsid w:val="0090433F"/>
    <w:rsid w:val="00904A6B"/>
    <w:rsid w:val="00904C50"/>
    <w:rsid w:val="00904CF1"/>
    <w:rsid w:val="00905595"/>
    <w:rsid w:val="009055FA"/>
    <w:rsid w:val="00905B9F"/>
    <w:rsid w:val="00905FA7"/>
    <w:rsid w:val="0090614E"/>
    <w:rsid w:val="0090653E"/>
    <w:rsid w:val="0090667D"/>
    <w:rsid w:val="0091017F"/>
    <w:rsid w:val="009104F6"/>
    <w:rsid w:val="0091056C"/>
    <w:rsid w:val="009107B3"/>
    <w:rsid w:val="00910DAE"/>
    <w:rsid w:val="00911509"/>
    <w:rsid w:val="00911515"/>
    <w:rsid w:val="009115A6"/>
    <w:rsid w:val="009116B9"/>
    <w:rsid w:val="00911810"/>
    <w:rsid w:val="00911B2D"/>
    <w:rsid w:val="00911C59"/>
    <w:rsid w:val="0091210B"/>
    <w:rsid w:val="00912893"/>
    <w:rsid w:val="00912FA6"/>
    <w:rsid w:val="00913016"/>
    <w:rsid w:val="009130C8"/>
    <w:rsid w:val="00913591"/>
    <w:rsid w:val="009136F0"/>
    <w:rsid w:val="009136F8"/>
    <w:rsid w:val="00913707"/>
    <w:rsid w:val="00913B5F"/>
    <w:rsid w:val="00913D50"/>
    <w:rsid w:val="00914C27"/>
    <w:rsid w:val="00914C32"/>
    <w:rsid w:val="00914C3F"/>
    <w:rsid w:val="009157EB"/>
    <w:rsid w:val="0091580C"/>
    <w:rsid w:val="00915FAB"/>
    <w:rsid w:val="00916503"/>
    <w:rsid w:val="00916B49"/>
    <w:rsid w:val="00917264"/>
    <w:rsid w:val="00917416"/>
    <w:rsid w:val="0091750C"/>
    <w:rsid w:val="0091772C"/>
    <w:rsid w:val="00917AF9"/>
    <w:rsid w:val="00917BF9"/>
    <w:rsid w:val="00920164"/>
    <w:rsid w:val="00920947"/>
    <w:rsid w:val="00920B66"/>
    <w:rsid w:val="00920D71"/>
    <w:rsid w:val="00920E41"/>
    <w:rsid w:val="00921030"/>
    <w:rsid w:val="0092110A"/>
    <w:rsid w:val="009212C2"/>
    <w:rsid w:val="0092146F"/>
    <w:rsid w:val="009216A4"/>
    <w:rsid w:val="00921776"/>
    <w:rsid w:val="00921BE5"/>
    <w:rsid w:val="00921DCE"/>
    <w:rsid w:val="009220DF"/>
    <w:rsid w:val="00922137"/>
    <w:rsid w:val="0092236E"/>
    <w:rsid w:val="00922448"/>
    <w:rsid w:val="0092266E"/>
    <w:rsid w:val="009226C4"/>
    <w:rsid w:val="00922A47"/>
    <w:rsid w:val="00922D88"/>
    <w:rsid w:val="0092371E"/>
    <w:rsid w:val="00923762"/>
    <w:rsid w:val="00923879"/>
    <w:rsid w:val="009239D0"/>
    <w:rsid w:val="00923B1D"/>
    <w:rsid w:val="00923C8A"/>
    <w:rsid w:val="00923CE2"/>
    <w:rsid w:val="00923F45"/>
    <w:rsid w:val="009242F0"/>
    <w:rsid w:val="009244F1"/>
    <w:rsid w:val="00924844"/>
    <w:rsid w:val="00925027"/>
    <w:rsid w:val="00925132"/>
    <w:rsid w:val="009252CB"/>
    <w:rsid w:val="00925904"/>
    <w:rsid w:val="00925E6D"/>
    <w:rsid w:val="0092679A"/>
    <w:rsid w:val="0092698E"/>
    <w:rsid w:val="00926D9E"/>
    <w:rsid w:val="0092724F"/>
    <w:rsid w:val="00927575"/>
    <w:rsid w:val="00927854"/>
    <w:rsid w:val="009279A2"/>
    <w:rsid w:val="00927F1E"/>
    <w:rsid w:val="00930D7E"/>
    <w:rsid w:val="00931524"/>
    <w:rsid w:val="00931687"/>
    <w:rsid w:val="009319BF"/>
    <w:rsid w:val="00931B0F"/>
    <w:rsid w:val="009320D1"/>
    <w:rsid w:val="00933BDA"/>
    <w:rsid w:val="00933D5A"/>
    <w:rsid w:val="00933F04"/>
    <w:rsid w:val="009345C6"/>
    <w:rsid w:val="009347BD"/>
    <w:rsid w:val="00934922"/>
    <w:rsid w:val="00934E44"/>
    <w:rsid w:val="00934E59"/>
    <w:rsid w:val="009350A2"/>
    <w:rsid w:val="0093527A"/>
    <w:rsid w:val="0093596A"/>
    <w:rsid w:val="00935A18"/>
    <w:rsid w:val="00935AA0"/>
    <w:rsid w:val="00935AC1"/>
    <w:rsid w:val="00935E3C"/>
    <w:rsid w:val="009366E2"/>
    <w:rsid w:val="00936B7E"/>
    <w:rsid w:val="00936BEA"/>
    <w:rsid w:val="00937438"/>
    <w:rsid w:val="0093751B"/>
    <w:rsid w:val="0093758D"/>
    <w:rsid w:val="0093775A"/>
    <w:rsid w:val="00937AE3"/>
    <w:rsid w:val="00940539"/>
    <w:rsid w:val="00940B5A"/>
    <w:rsid w:val="00941D1A"/>
    <w:rsid w:val="00941D2F"/>
    <w:rsid w:val="00941FFD"/>
    <w:rsid w:val="009421C3"/>
    <w:rsid w:val="00942601"/>
    <w:rsid w:val="00942910"/>
    <w:rsid w:val="00942A8C"/>
    <w:rsid w:val="00943278"/>
    <w:rsid w:val="00943458"/>
    <w:rsid w:val="009435BE"/>
    <w:rsid w:val="009436EC"/>
    <w:rsid w:val="009437E5"/>
    <w:rsid w:val="00943A8F"/>
    <w:rsid w:val="00943B63"/>
    <w:rsid w:val="00943C24"/>
    <w:rsid w:val="00943EC4"/>
    <w:rsid w:val="00943FFE"/>
    <w:rsid w:val="009443AB"/>
    <w:rsid w:val="009444D8"/>
    <w:rsid w:val="00944704"/>
    <w:rsid w:val="009448AA"/>
    <w:rsid w:val="00944A41"/>
    <w:rsid w:val="00944C31"/>
    <w:rsid w:val="00944FA1"/>
    <w:rsid w:val="009451B6"/>
    <w:rsid w:val="00945399"/>
    <w:rsid w:val="0094540A"/>
    <w:rsid w:val="0094582A"/>
    <w:rsid w:val="00945A70"/>
    <w:rsid w:val="00945B78"/>
    <w:rsid w:val="00945CA2"/>
    <w:rsid w:val="0094634F"/>
    <w:rsid w:val="00946552"/>
    <w:rsid w:val="009465ED"/>
    <w:rsid w:val="009466B4"/>
    <w:rsid w:val="00946CCF"/>
    <w:rsid w:val="00946FC8"/>
    <w:rsid w:val="0094706D"/>
    <w:rsid w:val="009470BB"/>
    <w:rsid w:val="009470EC"/>
    <w:rsid w:val="009472A8"/>
    <w:rsid w:val="009475AC"/>
    <w:rsid w:val="009479F7"/>
    <w:rsid w:val="00947CB0"/>
    <w:rsid w:val="00950146"/>
    <w:rsid w:val="00950272"/>
    <w:rsid w:val="009503AD"/>
    <w:rsid w:val="009506B0"/>
    <w:rsid w:val="009507C0"/>
    <w:rsid w:val="009509CA"/>
    <w:rsid w:val="00950BFE"/>
    <w:rsid w:val="00950E87"/>
    <w:rsid w:val="0095102B"/>
    <w:rsid w:val="00951095"/>
    <w:rsid w:val="00951B8B"/>
    <w:rsid w:val="0095225D"/>
    <w:rsid w:val="009522A4"/>
    <w:rsid w:val="00952462"/>
    <w:rsid w:val="009524AD"/>
    <w:rsid w:val="009528DA"/>
    <w:rsid w:val="00952FBC"/>
    <w:rsid w:val="00953510"/>
    <w:rsid w:val="00954535"/>
    <w:rsid w:val="009546A7"/>
    <w:rsid w:val="009546F2"/>
    <w:rsid w:val="0095474C"/>
    <w:rsid w:val="00954901"/>
    <w:rsid w:val="00954EDC"/>
    <w:rsid w:val="00954FF5"/>
    <w:rsid w:val="009554B8"/>
    <w:rsid w:val="0095555C"/>
    <w:rsid w:val="0095584E"/>
    <w:rsid w:val="0095638D"/>
    <w:rsid w:val="009565B2"/>
    <w:rsid w:val="00956672"/>
    <w:rsid w:val="009568C2"/>
    <w:rsid w:val="00956BC5"/>
    <w:rsid w:val="009570DE"/>
    <w:rsid w:val="009578A1"/>
    <w:rsid w:val="00957E06"/>
    <w:rsid w:val="00957F00"/>
    <w:rsid w:val="00960397"/>
    <w:rsid w:val="00960738"/>
    <w:rsid w:val="00960C16"/>
    <w:rsid w:val="00960ED5"/>
    <w:rsid w:val="009613C9"/>
    <w:rsid w:val="009615B1"/>
    <w:rsid w:val="00961DAB"/>
    <w:rsid w:val="00961F25"/>
    <w:rsid w:val="00962423"/>
    <w:rsid w:val="00962490"/>
    <w:rsid w:val="00962530"/>
    <w:rsid w:val="00962A0F"/>
    <w:rsid w:val="00962D34"/>
    <w:rsid w:val="00962DB6"/>
    <w:rsid w:val="00963005"/>
    <w:rsid w:val="00963A7B"/>
    <w:rsid w:val="00963A8E"/>
    <w:rsid w:val="00963F6E"/>
    <w:rsid w:val="00964337"/>
    <w:rsid w:val="0096450B"/>
    <w:rsid w:val="009646FF"/>
    <w:rsid w:val="00964C46"/>
    <w:rsid w:val="00964CD5"/>
    <w:rsid w:val="00964D82"/>
    <w:rsid w:val="00964DE5"/>
    <w:rsid w:val="00964F63"/>
    <w:rsid w:val="009651A1"/>
    <w:rsid w:val="00965886"/>
    <w:rsid w:val="00965EC8"/>
    <w:rsid w:val="00965F64"/>
    <w:rsid w:val="009663B4"/>
    <w:rsid w:val="00966443"/>
    <w:rsid w:val="00966584"/>
    <w:rsid w:val="00966BFD"/>
    <w:rsid w:val="00966D4F"/>
    <w:rsid w:val="0096715F"/>
    <w:rsid w:val="009673AF"/>
    <w:rsid w:val="00967B0A"/>
    <w:rsid w:val="0097035B"/>
    <w:rsid w:val="009703A4"/>
    <w:rsid w:val="0097068F"/>
    <w:rsid w:val="009708BF"/>
    <w:rsid w:val="00970C9A"/>
    <w:rsid w:val="00970D2A"/>
    <w:rsid w:val="009716A0"/>
    <w:rsid w:val="0097202E"/>
    <w:rsid w:val="009721F6"/>
    <w:rsid w:val="009724BA"/>
    <w:rsid w:val="00972542"/>
    <w:rsid w:val="009729F4"/>
    <w:rsid w:val="00973E58"/>
    <w:rsid w:val="009740F8"/>
    <w:rsid w:val="00974109"/>
    <w:rsid w:val="009741A2"/>
    <w:rsid w:val="0097525C"/>
    <w:rsid w:val="009752AE"/>
    <w:rsid w:val="00976157"/>
    <w:rsid w:val="009761FC"/>
    <w:rsid w:val="009763AE"/>
    <w:rsid w:val="009766B6"/>
    <w:rsid w:val="00977518"/>
    <w:rsid w:val="009779D5"/>
    <w:rsid w:val="00977BA9"/>
    <w:rsid w:val="00977BE0"/>
    <w:rsid w:val="00977FF8"/>
    <w:rsid w:val="00980129"/>
    <w:rsid w:val="0098039D"/>
    <w:rsid w:val="00980654"/>
    <w:rsid w:val="00980771"/>
    <w:rsid w:val="0098078D"/>
    <w:rsid w:val="009809DD"/>
    <w:rsid w:val="00980E01"/>
    <w:rsid w:val="009811DB"/>
    <w:rsid w:val="009819CA"/>
    <w:rsid w:val="00981F98"/>
    <w:rsid w:val="00982102"/>
    <w:rsid w:val="0098217A"/>
    <w:rsid w:val="00982395"/>
    <w:rsid w:val="0098293C"/>
    <w:rsid w:val="0098359A"/>
    <w:rsid w:val="0098368F"/>
    <w:rsid w:val="0098381D"/>
    <w:rsid w:val="00983A93"/>
    <w:rsid w:val="00983CAE"/>
    <w:rsid w:val="00984958"/>
    <w:rsid w:val="00984AB3"/>
    <w:rsid w:val="009863B3"/>
    <w:rsid w:val="00986727"/>
    <w:rsid w:val="00986E2C"/>
    <w:rsid w:val="00987245"/>
    <w:rsid w:val="009875DF"/>
    <w:rsid w:val="009877F8"/>
    <w:rsid w:val="00987B90"/>
    <w:rsid w:val="0099003A"/>
    <w:rsid w:val="00990242"/>
    <w:rsid w:val="009905EC"/>
    <w:rsid w:val="00990940"/>
    <w:rsid w:val="00990DA9"/>
    <w:rsid w:val="00990E2D"/>
    <w:rsid w:val="009914B5"/>
    <w:rsid w:val="00991795"/>
    <w:rsid w:val="00991B6C"/>
    <w:rsid w:val="00992924"/>
    <w:rsid w:val="00992E3C"/>
    <w:rsid w:val="00993308"/>
    <w:rsid w:val="009937B3"/>
    <w:rsid w:val="00993862"/>
    <w:rsid w:val="00993B6F"/>
    <w:rsid w:val="00993F26"/>
    <w:rsid w:val="00994347"/>
    <w:rsid w:val="00994460"/>
    <w:rsid w:val="00994537"/>
    <w:rsid w:val="00994ACE"/>
    <w:rsid w:val="00994CB0"/>
    <w:rsid w:val="0099503E"/>
    <w:rsid w:val="00995540"/>
    <w:rsid w:val="00995C4E"/>
    <w:rsid w:val="00995CCD"/>
    <w:rsid w:val="00996731"/>
    <w:rsid w:val="009968D4"/>
    <w:rsid w:val="00996F08"/>
    <w:rsid w:val="0099718B"/>
    <w:rsid w:val="00997579"/>
    <w:rsid w:val="00997736"/>
    <w:rsid w:val="009A03C5"/>
    <w:rsid w:val="009A0AA1"/>
    <w:rsid w:val="009A0FA5"/>
    <w:rsid w:val="009A125F"/>
    <w:rsid w:val="009A1362"/>
    <w:rsid w:val="009A155D"/>
    <w:rsid w:val="009A164B"/>
    <w:rsid w:val="009A170C"/>
    <w:rsid w:val="009A1A0E"/>
    <w:rsid w:val="009A2135"/>
    <w:rsid w:val="009A2CB2"/>
    <w:rsid w:val="009A2D6B"/>
    <w:rsid w:val="009A3186"/>
    <w:rsid w:val="009A331D"/>
    <w:rsid w:val="009A3B25"/>
    <w:rsid w:val="009A3C87"/>
    <w:rsid w:val="009A3D81"/>
    <w:rsid w:val="009A3F9A"/>
    <w:rsid w:val="009A421F"/>
    <w:rsid w:val="009A4445"/>
    <w:rsid w:val="009A447C"/>
    <w:rsid w:val="009A45FA"/>
    <w:rsid w:val="009A4B78"/>
    <w:rsid w:val="009A4D5E"/>
    <w:rsid w:val="009A4FF4"/>
    <w:rsid w:val="009A4FF6"/>
    <w:rsid w:val="009A4FFE"/>
    <w:rsid w:val="009A53D5"/>
    <w:rsid w:val="009A61F6"/>
    <w:rsid w:val="009A6224"/>
    <w:rsid w:val="009A6795"/>
    <w:rsid w:val="009A6BC3"/>
    <w:rsid w:val="009A6C37"/>
    <w:rsid w:val="009A747A"/>
    <w:rsid w:val="009A7581"/>
    <w:rsid w:val="009A76B0"/>
    <w:rsid w:val="009A770A"/>
    <w:rsid w:val="009A7773"/>
    <w:rsid w:val="009A78D0"/>
    <w:rsid w:val="009A7BC0"/>
    <w:rsid w:val="009A7D52"/>
    <w:rsid w:val="009B0156"/>
    <w:rsid w:val="009B05D5"/>
    <w:rsid w:val="009B0934"/>
    <w:rsid w:val="009B0E78"/>
    <w:rsid w:val="009B126F"/>
    <w:rsid w:val="009B1DE9"/>
    <w:rsid w:val="009B2737"/>
    <w:rsid w:val="009B2EEF"/>
    <w:rsid w:val="009B32A6"/>
    <w:rsid w:val="009B33B5"/>
    <w:rsid w:val="009B381A"/>
    <w:rsid w:val="009B415C"/>
    <w:rsid w:val="009B4BF4"/>
    <w:rsid w:val="009B51E4"/>
    <w:rsid w:val="009B5405"/>
    <w:rsid w:val="009B5455"/>
    <w:rsid w:val="009B56EC"/>
    <w:rsid w:val="009B6344"/>
    <w:rsid w:val="009B662E"/>
    <w:rsid w:val="009B688E"/>
    <w:rsid w:val="009B6A1B"/>
    <w:rsid w:val="009B6C21"/>
    <w:rsid w:val="009B6E21"/>
    <w:rsid w:val="009B6F64"/>
    <w:rsid w:val="009B75C6"/>
    <w:rsid w:val="009B7BAD"/>
    <w:rsid w:val="009B7BCE"/>
    <w:rsid w:val="009B7CEA"/>
    <w:rsid w:val="009C02F5"/>
    <w:rsid w:val="009C05B4"/>
    <w:rsid w:val="009C0667"/>
    <w:rsid w:val="009C0E5B"/>
    <w:rsid w:val="009C0E7A"/>
    <w:rsid w:val="009C122F"/>
    <w:rsid w:val="009C129D"/>
    <w:rsid w:val="009C1644"/>
    <w:rsid w:val="009C1E5A"/>
    <w:rsid w:val="009C22DC"/>
    <w:rsid w:val="009C23BF"/>
    <w:rsid w:val="009C2485"/>
    <w:rsid w:val="009C2561"/>
    <w:rsid w:val="009C2713"/>
    <w:rsid w:val="009C2DF4"/>
    <w:rsid w:val="009C342B"/>
    <w:rsid w:val="009C3467"/>
    <w:rsid w:val="009C3620"/>
    <w:rsid w:val="009C3650"/>
    <w:rsid w:val="009C39DE"/>
    <w:rsid w:val="009C3AF5"/>
    <w:rsid w:val="009C3E02"/>
    <w:rsid w:val="009C3F75"/>
    <w:rsid w:val="009C4192"/>
    <w:rsid w:val="009C44A0"/>
    <w:rsid w:val="009C46DC"/>
    <w:rsid w:val="009C4749"/>
    <w:rsid w:val="009C4797"/>
    <w:rsid w:val="009C4BEB"/>
    <w:rsid w:val="009C4D4B"/>
    <w:rsid w:val="009C5008"/>
    <w:rsid w:val="009C51A4"/>
    <w:rsid w:val="009C5BEA"/>
    <w:rsid w:val="009C5E0E"/>
    <w:rsid w:val="009C6802"/>
    <w:rsid w:val="009C68FB"/>
    <w:rsid w:val="009C744B"/>
    <w:rsid w:val="009C7706"/>
    <w:rsid w:val="009C7A6C"/>
    <w:rsid w:val="009C7A9A"/>
    <w:rsid w:val="009C7D76"/>
    <w:rsid w:val="009C7E74"/>
    <w:rsid w:val="009D02C6"/>
    <w:rsid w:val="009D0A82"/>
    <w:rsid w:val="009D0D25"/>
    <w:rsid w:val="009D0ECA"/>
    <w:rsid w:val="009D1157"/>
    <w:rsid w:val="009D1477"/>
    <w:rsid w:val="009D14DF"/>
    <w:rsid w:val="009D19E2"/>
    <w:rsid w:val="009D1A88"/>
    <w:rsid w:val="009D2067"/>
    <w:rsid w:val="009D2587"/>
    <w:rsid w:val="009D26B4"/>
    <w:rsid w:val="009D27CB"/>
    <w:rsid w:val="009D2992"/>
    <w:rsid w:val="009D29C7"/>
    <w:rsid w:val="009D2A00"/>
    <w:rsid w:val="009D303C"/>
    <w:rsid w:val="009D329A"/>
    <w:rsid w:val="009D3579"/>
    <w:rsid w:val="009D372F"/>
    <w:rsid w:val="009D3745"/>
    <w:rsid w:val="009D388D"/>
    <w:rsid w:val="009D3ADA"/>
    <w:rsid w:val="009D3D2F"/>
    <w:rsid w:val="009D4E33"/>
    <w:rsid w:val="009D4EF1"/>
    <w:rsid w:val="009D5584"/>
    <w:rsid w:val="009D5631"/>
    <w:rsid w:val="009D5725"/>
    <w:rsid w:val="009D5A14"/>
    <w:rsid w:val="009D5BC7"/>
    <w:rsid w:val="009D5E0E"/>
    <w:rsid w:val="009D600C"/>
    <w:rsid w:val="009D62CB"/>
    <w:rsid w:val="009D64ED"/>
    <w:rsid w:val="009D6732"/>
    <w:rsid w:val="009D6866"/>
    <w:rsid w:val="009D6B5E"/>
    <w:rsid w:val="009D75CB"/>
    <w:rsid w:val="009D7714"/>
    <w:rsid w:val="009D7782"/>
    <w:rsid w:val="009E0152"/>
    <w:rsid w:val="009E02B2"/>
    <w:rsid w:val="009E059D"/>
    <w:rsid w:val="009E0AAF"/>
    <w:rsid w:val="009E0D21"/>
    <w:rsid w:val="009E0DA5"/>
    <w:rsid w:val="009E0F84"/>
    <w:rsid w:val="009E1837"/>
    <w:rsid w:val="009E1AFE"/>
    <w:rsid w:val="009E1DC6"/>
    <w:rsid w:val="009E1EA8"/>
    <w:rsid w:val="009E1F9A"/>
    <w:rsid w:val="009E23FF"/>
    <w:rsid w:val="009E2A3F"/>
    <w:rsid w:val="009E2AC5"/>
    <w:rsid w:val="009E2D8B"/>
    <w:rsid w:val="009E3058"/>
    <w:rsid w:val="009E3343"/>
    <w:rsid w:val="009E33C3"/>
    <w:rsid w:val="009E356C"/>
    <w:rsid w:val="009E3608"/>
    <w:rsid w:val="009E368F"/>
    <w:rsid w:val="009E3740"/>
    <w:rsid w:val="009E37E1"/>
    <w:rsid w:val="009E3800"/>
    <w:rsid w:val="009E4538"/>
    <w:rsid w:val="009E45D1"/>
    <w:rsid w:val="009E4740"/>
    <w:rsid w:val="009E4BD0"/>
    <w:rsid w:val="009E4F84"/>
    <w:rsid w:val="009E5114"/>
    <w:rsid w:val="009E5371"/>
    <w:rsid w:val="009E5784"/>
    <w:rsid w:val="009E57CF"/>
    <w:rsid w:val="009E58BA"/>
    <w:rsid w:val="009E59A0"/>
    <w:rsid w:val="009E59A5"/>
    <w:rsid w:val="009E62BF"/>
    <w:rsid w:val="009E6AA9"/>
    <w:rsid w:val="009E70D7"/>
    <w:rsid w:val="009E7572"/>
    <w:rsid w:val="009E76A1"/>
    <w:rsid w:val="009E77FC"/>
    <w:rsid w:val="009E7823"/>
    <w:rsid w:val="009E7F6F"/>
    <w:rsid w:val="009F0206"/>
    <w:rsid w:val="009F05D1"/>
    <w:rsid w:val="009F084A"/>
    <w:rsid w:val="009F0B75"/>
    <w:rsid w:val="009F0BB6"/>
    <w:rsid w:val="009F15CA"/>
    <w:rsid w:val="009F1E1D"/>
    <w:rsid w:val="009F22FF"/>
    <w:rsid w:val="009F25F7"/>
    <w:rsid w:val="009F2D1E"/>
    <w:rsid w:val="009F2DFE"/>
    <w:rsid w:val="009F2FFF"/>
    <w:rsid w:val="009F3114"/>
    <w:rsid w:val="009F3441"/>
    <w:rsid w:val="009F362C"/>
    <w:rsid w:val="009F3710"/>
    <w:rsid w:val="009F385B"/>
    <w:rsid w:val="009F3B98"/>
    <w:rsid w:val="009F3D1C"/>
    <w:rsid w:val="009F3FCC"/>
    <w:rsid w:val="009F4097"/>
    <w:rsid w:val="009F428E"/>
    <w:rsid w:val="009F428F"/>
    <w:rsid w:val="009F479F"/>
    <w:rsid w:val="009F4C4F"/>
    <w:rsid w:val="009F560B"/>
    <w:rsid w:val="009F577E"/>
    <w:rsid w:val="009F59BE"/>
    <w:rsid w:val="009F5F12"/>
    <w:rsid w:val="009F6121"/>
    <w:rsid w:val="009F638D"/>
    <w:rsid w:val="009F6C7F"/>
    <w:rsid w:val="009F6D58"/>
    <w:rsid w:val="009F715E"/>
    <w:rsid w:val="009F73D3"/>
    <w:rsid w:val="009F7563"/>
    <w:rsid w:val="009F7821"/>
    <w:rsid w:val="00A00750"/>
    <w:rsid w:val="00A0118E"/>
    <w:rsid w:val="00A0138D"/>
    <w:rsid w:val="00A013FD"/>
    <w:rsid w:val="00A01735"/>
    <w:rsid w:val="00A01C26"/>
    <w:rsid w:val="00A01D43"/>
    <w:rsid w:val="00A01D44"/>
    <w:rsid w:val="00A01E07"/>
    <w:rsid w:val="00A01E5A"/>
    <w:rsid w:val="00A01FC4"/>
    <w:rsid w:val="00A0212E"/>
    <w:rsid w:val="00A02418"/>
    <w:rsid w:val="00A02733"/>
    <w:rsid w:val="00A02860"/>
    <w:rsid w:val="00A02A23"/>
    <w:rsid w:val="00A02E2E"/>
    <w:rsid w:val="00A035F5"/>
    <w:rsid w:val="00A03F05"/>
    <w:rsid w:val="00A042C3"/>
    <w:rsid w:val="00A04394"/>
    <w:rsid w:val="00A04452"/>
    <w:rsid w:val="00A04575"/>
    <w:rsid w:val="00A04883"/>
    <w:rsid w:val="00A04B03"/>
    <w:rsid w:val="00A04B6C"/>
    <w:rsid w:val="00A04E56"/>
    <w:rsid w:val="00A05093"/>
    <w:rsid w:val="00A0538F"/>
    <w:rsid w:val="00A05419"/>
    <w:rsid w:val="00A0553F"/>
    <w:rsid w:val="00A05808"/>
    <w:rsid w:val="00A0599F"/>
    <w:rsid w:val="00A059B1"/>
    <w:rsid w:val="00A05F0E"/>
    <w:rsid w:val="00A061C1"/>
    <w:rsid w:val="00A06A0F"/>
    <w:rsid w:val="00A06D5C"/>
    <w:rsid w:val="00A07005"/>
    <w:rsid w:val="00A0751E"/>
    <w:rsid w:val="00A07597"/>
    <w:rsid w:val="00A075E4"/>
    <w:rsid w:val="00A07AE9"/>
    <w:rsid w:val="00A07BA0"/>
    <w:rsid w:val="00A07EC7"/>
    <w:rsid w:val="00A07EE7"/>
    <w:rsid w:val="00A1050D"/>
    <w:rsid w:val="00A1052F"/>
    <w:rsid w:val="00A10C61"/>
    <w:rsid w:val="00A11026"/>
    <w:rsid w:val="00A110B2"/>
    <w:rsid w:val="00A1114E"/>
    <w:rsid w:val="00A1122F"/>
    <w:rsid w:val="00A12617"/>
    <w:rsid w:val="00A12628"/>
    <w:rsid w:val="00A12968"/>
    <w:rsid w:val="00A12C35"/>
    <w:rsid w:val="00A12CD8"/>
    <w:rsid w:val="00A13015"/>
    <w:rsid w:val="00A13571"/>
    <w:rsid w:val="00A1364E"/>
    <w:rsid w:val="00A13884"/>
    <w:rsid w:val="00A13CFA"/>
    <w:rsid w:val="00A13E40"/>
    <w:rsid w:val="00A1416A"/>
    <w:rsid w:val="00A144B9"/>
    <w:rsid w:val="00A1452E"/>
    <w:rsid w:val="00A148DF"/>
    <w:rsid w:val="00A14EF6"/>
    <w:rsid w:val="00A14FB8"/>
    <w:rsid w:val="00A150A5"/>
    <w:rsid w:val="00A150BA"/>
    <w:rsid w:val="00A1548F"/>
    <w:rsid w:val="00A159C6"/>
    <w:rsid w:val="00A15F63"/>
    <w:rsid w:val="00A16035"/>
    <w:rsid w:val="00A1607D"/>
    <w:rsid w:val="00A163DC"/>
    <w:rsid w:val="00A167E5"/>
    <w:rsid w:val="00A16A32"/>
    <w:rsid w:val="00A16DBD"/>
    <w:rsid w:val="00A17228"/>
    <w:rsid w:val="00A172E4"/>
    <w:rsid w:val="00A173A4"/>
    <w:rsid w:val="00A174A1"/>
    <w:rsid w:val="00A178AC"/>
    <w:rsid w:val="00A17C39"/>
    <w:rsid w:val="00A209E0"/>
    <w:rsid w:val="00A20BC8"/>
    <w:rsid w:val="00A20FCC"/>
    <w:rsid w:val="00A21463"/>
    <w:rsid w:val="00A214E2"/>
    <w:rsid w:val="00A21BFE"/>
    <w:rsid w:val="00A21DDF"/>
    <w:rsid w:val="00A21F50"/>
    <w:rsid w:val="00A22449"/>
    <w:rsid w:val="00A2265C"/>
    <w:rsid w:val="00A22665"/>
    <w:rsid w:val="00A2283A"/>
    <w:rsid w:val="00A22B0C"/>
    <w:rsid w:val="00A232EE"/>
    <w:rsid w:val="00A2344D"/>
    <w:rsid w:val="00A234C7"/>
    <w:rsid w:val="00A238CB"/>
    <w:rsid w:val="00A239A2"/>
    <w:rsid w:val="00A23C59"/>
    <w:rsid w:val="00A23E69"/>
    <w:rsid w:val="00A2402A"/>
    <w:rsid w:val="00A24381"/>
    <w:rsid w:val="00A245C2"/>
    <w:rsid w:val="00A2462F"/>
    <w:rsid w:val="00A246BE"/>
    <w:rsid w:val="00A24979"/>
    <w:rsid w:val="00A24CB1"/>
    <w:rsid w:val="00A24E31"/>
    <w:rsid w:val="00A255E3"/>
    <w:rsid w:val="00A25900"/>
    <w:rsid w:val="00A25965"/>
    <w:rsid w:val="00A25F4D"/>
    <w:rsid w:val="00A25F55"/>
    <w:rsid w:val="00A2633C"/>
    <w:rsid w:val="00A26573"/>
    <w:rsid w:val="00A266E3"/>
    <w:rsid w:val="00A26715"/>
    <w:rsid w:val="00A269DE"/>
    <w:rsid w:val="00A26A3C"/>
    <w:rsid w:val="00A26CDD"/>
    <w:rsid w:val="00A26FA3"/>
    <w:rsid w:val="00A27000"/>
    <w:rsid w:val="00A275DD"/>
    <w:rsid w:val="00A27F06"/>
    <w:rsid w:val="00A3057B"/>
    <w:rsid w:val="00A307DF"/>
    <w:rsid w:val="00A30A43"/>
    <w:rsid w:val="00A3112C"/>
    <w:rsid w:val="00A317E8"/>
    <w:rsid w:val="00A31C4C"/>
    <w:rsid w:val="00A31CEE"/>
    <w:rsid w:val="00A31D0D"/>
    <w:rsid w:val="00A32675"/>
    <w:rsid w:val="00A32A14"/>
    <w:rsid w:val="00A32AFA"/>
    <w:rsid w:val="00A32B9B"/>
    <w:rsid w:val="00A32DE5"/>
    <w:rsid w:val="00A32FF9"/>
    <w:rsid w:val="00A330A2"/>
    <w:rsid w:val="00A33204"/>
    <w:rsid w:val="00A33266"/>
    <w:rsid w:val="00A333E0"/>
    <w:rsid w:val="00A3372D"/>
    <w:rsid w:val="00A33FB0"/>
    <w:rsid w:val="00A34059"/>
    <w:rsid w:val="00A3405C"/>
    <w:rsid w:val="00A34256"/>
    <w:rsid w:val="00A3463F"/>
    <w:rsid w:val="00A346EC"/>
    <w:rsid w:val="00A3484D"/>
    <w:rsid w:val="00A34916"/>
    <w:rsid w:val="00A34C86"/>
    <w:rsid w:val="00A34FB4"/>
    <w:rsid w:val="00A35851"/>
    <w:rsid w:val="00A359D2"/>
    <w:rsid w:val="00A35E53"/>
    <w:rsid w:val="00A35EC7"/>
    <w:rsid w:val="00A365A8"/>
    <w:rsid w:val="00A36619"/>
    <w:rsid w:val="00A36E03"/>
    <w:rsid w:val="00A36E3A"/>
    <w:rsid w:val="00A36E6C"/>
    <w:rsid w:val="00A374B3"/>
    <w:rsid w:val="00A3763C"/>
    <w:rsid w:val="00A376A7"/>
    <w:rsid w:val="00A37AE6"/>
    <w:rsid w:val="00A37D92"/>
    <w:rsid w:val="00A4056F"/>
    <w:rsid w:val="00A40634"/>
    <w:rsid w:val="00A407D9"/>
    <w:rsid w:val="00A40AFD"/>
    <w:rsid w:val="00A40B03"/>
    <w:rsid w:val="00A41243"/>
    <w:rsid w:val="00A41982"/>
    <w:rsid w:val="00A41B02"/>
    <w:rsid w:val="00A41BBC"/>
    <w:rsid w:val="00A41BE8"/>
    <w:rsid w:val="00A41E23"/>
    <w:rsid w:val="00A42524"/>
    <w:rsid w:val="00A42729"/>
    <w:rsid w:val="00A42885"/>
    <w:rsid w:val="00A42903"/>
    <w:rsid w:val="00A42BEA"/>
    <w:rsid w:val="00A42FFE"/>
    <w:rsid w:val="00A435CD"/>
    <w:rsid w:val="00A43902"/>
    <w:rsid w:val="00A43920"/>
    <w:rsid w:val="00A43AAA"/>
    <w:rsid w:val="00A43ADB"/>
    <w:rsid w:val="00A43CCA"/>
    <w:rsid w:val="00A44E35"/>
    <w:rsid w:val="00A45379"/>
    <w:rsid w:val="00A455B8"/>
    <w:rsid w:val="00A45A55"/>
    <w:rsid w:val="00A45DC3"/>
    <w:rsid w:val="00A45E33"/>
    <w:rsid w:val="00A46071"/>
    <w:rsid w:val="00A4611F"/>
    <w:rsid w:val="00A46AD2"/>
    <w:rsid w:val="00A46D2B"/>
    <w:rsid w:val="00A47661"/>
    <w:rsid w:val="00A47870"/>
    <w:rsid w:val="00A47BBF"/>
    <w:rsid w:val="00A5020A"/>
    <w:rsid w:val="00A5055D"/>
    <w:rsid w:val="00A50A15"/>
    <w:rsid w:val="00A50A9F"/>
    <w:rsid w:val="00A51156"/>
    <w:rsid w:val="00A51641"/>
    <w:rsid w:val="00A51810"/>
    <w:rsid w:val="00A519B6"/>
    <w:rsid w:val="00A51C18"/>
    <w:rsid w:val="00A52235"/>
    <w:rsid w:val="00A5238B"/>
    <w:rsid w:val="00A526EA"/>
    <w:rsid w:val="00A52903"/>
    <w:rsid w:val="00A52993"/>
    <w:rsid w:val="00A52A1C"/>
    <w:rsid w:val="00A5303B"/>
    <w:rsid w:val="00A53061"/>
    <w:rsid w:val="00A53207"/>
    <w:rsid w:val="00A53612"/>
    <w:rsid w:val="00A53749"/>
    <w:rsid w:val="00A53A42"/>
    <w:rsid w:val="00A541A8"/>
    <w:rsid w:val="00A5421E"/>
    <w:rsid w:val="00A545EF"/>
    <w:rsid w:val="00A547D3"/>
    <w:rsid w:val="00A54B6B"/>
    <w:rsid w:val="00A54B80"/>
    <w:rsid w:val="00A54F1B"/>
    <w:rsid w:val="00A55698"/>
    <w:rsid w:val="00A55754"/>
    <w:rsid w:val="00A5587C"/>
    <w:rsid w:val="00A55DA2"/>
    <w:rsid w:val="00A55DDC"/>
    <w:rsid w:val="00A5618D"/>
    <w:rsid w:val="00A56534"/>
    <w:rsid w:val="00A5655C"/>
    <w:rsid w:val="00A567C2"/>
    <w:rsid w:val="00A57411"/>
    <w:rsid w:val="00A57822"/>
    <w:rsid w:val="00A57958"/>
    <w:rsid w:val="00A57973"/>
    <w:rsid w:val="00A6015F"/>
    <w:rsid w:val="00A60B8A"/>
    <w:rsid w:val="00A60D03"/>
    <w:rsid w:val="00A60DC7"/>
    <w:rsid w:val="00A6125D"/>
    <w:rsid w:val="00A615A9"/>
    <w:rsid w:val="00A6169C"/>
    <w:rsid w:val="00A616F1"/>
    <w:rsid w:val="00A61974"/>
    <w:rsid w:val="00A619BE"/>
    <w:rsid w:val="00A61D95"/>
    <w:rsid w:val="00A622ED"/>
    <w:rsid w:val="00A62680"/>
    <w:rsid w:val="00A62FC5"/>
    <w:rsid w:val="00A6308B"/>
    <w:rsid w:val="00A6331B"/>
    <w:rsid w:val="00A63A7A"/>
    <w:rsid w:val="00A63ABB"/>
    <w:rsid w:val="00A63B14"/>
    <w:rsid w:val="00A63B89"/>
    <w:rsid w:val="00A642F7"/>
    <w:rsid w:val="00A646ED"/>
    <w:rsid w:val="00A648A5"/>
    <w:rsid w:val="00A648D0"/>
    <w:rsid w:val="00A64A9D"/>
    <w:rsid w:val="00A6517C"/>
    <w:rsid w:val="00A657D8"/>
    <w:rsid w:val="00A65ABE"/>
    <w:rsid w:val="00A65B93"/>
    <w:rsid w:val="00A66279"/>
    <w:rsid w:val="00A66AA1"/>
    <w:rsid w:val="00A66B71"/>
    <w:rsid w:val="00A66C19"/>
    <w:rsid w:val="00A66D55"/>
    <w:rsid w:val="00A66F78"/>
    <w:rsid w:val="00A66FCC"/>
    <w:rsid w:val="00A6767F"/>
    <w:rsid w:val="00A6769B"/>
    <w:rsid w:val="00A67AB3"/>
    <w:rsid w:val="00A67F03"/>
    <w:rsid w:val="00A67F75"/>
    <w:rsid w:val="00A7017B"/>
    <w:rsid w:val="00A70482"/>
    <w:rsid w:val="00A7055A"/>
    <w:rsid w:val="00A709DD"/>
    <w:rsid w:val="00A70EC4"/>
    <w:rsid w:val="00A71179"/>
    <w:rsid w:val="00A711E0"/>
    <w:rsid w:val="00A71561"/>
    <w:rsid w:val="00A7176D"/>
    <w:rsid w:val="00A71799"/>
    <w:rsid w:val="00A720A8"/>
    <w:rsid w:val="00A724AB"/>
    <w:rsid w:val="00A72A54"/>
    <w:rsid w:val="00A72CD3"/>
    <w:rsid w:val="00A734FF"/>
    <w:rsid w:val="00A73630"/>
    <w:rsid w:val="00A737E7"/>
    <w:rsid w:val="00A73A05"/>
    <w:rsid w:val="00A73B51"/>
    <w:rsid w:val="00A73BB5"/>
    <w:rsid w:val="00A7408D"/>
    <w:rsid w:val="00A74109"/>
    <w:rsid w:val="00A742ED"/>
    <w:rsid w:val="00A74F0C"/>
    <w:rsid w:val="00A75589"/>
    <w:rsid w:val="00A758F0"/>
    <w:rsid w:val="00A75942"/>
    <w:rsid w:val="00A75D35"/>
    <w:rsid w:val="00A75E4D"/>
    <w:rsid w:val="00A7670A"/>
    <w:rsid w:val="00A76801"/>
    <w:rsid w:val="00A769CB"/>
    <w:rsid w:val="00A76AA2"/>
    <w:rsid w:val="00A77C9B"/>
    <w:rsid w:val="00A77C9D"/>
    <w:rsid w:val="00A8034E"/>
    <w:rsid w:val="00A80C02"/>
    <w:rsid w:val="00A80DCD"/>
    <w:rsid w:val="00A80E0A"/>
    <w:rsid w:val="00A80F8A"/>
    <w:rsid w:val="00A81155"/>
    <w:rsid w:val="00A816B6"/>
    <w:rsid w:val="00A81768"/>
    <w:rsid w:val="00A81AFE"/>
    <w:rsid w:val="00A82972"/>
    <w:rsid w:val="00A82F0B"/>
    <w:rsid w:val="00A832C2"/>
    <w:rsid w:val="00A83557"/>
    <w:rsid w:val="00A845FF"/>
    <w:rsid w:val="00A8482B"/>
    <w:rsid w:val="00A84CF6"/>
    <w:rsid w:val="00A84DDE"/>
    <w:rsid w:val="00A84E26"/>
    <w:rsid w:val="00A84FE4"/>
    <w:rsid w:val="00A85337"/>
    <w:rsid w:val="00A8548D"/>
    <w:rsid w:val="00A8569D"/>
    <w:rsid w:val="00A8574A"/>
    <w:rsid w:val="00A85793"/>
    <w:rsid w:val="00A85A0B"/>
    <w:rsid w:val="00A85A19"/>
    <w:rsid w:val="00A869AE"/>
    <w:rsid w:val="00A86BD5"/>
    <w:rsid w:val="00A8772F"/>
    <w:rsid w:val="00A87F7B"/>
    <w:rsid w:val="00A90618"/>
    <w:rsid w:val="00A906AA"/>
    <w:rsid w:val="00A91467"/>
    <w:rsid w:val="00A91647"/>
    <w:rsid w:val="00A9190F"/>
    <w:rsid w:val="00A91C3D"/>
    <w:rsid w:val="00A92540"/>
    <w:rsid w:val="00A92F97"/>
    <w:rsid w:val="00A92FF1"/>
    <w:rsid w:val="00A9355C"/>
    <w:rsid w:val="00A936DB"/>
    <w:rsid w:val="00A938C0"/>
    <w:rsid w:val="00A93A66"/>
    <w:rsid w:val="00A93A8F"/>
    <w:rsid w:val="00A93B57"/>
    <w:rsid w:val="00A93C46"/>
    <w:rsid w:val="00A93C8E"/>
    <w:rsid w:val="00A93CC6"/>
    <w:rsid w:val="00A94323"/>
    <w:rsid w:val="00A943B1"/>
    <w:rsid w:val="00A94789"/>
    <w:rsid w:val="00A94A9D"/>
    <w:rsid w:val="00A94E6E"/>
    <w:rsid w:val="00A95057"/>
    <w:rsid w:val="00A950DB"/>
    <w:rsid w:val="00A95277"/>
    <w:rsid w:val="00A9579B"/>
    <w:rsid w:val="00A95ACE"/>
    <w:rsid w:val="00A96041"/>
    <w:rsid w:val="00A96059"/>
    <w:rsid w:val="00A96537"/>
    <w:rsid w:val="00A966CE"/>
    <w:rsid w:val="00A967E7"/>
    <w:rsid w:val="00A97063"/>
    <w:rsid w:val="00A97080"/>
    <w:rsid w:val="00A9708D"/>
    <w:rsid w:val="00A97490"/>
    <w:rsid w:val="00A9787D"/>
    <w:rsid w:val="00A97A3D"/>
    <w:rsid w:val="00AA0BA3"/>
    <w:rsid w:val="00AA0D9E"/>
    <w:rsid w:val="00AA0DC9"/>
    <w:rsid w:val="00AA0E3F"/>
    <w:rsid w:val="00AA1043"/>
    <w:rsid w:val="00AA16C2"/>
    <w:rsid w:val="00AA1C7A"/>
    <w:rsid w:val="00AA210B"/>
    <w:rsid w:val="00AA27EB"/>
    <w:rsid w:val="00AA29E8"/>
    <w:rsid w:val="00AA2C18"/>
    <w:rsid w:val="00AA2C1E"/>
    <w:rsid w:val="00AA2E34"/>
    <w:rsid w:val="00AA2EED"/>
    <w:rsid w:val="00AA3136"/>
    <w:rsid w:val="00AA395C"/>
    <w:rsid w:val="00AA406A"/>
    <w:rsid w:val="00AA4484"/>
    <w:rsid w:val="00AA4514"/>
    <w:rsid w:val="00AA4A33"/>
    <w:rsid w:val="00AA51FC"/>
    <w:rsid w:val="00AA528D"/>
    <w:rsid w:val="00AA52D7"/>
    <w:rsid w:val="00AA598D"/>
    <w:rsid w:val="00AA5CA7"/>
    <w:rsid w:val="00AA5D2A"/>
    <w:rsid w:val="00AA60B5"/>
    <w:rsid w:val="00AA639F"/>
    <w:rsid w:val="00AA6B8A"/>
    <w:rsid w:val="00AA6DF0"/>
    <w:rsid w:val="00AA7132"/>
    <w:rsid w:val="00AA72D7"/>
    <w:rsid w:val="00AA7446"/>
    <w:rsid w:val="00AA76FC"/>
    <w:rsid w:val="00AA77B6"/>
    <w:rsid w:val="00AA7822"/>
    <w:rsid w:val="00AA7994"/>
    <w:rsid w:val="00AA7E9C"/>
    <w:rsid w:val="00AB014F"/>
    <w:rsid w:val="00AB01C1"/>
    <w:rsid w:val="00AB04DB"/>
    <w:rsid w:val="00AB05AC"/>
    <w:rsid w:val="00AB0933"/>
    <w:rsid w:val="00AB0BF7"/>
    <w:rsid w:val="00AB0EA1"/>
    <w:rsid w:val="00AB194D"/>
    <w:rsid w:val="00AB1B0D"/>
    <w:rsid w:val="00AB1B91"/>
    <w:rsid w:val="00AB1E0C"/>
    <w:rsid w:val="00AB1E87"/>
    <w:rsid w:val="00AB2448"/>
    <w:rsid w:val="00AB295A"/>
    <w:rsid w:val="00AB296E"/>
    <w:rsid w:val="00AB2A2D"/>
    <w:rsid w:val="00AB2A82"/>
    <w:rsid w:val="00AB2BDE"/>
    <w:rsid w:val="00AB2F12"/>
    <w:rsid w:val="00AB3480"/>
    <w:rsid w:val="00AB364B"/>
    <w:rsid w:val="00AB3885"/>
    <w:rsid w:val="00AB3B33"/>
    <w:rsid w:val="00AB3BCE"/>
    <w:rsid w:val="00AB4720"/>
    <w:rsid w:val="00AB4A43"/>
    <w:rsid w:val="00AB4D8F"/>
    <w:rsid w:val="00AB50A6"/>
    <w:rsid w:val="00AB529F"/>
    <w:rsid w:val="00AB550E"/>
    <w:rsid w:val="00AB5668"/>
    <w:rsid w:val="00AB5A27"/>
    <w:rsid w:val="00AB5E28"/>
    <w:rsid w:val="00AB5E44"/>
    <w:rsid w:val="00AB6057"/>
    <w:rsid w:val="00AB636A"/>
    <w:rsid w:val="00AB63DD"/>
    <w:rsid w:val="00AB6674"/>
    <w:rsid w:val="00AB66B2"/>
    <w:rsid w:val="00AB66C3"/>
    <w:rsid w:val="00AB681D"/>
    <w:rsid w:val="00AB6C77"/>
    <w:rsid w:val="00AB6ECF"/>
    <w:rsid w:val="00AB7097"/>
    <w:rsid w:val="00AB7793"/>
    <w:rsid w:val="00AB7C36"/>
    <w:rsid w:val="00AB7EDB"/>
    <w:rsid w:val="00AB7FAD"/>
    <w:rsid w:val="00AC011E"/>
    <w:rsid w:val="00AC01D4"/>
    <w:rsid w:val="00AC0572"/>
    <w:rsid w:val="00AC0860"/>
    <w:rsid w:val="00AC09FE"/>
    <w:rsid w:val="00AC0B54"/>
    <w:rsid w:val="00AC0EA6"/>
    <w:rsid w:val="00AC147C"/>
    <w:rsid w:val="00AC1995"/>
    <w:rsid w:val="00AC1BCB"/>
    <w:rsid w:val="00AC1CEC"/>
    <w:rsid w:val="00AC216C"/>
    <w:rsid w:val="00AC28E4"/>
    <w:rsid w:val="00AC28ED"/>
    <w:rsid w:val="00AC2A93"/>
    <w:rsid w:val="00AC3089"/>
    <w:rsid w:val="00AC3092"/>
    <w:rsid w:val="00AC3243"/>
    <w:rsid w:val="00AC3365"/>
    <w:rsid w:val="00AC374A"/>
    <w:rsid w:val="00AC3811"/>
    <w:rsid w:val="00AC4096"/>
    <w:rsid w:val="00AC44FD"/>
    <w:rsid w:val="00AC4B0C"/>
    <w:rsid w:val="00AC51BB"/>
    <w:rsid w:val="00AC5318"/>
    <w:rsid w:val="00AC56CC"/>
    <w:rsid w:val="00AC5898"/>
    <w:rsid w:val="00AC598C"/>
    <w:rsid w:val="00AC5A16"/>
    <w:rsid w:val="00AC5BCE"/>
    <w:rsid w:val="00AC6132"/>
    <w:rsid w:val="00AC621C"/>
    <w:rsid w:val="00AC6222"/>
    <w:rsid w:val="00AC666F"/>
    <w:rsid w:val="00AC66EB"/>
    <w:rsid w:val="00AC67BD"/>
    <w:rsid w:val="00AC69F3"/>
    <w:rsid w:val="00AC6AFD"/>
    <w:rsid w:val="00AC6CE7"/>
    <w:rsid w:val="00AC6FE8"/>
    <w:rsid w:val="00AC7675"/>
    <w:rsid w:val="00AC7869"/>
    <w:rsid w:val="00AC78BC"/>
    <w:rsid w:val="00AD02BA"/>
    <w:rsid w:val="00AD030A"/>
    <w:rsid w:val="00AD036E"/>
    <w:rsid w:val="00AD057B"/>
    <w:rsid w:val="00AD0777"/>
    <w:rsid w:val="00AD09BA"/>
    <w:rsid w:val="00AD0AE9"/>
    <w:rsid w:val="00AD0C00"/>
    <w:rsid w:val="00AD0D93"/>
    <w:rsid w:val="00AD13C4"/>
    <w:rsid w:val="00AD1483"/>
    <w:rsid w:val="00AD166F"/>
    <w:rsid w:val="00AD18C6"/>
    <w:rsid w:val="00AD1A80"/>
    <w:rsid w:val="00AD1E47"/>
    <w:rsid w:val="00AD1F9D"/>
    <w:rsid w:val="00AD244F"/>
    <w:rsid w:val="00AD2988"/>
    <w:rsid w:val="00AD2C52"/>
    <w:rsid w:val="00AD3113"/>
    <w:rsid w:val="00AD31CE"/>
    <w:rsid w:val="00AD32F1"/>
    <w:rsid w:val="00AD35F4"/>
    <w:rsid w:val="00AD38D6"/>
    <w:rsid w:val="00AD3984"/>
    <w:rsid w:val="00AD3B68"/>
    <w:rsid w:val="00AD4585"/>
    <w:rsid w:val="00AD4597"/>
    <w:rsid w:val="00AD4671"/>
    <w:rsid w:val="00AD4990"/>
    <w:rsid w:val="00AD4BD8"/>
    <w:rsid w:val="00AD4F23"/>
    <w:rsid w:val="00AD566D"/>
    <w:rsid w:val="00AD583F"/>
    <w:rsid w:val="00AD5907"/>
    <w:rsid w:val="00AD5AFF"/>
    <w:rsid w:val="00AD5C3D"/>
    <w:rsid w:val="00AD695F"/>
    <w:rsid w:val="00AD6C1D"/>
    <w:rsid w:val="00AD6CC9"/>
    <w:rsid w:val="00AD7E5B"/>
    <w:rsid w:val="00AD7FE1"/>
    <w:rsid w:val="00AE027A"/>
    <w:rsid w:val="00AE0528"/>
    <w:rsid w:val="00AE0585"/>
    <w:rsid w:val="00AE0BB7"/>
    <w:rsid w:val="00AE0D66"/>
    <w:rsid w:val="00AE1F95"/>
    <w:rsid w:val="00AE1FF1"/>
    <w:rsid w:val="00AE20BC"/>
    <w:rsid w:val="00AE2103"/>
    <w:rsid w:val="00AE27DB"/>
    <w:rsid w:val="00AE2855"/>
    <w:rsid w:val="00AE2DD0"/>
    <w:rsid w:val="00AE2DE3"/>
    <w:rsid w:val="00AE42B7"/>
    <w:rsid w:val="00AE43D3"/>
    <w:rsid w:val="00AE4B2B"/>
    <w:rsid w:val="00AE4CEB"/>
    <w:rsid w:val="00AE4D80"/>
    <w:rsid w:val="00AE52B0"/>
    <w:rsid w:val="00AE5465"/>
    <w:rsid w:val="00AE55EB"/>
    <w:rsid w:val="00AE568A"/>
    <w:rsid w:val="00AE5739"/>
    <w:rsid w:val="00AE5A74"/>
    <w:rsid w:val="00AE5D15"/>
    <w:rsid w:val="00AE6060"/>
    <w:rsid w:val="00AE6566"/>
    <w:rsid w:val="00AE6AE6"/>
    <w:rsid w:val="00AE6B14"/>
    <w:rsid w:val="00AE6B46"/>
    <w:rsid w:val="00AE6ED4"/>
    <w:rsid w:val="00AE71C5"/>
    <w:rsid w:val="00AE7924"/>
    <w:rsid w:val="00AE7EA3"/>
    <w:rsid w:val="00AF0087"/>
    <w:rsid w:val="00AF01E5"/>
    <w:rsid w:val="00AF0536"/>
    <w:rsid w:val="00AF07C4"/>
    <w:rsid w:val="00AF0B78"/>
    <w:rsid w:val="00AF0FF7"/>
    <w:rsid w:val="00AF1614"/>
    <w:rsid w:val="00AF17E5"/>
    <w:rsid w:val="00AF1C9E"/>
    <w:rsid w:val="00AF1DB4"/>
    <w:rsid w:val="00AF1E53"/>
    <w:rsid w:val="00AF236B"/>
    <w:rsid w:val="00AF2405"/>
    <w:rsid w:val="00AF2448"/>
    <w:rsid w:val="00AF2456"/>
    <w:rsid w:val="00AF2783"/>
    <w:rsid w:val="00AF281D"/>
    <w:rsid w:val="00AF3270"/>
    <w:rsid w:val="00AF333E"/>
    <w:rsid w:val="00AF347B"/>
    <w:rsid w:val="00AF34A6"/>
    <w:rsid w:val="00AF3811"/>
    <w:rsid w:val="00AF399F"/>
    <w:rsid w:val="00AF3A70"/>
    <w:rsid w:val="00AF3C51"/>
    <w:rsid w:val="00AF3DEE"/>
    <w:rsid w:val="00AF3E0B"/>
    <w:rsid w:val="00AF3F63"/>
    <w:rsid w:val="00AF4219"/>
    <w:rsid w:val="00AF4329"/>
    <w:rsid w:val="00AF46F8"/>
    <w:rsid w:val="00AF49C2"/>
    <w:rsid w:val="00AF49CF"/>
    <w:rsid w:val="00AF4E8F"/>
    <w:rsid w:val="00AF55E4"/>
    <w:rsid w:val="00AF5921"/>
    <w:rsid w:val="00AF5A2F"/>
    <w:rsid w:val="00AF5A3C"/>
    <w:rsid w:val="00AF60C3"/>
    <w:rsid w:val="00AF6250"/>
    <w:rsid w:val="00AF63C3"/>
    <w:rsid w:val="00AF6526"/>
    <w:rsid w:val="00AF65E7"/>
    <w:rsid w:val="00AF678C"/>
    <w:rsid w:val="00AF688B"/>
    <w:rsid w:val="00AF68E9"/>
    <w:rsid w:val="00AF6B0A"/>
    <w:rsid w:val="00AF6FEC"/>
    <w:rsid w:val="00AF709D"/>
    <w:rsid w:val="00AF77F1"/>
    <w:rsid w:val="00AF7991"/>
    <w:rsid w:val="00AF7E16"/>
    <w:rsid w:val="00B00082"/>
    <w:rsid w:val="00B0025A"/>
    <w:rsid w:val="00B00757"/>
    <w:rsid w:val="00B00A89"/>
    <w:rsid w:val="00B00AAD"/>
    <w:rsid w:val="00B00FB1"/>
    <w:rsid w:val="00B010FE"/>
    <w:rsid w:val="00B02236"/>
    <w:rsid w:val="00B024FE"/>
    <w:rsid w:val="00B025FF"/>
    <w:rsid w:val="00B03001"/>
    <w:rsid w:val="00B030A6"/>
    <w:rsid w:val="00B031D5"/>
    <w:rsid w:val="00B03502"/>
    <w:rsid w:val="00B035F3"/>
    <w:rsid w:val="00B03776"/>
    <w:rsid w:val="00B037A7"/>
    <w:rsid w:val="00B037F1"/>
    <w:rsid w:val="00B03946"/>
    <w:rsid w:val="00B03C86"/>
    <w:rsid w:val="00B03D4E"/>
    <w:rsid w:val="00B042FD"/>
    <w:rsid w:val="00B04789"/>
    <w:rsid w:val="00B04841"/>
    <w:rsid w:val="00B0496B"/>
    <w:rsid w:val="00B04B69"/>
    <w:rsid w:val="00B051C7"/>
    <w:rsid w:val="00B056A0"/>
    <w:rsid w:val="00B0571F"/>
    <w:rsid w:val="00B05C5E"/>
    <w:rsid w:val="00B06009"/>
    <w:rsid w:val="00B061F4"/>
    <w:rsid w:val="00B0633C"/>
    <w:rsid w:val="00B067BB"/>
    <w:rsid w:val="00B06D60"/>
    <w:rsid w:val="00B078BB"/>
    <w:rsid w:val="00B07952"/>
    <w:rsid w:val="00B07B0E"/>
    <w:rsid w:val="00B07D72"/>
    <w:rsid w:val="00B07DB3"/>
    <w:rsid w:val="00B07EC5"/>
    <w:rsid w:val="00B1017A"/>
    <w:rsid w:val="00B1052E"/>
    <w:rsid w:val="00B10789"/>
    <w:rsid w:val="00B1108B"/>
    <w:rsid w:val="00B110CE"/>
    <w:rsid w:val="00B111F3"/>
    <w:rsid w:val="00B113CB"/>
    <w:rsid w:val="00B1156E"/>
    <w:rsid w:val="00B11709"/>
    <w:rsid w:val="00B11D90"/>
    <w:rsid w:val="00B1207E"/>
    <w:rsid w:val="00B122B6"/>
    <w:rsid w:val="00B12537"/>
    <w:rsid w:val="00B1258C"/>
    <w:rsid w:val="00B1272B"/>
    <w:rsid w:val="00B135EC"/>
    <w:rsid w:val="00B13CCC"/>
    <w:rsid w:val="00B14482"/>
    <w:rsid w:val="00B14509"/>
    <w:rsid w:val="00B145F9"/>
    <w:rsid w:val="00B14620"/>
    <w:rsid w:val="00B14631"/>
    <w:rsid w:val="00B146AB"/>
    <w:rsid w:val="00B15056"/>
    <w:rsid w:val="00B1519A"/>
    <w:rsid w:val="00B1521B"/>
    <w:rsid w:val="00B15375"/>
    <w:rsid w:val="00B15A45"/>
    <w:rsid w:val="00B15D9E"/>
    <w:rsid w:val="00B15E46"/>
    <w:rsid w:val="00B15E5D"/>
    <w:rsid w:val="00B15FA9"/>
    <w:rsid w:val="00B163AE"/>
    <w:rsid w:val="00B16432"/>
    <w:rsid w:val="00B16626"/>
    <w:rsid w:val="00B16B22"/>
    <w:rsid w:val="00B17048"/>
    <w:rsid w:val="00B17177"/>
    <w:rsid w:val="00B17442"/>
    <w:rsid w:val="00B17468"/>
    <w:rsid w:val="00B176C8"/>
    <w:rsid w:val="00B17746"/>
    <w:rsid w:val="00B177B7"/>
    <w:rsid w:val="00B1786F"/>
    <w:rsid w:val="00B2004B"/>
    <w:rsid w:val="00B202A0"/>
    <w:rsid w:val="00B20300"/>
    <w:rsid w:val="00B20352"/>
    <w:rsid w:val="00B204CE"/>
    <w:rsid w:val="00B20A27"/>
    <w:rsid w:val="00B20A72"/>
    <w:rsid w:val="00B20FFD"/>
    <w:rsid w:val="00B21993"/>
    <w:rsid w:val="00B21CEC"/>
    <w:rsid w:val="00B21F73"/>
    <w:rsid w:val="00B21F78"/>
    <w:rsid w:val="00B21FA7"/>
    <w:rsid w:val="00B22092"/>
    <w:rsid w:val="00B222B4"/>
    <w:rsid w:val="00B22A03"/>
    <w:rsid w:val="00B230E1"/>
    <w:rsid w:val="00B2327B"/>
    <w:rsid w:val="00B233F4"/>
    <w:rsid w:val="00B2358B"/>
    <w:rsid w:val="00B23644"/>
    <w:rsid w:val="00B23717"/>
    <w:rsid w:val="00B23819"/>
    <w:rsid w:val="00B23E4E"/>
    <w:rsid w:val="00B23F61"/>
    <w:rsid w:val="00B24B62"/>
    <w:rsid w:val="00B24C17"/>
    <w:rsid w:val="00B25400"/>
    <w:rsid w:val="00B25698"/>
    <w:rsid w:val="00B25A7F"/>
    <w:rsid w:val="00B25D5E"/>
    <w:rsid w:val="00B267C0"/>
    <w:rsid w:val="00B26A7D"/>
    <w:rsid w:val="00B26D25"/>
    <w:rsid w:val="00B26DB6"/>
    <w:rsid w:val="00B270F0"/>
    <w:rsid w:val="00B273BE"/>
    <w:rsid w:val="00B27613"/>
    <w:rsid w:val="00B301A7"/>
    <w:rsid w:val="00B307A2"/>
    <w:rsid w:val="00B30BC7"/>
    <w:rsid w:val="00B3123E"/>
    <w:rsid w:val="00B319CC"/>
    <w:rsid w:val="00B31A85"/>
    <w:rsid w:val="00B31C0C"/>
    <w:rsid w:val="00B320DC"/>
    <w:rsid w:val="00B3223F"/>
    <w:rsid w:val="00B32683"/>
    <w:rsid w:val="00B333B6"/>
    <w:rsid w:val="00B335AD"/>
    <w:rsid w:val="00B33627"/>
    <w:rsid w:val="00B33877"/>
    <w:rsid w:val="00B33B37"/>
    <w:rsid w:val="00B33F18"/>
    <w:rsid w:val="00B34080"/>
    <w:rsid w:val="00B342A1"/>
    <w:rsid w:val="00B344A5"/>
    <w:rsid w:val="00B34512"/>
    <w:rsid w:val="00B34844"/>
    <w:rsid w:val="00B34B5D"/>
    <w:rsid w:val="00B35259"/>
    <w:rsid w:val="00B3545C"/>
    <w:rsid w:val="00B354F0"/>
    <w:rsid w:val="00B35513"/>
    <w:rsid w:val="00B35879"/>
    <w:rsid w:val="00B36399"/>
    <w:rsid w:val="00B36590"/>
    <w:rsid w:val="00B36601"/>
    <w:rsid w:val="00B36661"/>
    <w:rsid w:val="00B36DA0"/>
    <w:rsid w:val="00B36DFB"/>
    <w:rsid w:val="00B3717C"/>
    <w:rsid w:val="00B3727C"/>
    <w:rsid w:val="00B37563"/>
    <w:rsid w:val="00B376D6"/>
    <w:rsid w:val="00B40DDE"/>
    <w:rsid w:val="00B40E48"/>
    <w:rsid w:val="00B40E5B"/>
    <w:rsid w:val="00B413F3"/>
    <w:rsid w:val="00B415B5"/>
    <w:rsid w:val="00B417F9"/>
    <w:rsid w:val="00B41A0C"/>
    <w:rsid w:val="00B41C28"/>
    <w:rsid w:val="00B41F6B"/>
    <w:rsid w:val="00B425A3"/>
    <w:rsid w:val="00B4307A"/>
    <w:rsid w:val="00B4320A"/>
    <w:rsid w:val="00B4327A"/>
    <w:rsid w:val="00B432EA"/>
    <w:rsid w:val="00B444AC"/>
    <w:rsid w:val="00B444D2"/>
    <w:rsid w:val="00B44738"/>
    <w:rsid w:val="00B448EF"/>
    <w:rsid w:val="00B449D9"/>
    <w:rsid w:val="00B44A6D"/>
    <w:rsid w:val="00B452FC"/>
    <w:rsid w:val="00B45398"/>
    <w:rsid w:val="00B454DF"/>
    <w:rsid w:val="00B45591"/>
    <w:rsid w:val="00B45DF8"/>
    <w:rsid w:val="00B45DFC"/>
    <w:rsid w:val="00B45EF1"/>
    <w:rsid w:val="00B460C9"/>
    <w:rsid w:val="00B465D0"/>
    <w:rsid w:val="00B46730"/>
    <w:rsid w:val="00B467C9"/>
    <w:rsid w:val="00B46B74"/>
    <w:rsid w:val="00B46D12"/>
    <w:rsid w:val="00B46DB0"/>
    <w:rsid w:val="00B4736B"/>
    <w:rsid w:val="00B479C0"/>
    <w:rsid w:val="00B47B2B"/>
    <w:rsid w:val="00B47EA6"/>
    <w:rsid w:val="00B509EA"/>
    <w:rsid w:val="00B50E40"/>
    <w:rsid w:val="00B5129A"/>
    <w:rsid w:val="00B5158F"/>
    <w:rsid w:val="00B51591"/>
    <w:rsid w:val="00B5169E"/>
    <w:rsid w:val="00B51E1C"/>
    <w:rsid w:val="00B51E6E"/>
    <w:rsid w:val="00B51F09"/>
    <w:rsid w:val="00B51F4F"/>
    <w:rsid w:val="00B526C5"/>
    <w:rsid w:val="00B529BB"/>
    <w:rsid w:val="00B52BE6"/>
    <w:rsid w:val="00B5300F"/>
    <w:rsid w:val="00B53360"/>
    <w:rsid w:val="00B533AA"/>
    <w:rsid w:val="00B539E9"/>
    <w:rsid w:val="00B53A27"/>
    <w:rsid w:val="00B5406A"/>
    <w:rsid w:val="00B54188"/>
    <w:rsid w:val="00B54252"/>
    <w:rsid w:val="00B54574"/>
    <w:rsid w:val="00B545DF"/>
    <w:rsid w:val="00B54674"/>
    <w:rsid w:val="00B5480C"/>
    <w:rsid w:val="00B548B8"/>
    <w:rsid w:val="00B54E7E"/>
    <w:rsid w:val="00B55680"/>
    <w:rsid w:val="00B557BF"/>
    <w:rsid w:val="00B55ADE"/>
    <w:rsid w:val="00B55CF2"/>
    <w:rsid w:val="00B56219"/>
    <w:rsid w:val="00B562C4"/>
    <w:rsid w:val="00B564AF"/>
    <w:rsid w:val="00B56B8C"/>
    <w:rsid w:val="00B5738B"/>
    <w:rsid w:val="00B573C8"/>
    <w:rsid w:val="00B575C4"/>
    <w:rsid w:val="00B578D1"/>
    <w:rsid w:val="00B578DE"/>
    <w:rsid w:val="00B5795F"/>
    <w:rsid w:val="00B57D62"/>
    <w:rsid w:val="00B6042B"/>
    <w:rsid w:val="00B60471"/>
    <w:rsid w:val="00B60A4B"/>
    <w:rsid w:val="00B60C48"/>
    <w:rsid w:val="00B6114F"/>
    <w:rsid w:val="00B617C8"/>
    <w:rsid w:val="00B61AE7"/>
    <w:rsid w:val="00B61BB4"/>
    <w:rsid w:val="00B62383"/>
    <w:rsid w:val="00B625F8"/>
    <w:rsid w:val="00B6307D"/>
    <w:rsid w:val="00B632C2"/>
    <w:rsid w:val="00B63D14"/>
    <w:rsid w:val="00B6400E"/>
    <w:rsid w:val="00B641DD"/>
    <w:rsid w:val="00B64262"/>
    <w:rsid w:val="00B64785"/>
    <w:rsid w:val="00B64BA2"/>
    <w:rsid w:val="00B64C21"/>
    <w:rsid w:val="00B64C68"/>
    <w:rsid w:val="00B64FE1"/>
    <w:rsid w:val="00B6508C"/>
    <w:rsid w:val="00B65556"/>
    <w:rsid w:val="00B65621"/>
    <w:rsid w:val="00B657D7"/>
    <w:rsid w:val="00B658A0"/>
    <w:rsid w:val="00B65A30"/>
    <w:rsid w:val="00B65CAA"/>
    <w:rsid w:val="00B65CF4"/>
    <w:rsid w:val="00B65EBC"/>
    <w:rsid w:val="00B66100"/>
    <w:rsid w:val="00B665D6"/>
    <w:rsid w:val="00B66628"/>
    <w:rsid w:val="00B66CE7"/>
    <w:rsid w:val="00B66D56"/>
    <w:rsid w:val="00B671A7"/>
    <w:rsid w:val="00B6747F"/>
    <w:rsid w:val="00B6768E"/>
    <w:rsid w:val="00B67B0B"/>
    <w:rsid w:val="00B67B15"/>
    <w:rsid w:val="00B67E8E"/>
    <w:rsid w:val="00B67F30"/>
    <w:rsid w:val="00B705C2"/>
    <w:rsid w:val="00B70DCF"/>
    <w:rsid w:val="00B710F2"/>
    <w:rsid w:val="00B7124B"/>
    <w:rsid w:val="00B71602"/>
    <w:rsid w:val="00B716F5"/>
    <w:rsid w:val="00B7171F"/>
    <w:rsid w:val="00B71921"/>
    <w:rsid w:val="00B71A78"/>
    <w:rsid w:val="00B72105"/>
    <w:rsid w:val="00B72319"/>
    <w:rsid w:val="00B72C92"/>
    <w:rsid w:val="00B72CC7"/>
    <w:rsid w:val="00B73B24"/>
    <w:rsid w:val="00B73BF4"/>
    <w:rsid w:val="00B73DBA"/>
    <w:rsid w:val="00B7456C"/>
    <w:rsid w:val="00B7498B"/>
    <w:rsid w:val="00B74C58"/>
    <w:rsid w:val="00B74EF5"/>
    <w:rsid w:val="00B754E9"/>
    <w:rsid w:val="00B757FA"/>
    <w:rsid w:val="00B75C03"/>
    <w:rsid w:val="00B75F81"/>
    <w:rsid w:val="00B76C35"/>
    <w:rsid w:val="00B76F23"/>
    <w:rsid w:val="00B7723E"/>
    <w:rsid w:val="00B77271"/>
    <w:rsid w:val="00B773E9"/>
    <w:rsid w:val="00B77D3E"/>
    <w:rsid w:val="00B77D5C"/>
    <w:rsid w:val="00B77F48"/>
    <w:rsid w:val="00B77FDF"/>
    <w:rsid w:val="00B8002F"/>
    <w:rsid w:val="00B80148"/>
    <w:rsid w:val="00B8036B"/>
    <w:rsid w:val="00B805E1"/>
    <w:rsid w:val="00B80852"/>
    <w:rsid w:val="00B809BE"/>
    <w:rsid w:val="00B80B92"/>
    <w:rsid w:val="00B80BD6"/>
    <w:rsid w:val="00B80CCA"/>
    <w:rsid w:val="00B814CF"/>
    <w:rsid w:val="00B814D5"/>
    <w:rsid w:val="00B819B5"/>
    <w:rsid w:val="00B81BBE"/>
    <w:rsid w:val="00B82146"/>
    <w:rsid w:val="00B822FA"/>
    <w:rsid w:val="00B8298B"/>
    <w:rsid w:val="00B829A6"/>
    <w:rsid w:val="00B82AAC"/>
    <w:rsid w:val="00B82EF2"/>
    <w:rsid w:val="00B842C1"/>
    <w:rsid w:val="00B84A29"/>
    <w:rsid w:val="00B84B37"/>
    <w:rsid w:val="00B84DC3"/>
    <w:rsid w:val="00B84E8B"/>
    <w:rsid w:val="00B8518B"/>
    <w:rsid w:val="00B85315"/>
    <w:rsid w:val="00B85536"/>
    <w:rsid w:val="00B864B2"/>
    <w:rsid w:val="00B868B1"/>
    <w:rsid w:val="00B868DA"/>
    <w:rsid w:val="00B86E8D"/>
    <w:rsid w:val="00B871CF"/>
    <w:rsid w:val="00B87681"/>
    <w:rsid w:val="00B87754"/>
    <w:rsid w:val="00B87B16"/>
    <w:rsid w:val="00B900FB"/>
    <w:rsid w:val="00B90442"/>
    <w:rsid w:val="00B90869"/>
    <w:rsid w:val="00B9147D"/>
    <w:rsid w:val="00B91CB6"/>
    <w:rsid w:val="00B91DCC"/>
    <w:rsid w:val="00B92031"/>
    <w:rsid w:val="00B920E8"/>
    <w:rsid w:val="00B92396"/>
    <w:rsid w:val="00B9273C"/>
    <w:rsid w:val="00B927A8"/>
    <w:rsid w:val="00B931B5"/>
    <w:rsid w:val="00B931F1"/>
    <w:rsid w:val="00B9345A"/>
    <w:rsid w:val="00B9348D"/>
    <w:rsid w:val="00B93CBE"/>
    <w:rsid w:val="00B94330"/>
    <w:rsid w:val="00B946F5"/>
    <w:rsid w:val="00B94909"/>
    <w:rsid w:val="00B94DE8"/>
    <w:rsid w:val="00B9501C"/>
    <w:rsid w:val="00B9525F"/>
    <w:rsid w:val="00B95292"/>
    <w:rsid w:val="00B95364"/>
    <w:rsid w:val="00B955B5"/>
    <w:rsid w:val="00B95A3B"/>
    <w:rsid w:val="00B95ABB"/>
    <w:rsid w:val="00B95F13"/>
    <w:rsid w:val="00B96358"/>
    <w:rsid w:val="00B96D01"/>
    <w:rsid w:val="00B96DA2"/>
    <w:rsid w:val="00B9725E"/>
    <w:rsid w:val="00B97494"/>
    <w:rsid w:val="00B9749D"/>
    <w:rsid w:val="00B9763A"/>
    <w:rsid w:val="00B97998"/>
    <w:rsid w:val="00B97AC4"/>
    <w:rsid w:val="00B97C68"/>
    <w:rsid w:val="00B97D80"/>
    <w:rsid w:val="00BA033B"/>
    <w:rsid w:val="00BA09F6"/>
    <w:rsid w:val="00BA13C9"/>
    <w:rsid w:val="00BA1488"/>
    <w:rsid w:val="00BA1B99"/>
    <w:rsid w:val="00BA1C8A"/>
    <w:rsid w:val="00BA1EE8"/>
    <w:rsid w:val="00BA22A2"/>
    <w:rsid w:val="00BA2497"/>
    <w:rsid w:val="00BA2CCD"/>
    <w:rsid w:val="00BA2D55"/>
    <w:rsid w:val="00BA310C"/>
    <w:rsid w:val="00BA31CD"/>
    <w:rsid w:val="00BA32D4"/>
    <w:rsid w:val="00BA3575"/>
    <w:rsid w:val="00BA39B1"/>
    <w:rsid w:val="00BA3E1A"/>
    <w:rsid w:val="00BA4298"/>
    <w:rsid w:val="00BA5096"/>
    <w:rsid w:val="00BA5279"/>
    <w:rsid w:val="00BA53FF"/>
    <w:rsid w:val="00BA5D43"/>
    <w:rsid w:val="00BA67F9"/>
    <w:rsid w:val="00BA6910"/>
    <w:rsid w:val="00BA69BB"/>
    <w:rsid w:val="00BA6A53"/>
    <w:rsid w:val="00BA6DB5"/>
    <w:rsid w:val="00BA7153"/>
    <w:rsid w:val="00BA7981"/>
    <w:rsid w:val="00BA7B27"/>
    <w:rsid w:val="00BA7EAE"/>
    <w:rsid w:val="00BB011B"/>
    <w:rsid w:val="00BB0665"/>
    <w:rsid w:val="00BB0735"/>
    <w:rsid w:val="00BB0855"/>
    <w:rsid w:val="00BB0B8E"/>
    <w:rsid w:val="00BB1043"/>
    <w:rsid w:val="00BB176B"/>
    <w:rsid w:val="00BB1A7A"/>
    <w:rsid w:val="00BB1B27"/>
    <w:rsid w:val="00BB1B2B"/>
    <w:rsid w:val="00BB2115"/>
    <w:rsid w:val="00BB2678"/>
    <w:rsid w:val="00BB2770"/>
    <w:rsid w:val="00BB2C15"/>
    <w:rsid w:val="00BB2DF5"/>
    <w:rsid w:val="00BB2F4D"/>
    <w:rsid w:val="00BB3185"/>
    <w:rsid w:val="00BB359D"/>
    <w:rsid w:val="00BB35F4"/>
    <w:rsid w:val="00BB391F"/>
    <w:rsid w:val="00BB3BC2"/>
    <w:rsid w:val="00BB43F8"/>
    <w:rsid w:val="00BB498D"/>
    <w:rsid w:val="00BB4AC9"/>
    <w:rsid w:val="00BB50F9"/>
    <w:rsid w:val="00BB5323"/>
    <w:rsid w:val="00BB5749"/>
    <w:rsid w:val="00BB57D2"/>
    <w:rsid w:val="00BB59D2"/>
    <w:rsid w:val="00BB5A7A"/>
    <w:rsid w:val="00BB5EA6"/>
    <w:rsid w:val="00BB5EFD"/>
    <w:rsid w:val="00BB60A3"/>
    <w:rsid w:val="00BB6435"/>
    <w:rsid w:val="00BB6457"/>
    <w:rsid w:val="00BB6576"/>
    <w:rsid w:val="00BB6BC4"/>
    <w:rsid w:val="00BB6E21"/>
    <w:rsid w:val="00BB7046"/>
    <w:rsid w:val="00BB72D8"/>
    <w:rsid w:val="00BB7BA4"/>
    <w:rsid w:val="00BB7DE5"/>
    <w:rsid w:val="00BB7FFD"/>
    <w:rsid w:val="00BC020C"/>
    <w:rsid w:val="00BC0D4A"/>
    <w:rsid w:val="00BC15E4"/>
    <w:rsid w:val="00BC179F"/>
    <w:rsid w:val="00BC194F"/>
    <w:rsid w:val="00BC1951"/>
    <w:rsid w:val="00BC1A50"/>
    <w:rsid w:val="00BC2161"/>
    <w:rsid w:val="00BC24B2"/>
    <w:rsid w:val="00BC2725"/>
    <w:rsid w:val="00BC2773"/>
    <w:rsid w:val="00BC29A3"/>
    <w:rsid w:val="00BC2D22"/>
    <w:rsid w:val="00BC2DEB"/>
    <w:rsid w:val="00BC358B"/>
    <w:rsid w:val="00BC35FD"/>
    <w:rsid w:val="00BC38F9"/>
    <w:rsid w:val="00BC3AEF"/>
    <w:rsid w:val="00BC3DC1"/>
    <w:rsid w:val="00BC40D3"/>
    <w:rsid w:val="00BC414D"/>
    <w:rsid w:val="00BC41FD"/>
    <w:rsid w:val="00BC45B4"/>
    <w:rsid w:val="00BC4654"/>
    <w:rsid w:val="00BC4699"/>
    <w:rsid w:val="00BC4A99"/>
    <w:rsid w:val="00BC4C6A"/>
    <w:rsid w:val="00BC4CA2"/>
    <w:rsid w:val="00BC4FE6"/>
    <w:rsid w:val="00BC57AF"/>
    <w:rsid w:val="00BC5898"/>
    <w:rsid w:val="00BC5B70"/>
    <w:rsid w:val="00BC5C16"/>
    <w:rsid w:val="00BC5EA3"/>
    <w:rsid w:val="00BC6EF3"/>
    <w:rsid w:val="00BC7272"/>
    <w:rsid w:val="00BC727C"/>
    <w:rsid w:val="00BC760D"/>
    <w:rsid w:val="00BC7936"/>
    <w:rsid w:val="00BC79AD"/>
    <w:rsid w:val="00BC7A3C"/>
    <w:rsid w:val="00BC7D20"/>
    <w:rsid w:val="00BC7DD7"/>
    <w:rsid w:val="00BD03A0"/>
    <w:rsid w:val="00BD03AA"/>
    <w:rsid w:val="00BD03FE"/>
    <w:rsid w:val="00BD041B"/>
    <w:rsid w:val="00BD04C3"/>
    <w:rsid w:val="00BD0880"/>
    <w:rsid w:val="00BD0CE9"/>
    <w:rsid w:val="00BD122F"/>
    <w:rsid w:val="00BD140A"/>
    <w:rsid w:val="00BD1600"/>
    <w:rsid w:val="00BD1831"/>
    <w:rsid w:val="00BD1D5F"/>
    <w:rsid w:val="00BD1F4F"/>
    <w:rsid w:val="00BD203D"/>
    <w:rsid w:val="00BD20D9"/>
    <w:rsid w:val="00BD28E6"/>
    <w:rsid w:val="00BD2CC8"/>
    <w:rsid w:val="00BD3203"/>
    <w:rsid w:val="00BD32FA"/>
    <w:rsid w:val="00BD35DA"/>
    <w:rsid w:val="00BD3AF4"/>
    <w:rsid w:val="00BD4341"/>
    <w:rsid w:val="00BD4817"/>
    <w:rsid w:val="00BD4826"/>
    <w:rsid w:val="00BD4C1E"/>
    <w:rsid w:val="00BD514F"/>
    <w:rsid w:val="00BD556B"/>
    <w:rsid w:val="00BD60C8"/>
    <w:rsid w:val="00BD7332"/>
    <w:rsid w:val="00BD7A87"/>
    <w:rsid w:val="00BD7D6A"/>
    <w:rsid w:val="00BD7D6B"/>
    <w:rsid w:val="00BD7DF2"/>
    <w:rsid w:val="00BD7F59"/>
    <w:rsid w:val="00BE0063"/>
    <w:rsid w:val="00BE04A1"/>
    <w:rsid w:val="00BE0882"/>
    <w:rsid w:val="00BE09C8"/>
    <w:rsid w:val="00BE0BED"/>
    <w:rsid w:val="00BE0CCF"/>
    <w:rsid w:val="00BE1467"/>
    <w:rsid w:val="00BE14F0"/>
    <w:rsid w:val="00BE15B4"/>
    <w:rsid w:val="00BE1705"/>
    <w:rsid w:val="00BE17BB"/>
    <w:rsid w:val="00BE2158"/>
    <w:rsid w:val="00BE227E"/>
    <w:rsid w:val="00BE24DB"/>
    <w:rsid w:val="00BE2881"/>
    <w:rsid w:val="00BE2A19"/>
    <w:rsid w:val="00BE2C20"/>
    <w:rsid w:val="00BE343B"/>
    <w:rsid w:val="00BE37A2"/>
    <w:rsid w:val="00BE385C"/>
    <w:rsid w:val="00BE3C33"/>
    <w:rsid w:val="00BE486D"/>
    <w:rsid w:val="00BE48DB"/>
    <w:rsid w:val="00BE4C77"/>
    <w:rsid w:val="00BE4CC5"/>
    <w:rsid w:val="00BE4D17"/>
    <w:rsid w:val="00BE4DE1"/>
    <w:rsid w:val="00BE5088"/>
    <w:rsid w:val="00BE5170"/>
    <w:rsid w:val="00BE5241"/>
    <w:rsid w:val="00BE5B61"/>
    <w:rsid w:val="00BE610C"/>
    <w:rsid w:val="00BE666C"/>
    <w:rsid w:val="00BE66D2"/>
    <w:rsid w:val="00BE6704"/>
    <w:rsid w:val="00BE6E9C"/>
    <w:rsid w:val="00BE7473"/>
    <w:rsid w:val="00BE7513"/>
    <w:rsid w:val="00BE7A19"/>
    <w:rsid w:val="00BE7E00"/>
    <w:rsid w:val="00BE7F8C"/>
    <w:rsid w:val="00BF07C0"/>
    <w:rsid w:val="00BF0808"/>
    <w:rsid w:val="00BF0DC5"/>
    <w:rsid w:val="00BF1056"/>
    <w:rsid w:val="00BF209B"/>
    <w:rsid w:val="00BF2662"/>
    <w:rsid w:val="00BF2D9F"/>
    <w:rsid w:val="00BF30D8"/>
    <w:rsid w:val="00BF316D"/>
    <w:rsid w:val="00BF3187"/>
    <w:rsid w:val="00BF3191"/>
    <w:rsid w:val="00BF3230"/>
    <w:rsid w:val="00BF3329"/>
    <w:rsid w:val="00BF371D"/>
    <w:rsid w:val="00BF3784"/>
    <w:rsid w:val="00BF378C"/>
    <w:rsid w:val="00BF37F0"/>
    <w:rsid w:val="00BF3C1C"/>
    <w:rsid w:val="00BF4145"/>
    <w:rsid w:val="00BF41B4"/>
    <w:rsid w:val="00BF4543"/>
    <w:rsid w:val="00BF46A7"/>
    <w:rsid w:val="00BF4AB4"/>
    <w:rsid w:val="00BF4DE1"/>
    <w:rsid w:val="00BF51AA"/>
    <w:rsid w:val="00BF5355"/>
    <w:rsid w:val="00BF5A21"/>
    <w:rsid w:val="00BF5E7F"/>
    <w:rsid w:val="00BF65BF"/>
    <w:rsid w:val="00BF69DD"/>
    <w:rsid w:val="00BF7EE2"/>
    <w:rsid w:val="00BF7F42"/>
    <w:rsid w:val="00C0060F"/>
    <w:rsid w:val="00C007F6"/>
    <w:rsid w:val="00C00979"/>
    <w:rsid w:val="00C00A5A"/>
    <w:rsid w:val="00C00C98"/>
    <w:rsid w:val="00C01271"/>
    <w:rsid w:val="00C01494"/>
    <w:rsid w:val="00C01D25"/>
    <w:rsid w:val="00C01EA7"/>
    <w:rsid w:val="00C021B4"/>
    <w:rsid w:val="00C021CB"/>
    <w:rsid w:val="00C027BC"/>
    <w:rsid w:val="00C028BB"/>
    <w:rsid w:val="00C02C00"/>
    <w:rsid w:val="00C02C84"/>
    <w:rsid w:val="00C02DF9"/>
    <w:rsid w:val="00C02E0E"/>
    <w:rsid w:val="00C02E48"/>
    <w:rsid w:val="00C0315A"/>
    <w:rsid w:val="00C03AA6"/>
    <w:rsid w:val="00C03BDE"/>
    <w:rsid w:val="00C03CF4"/>
    <w:rsid w:val="00C03D3A"/>
    <w:rsid w:val="00C03F9A"/>
    <w:rsid w:val="00C04018"/>
    <w:rsid w:val="00C04246"/>
    <w:rsid w:val="00C04CF0"/>
    <w:rsid w:val="00C05202"/>
    <w:rsid w:val="00C053EB"/>
    <w:rsid w:val="00C0566C"/>
    <w:rsid w:val="00C057D5"/>
    <w:rsid w:val="00C05BC6"/>
    <w:rsid w:val="00C05CF3"/>
    <w:rsid w:val="00C05E94"/>
    <w:rsid w:val="00C06457"/>
    <w:rsid w:val="00C0679C"/>
    <w:rsid w:val="00C0685D"/>
    <w:rsid w:val="00C068F7"/>
    <w:rsid w:val="00C069C5"/>
    <w:rsid w:val="00C06C39"/>
    <w:rsid w:val="00C06F3A"/>
    <w:rsid w:val="00C075AD"/>
    <w:rsid w:val="00C078CC"/>
    <w:rsid w:val="00C0792F"/>
    <w:rsid w:val="00C07A84"/>
    <w:rsid w:val="00C07D95"/>
    <w:rsid w:val="00C07FD8"/>
    <w:rsid w:val="00C101E7"/>
    <w:rsid w:val="00C10229"/>
    <w:rsid w:val="00C1091D"/>
    <w:rsid w:val="00C10F00"/>
    <w:rsid w:val="00C112F1"/>
    <w:rsid w:val="00C11602"/>
    <w:rsid w:val="00C116D6"/>
    <w:rsid w:val="00C11B20"/>
    <w:rsid w:val="00C1203E"/>
    <w:rsid w:val="00C12BDD"/>
    <w:rsid w:val="00C12C22"/>
    <w:rsid w:val="00C131C8"/>
    <w:rsid w:val="00C13784"/>
    <w:rsid w:val="00C13C21"/>
    <w:rsid w:val="00C13D22"/>
    <w:rsid w:val="00C14311"/>
    <w:rsid w:val="00C149FE"/>
    <w:rsid w:val="00C15042"/>
    <w:rsid w:val="00C158D4"/>
    <w:rsid w:val="00C15A80"/>
    <w:rsid w:val="00C15FB3"/>
    <w:rsid w:val="00C16366"/>
    <w:rsid w:val="00C16607"/>
    <w:rsid w:val="00C166AC"/>
    <w:rsid w:val="00C16823"/>
    <w:rsid w:val="00C16A67"/>
    <w:rsid w:val="00C17379"/>
    <w:rsid w:val="00C173E5"/>
    <w:rsid w:val="00C17540"/>
    <w:rsid w:val="00C177BF"/>
    <w:rsid w:val="00C17E69"/>
    <w:rsid w:val="00C20245"/>
    <w:rsid w:val="00C20418"/>
    <w:rsid w:val="00C20580"/>
    <w:rsid w:val="00C20B4B"/>
    <w:rsid w:val="00C20C82"/>
    <w:rsid w:val="00C20DEC"/>
    <w:rsid w:val="00C20F44"/>
    <w:rsid w:val="00C215A3"/>
    <w:rsid w:val="00C21736"/>
    <w:rsid w:val="00C217E6"/>
    <w:rsid w:val="00C21EFA"/>
    <w:rsid w:val="00C2202D"/>
    <w:rsid w:val="00C22638"/>
    <w:rsid w:val="00C2269E"/>
    <w:rsid w:val="00C23036"/>
    <w:rsid w:val="00C23158"/>
    <w:rsid w:val="00C2342D"/>
    <w:rsid w:val="00C23AB4"/>
    <w:rsid w:val="00C23B82"/>
    <w:rsid w:val="00C24157"/>
    <w:rsid w:val="00C2415E"/>
    <w:rsid w:val="00C243A5"/>
    <w:rsid w:val="00C244BB"/>
    <w:rsid w:val="00C24652"/>
    <w:rsid w:val="00C24665"/>
    <w:rsid w:val="00C2469C"/>
    <w:rsid w:val="00C24AD7"/>
    <w:rsid w:val="00C25557"/>
    <w:rsid w:val="00C25686"/>
    <w:rsid w:val="00C2594F"/>
    <w:rsid w:val="00C25F0D"/>
    <w:rsid w:val="00C26047"/>
    <w:rsid w:val="00C2643F"/>
    <w:rsid w:val="00C26B25"/>
    <w:rsid w:val="00C26BF4"/>
    <w:rsid w:val="00C26E77"/>
    <w:rsid w:val="00C27225"/>
    <w:rsid w:val="00C27298"/>
    <w:rsid w:val="00C272D7"/>
    <w:rsid w:val="00C2789F"/>
    <w:rsid w:val="00C279E1"/>
    <w:rsid w:val="00C27B00"/>
    <w:rsid w:val="00C27D1C"/>
    <w:rsid w:val="00C302F6"/>
    <w:rsid w:val="00C308FB"/>
    <w:rsid w:val="00C30A60"/>
    <w:rsid w:val="00C30E2D"/>
    <w:rsid w:val="00C30EE4"/>
    <w:rsid w:val="00C3171B"/>
    <w:rsid w:val="00C317B8"/>
    <w:rsid w:val="00C317E9"/>
    <w:rsid w:val="00C31B39"/>
    <w:rsid w:val="00C31E62"/>
    <w:rsid w:val="00C31E8D"/>
    <w:rsid w:val="00C322F7"/>
    <w:rsid w:val="00C323E3"/>
    <w:rsid w:val="00C324EE"/>
    <w:rsid w:val="00C32516"/>
    <w:rsid w:val="00C3276F"/>
    <w:rsid w:val="00C33691"/>
    <w:rsid w:val="00C3383A"/>
    <w:rsid w:val="00C34087"/>
    <w:rsid w:val="00C3412E"/>
    <w:rsid w:val="00C3454E"/>
    <w:rsid w:val="00C346CD"/>
    <w:rsid w:val="00C3474C"/>
    <w:rsid w:val="00C34A68"/>
    <w:rsid w:val="00C35099"/>
    <w:rsid w:val="00C353C2"/>
    <w:rsid w:val="00C354DB"/>
    <w:rsid w:val="00C35B1A"/>
    <w:rsid w:val="00C35C6D"/>
    <w:rsid w:val="00C35CCD"/>
    <w:rsid w:val="00C35D01"/>
    <w:rsid w:val="00C36012"/>
    <w:rsid w:val="00C36166"/>
    <w:rsid w:val="00C36453"/>
    <w:rsid w:val="00C36D64"/>
    <w:rsid w:val="00C37367"/>
    <w:rsid w:val="00C37472"/>
    <w:rsid w:val="00C379C8"/>
    <w:rsid w:val="00C37A03"/>
    <w:rsid w:val="00C4068E"/>
    <w:rsid w:val="00C40FC9"/>
    <w:rsid w:val="00C4126F"/>
    <w:rsid w:val="00C41814"/>
    <w:rsid w:val="00C41830"/>
    <w:rsid w:val="00C41B0A"/>
    <w:rsid w:val="00C41DF7"/>
    <w:rsid w:val="00C41FEE"/>
    <w:rsid w:val="00C42443"/>
    <w:rsid w:val="00C429C5"/>
    <w:rsid w:val="00C42A29"/>
    <w:rsid w:val="00C42BF8"/>
    <w:rsid w:val="00C42FE1"/>
    <w:rsid w:val="00C431DE"/>
    <w:rsid w:val="00C43682"/>
    <w:rsid w:val="00C43BD7"/>
    <w:rsid w:val="00C43C5F"/>
    <w:rsid w:val="00C43DDB"/>
    <w:rsid w:val="00C449ED"/>
    <w:rsid w:val="00C44DE0"/>
    <w:rsid w:val="00C44ED1"/>
    <w:rsid w:val="00C451B3"/>
    <w:rsid w:val="00C45404"/>
    <w:rsid w:val="00C4583A"/>
    <w:rsid w:val="00C45E78"/>
    <w:rsid w:val="00C45F55"/>
    <w:rsid w:val="00C463F3"/>
    <w:rsid w:val="00C46490"/>
    <w:rsid w:val="00C4662C"/>
    <w:rsid w:val="00C469B2"/>
    <w:rsid w:val="00C470A8"/>
    <w:rsid w:val="00C472B0"/>
    <w:rsid w:val="00C473E2"/>
    <w:rsid w:val="00C4740A"/>
    <w:rsid w:val="00C47536"/>
    <w:rsid w:val="00C4766E"/>
    <w:rsid w:val="00C502ED"/>
    <w:rsid w:val="00C504BD"/>
    <w:rsid w:val="00C5091A"/>
    <w:rsid w:val="00C50C6E"/>
    <w:rsid w:val="00C50DED"/>
    <w:rsid w:val="00C50E59"/>
    <w:rsid w:val="00C51167"/>
    <w:rsid w:val="00C5132E"/>
    <w:rsid w:val="00C51DC1"/>
    <w:rsid w:val="00C521E1"/>
    <w:rsid w:val="00C5235D"/>
    <w:rsid w:val="00C52615"/>
    <w:rsid w:val="00C526A1"/>
    <w:rsid w:val="00C528B0"/>
    <w:rsid w:val="00C52A47"/>
    <w:rsid w:val="00C52CD6"/>
    <w:rsid w:val="00C52D15"/>
    <w:rsid w:val="00C52D37"/>
    <w:rsid w:val="00C52EE0"/>
    <w:rsid w:val="00C533EB"/>
    <w:rsid w:val="00C5353D"/>
    <w:rsid w:val="00C53C61"/>
    <w:rsid w:val="00C53F14"/>
    <w:rsid w:val="00C54283"/>
    <w:rsid w:val="00C5449C"/>
    <w:rsid w:val="00C54670"/>
    <w:rsid w:val="00C546CC"/>
    <w:rsid w:val="00C54853"/>
    <w:rsid w:val="00C548B8"/>
    <w:rsid w:val="00C54915"/>
    <w:rsid w:val="00C54E2A"/>
    <w:rsid w:val="00C55253"/>
    <w:rsid w:val="00C5553B"/>
    <w:rsid w:val="00C5567A"/>
    <w:rsid w:val="00C55862"/>
    <w:rsid w:val="00C55A03"/>
    <w:rsid w:val="00C55D7F"/>
    <w:rsid w:val="00C561E7"/>
    <w:rsid w:val="00C56244"/>
    <w:rsid w:val="00C563F8"/>
    <w:rsid w:val="00C567B4"/>
    <w:rsid w:val="00C56A37"/>
    <w:rsid w:val="00C56A5F"/>
    <w:rsid w:val="00C57A6B"/>
    <w:rsid w:val="00C6025C"/>
    <w:rsid w:val="00C602FD"/>
    <w:rsid w:val="00C60369"/>
    <w:rsid w:val="00C60430"/>
    <w:rsid w:val="00C60558"/>
    <w:rsid w:val="00C607D9"/>
    <w:rsid w:val="00C609D1"/>
    <w:rsid w:val="00C60B56"/>
    <w:rsid w:val="00C60E8F"/>
    <w:rsid w:val="00C6152B"/>
    <w:rsid w:val="00C619DF"/>
    <w:rsid w:val="00C61BB6"/>
    <w:rsid w:val="00C620B2"/>
    <w:rsid w:val="00C62929"/>
    <w:rsid w:val="00C62AB3"/>
    <w:rsid w:val="00C6315E"/>
    <w:rsid w:val="00C6335E"/>
    <w:rsid w:val="00C637C7"/>
    <w:rsid w:val="00C6389D"/>
    <w:rsid w:val="00C6390B"/>
    <w:rsid w:val="00C63AF1"/>
    <w:rsid w:val="00C63C33"/>
    <w:rsid w:val="00C64001"/>
    <w:rsid w:val="00C64462"/>
    <w:rsid w:val="00C64A5A"/>
    <w:rsid w:val="00C64B94"/>
    <w:rsid w:val="00C64F46"/>
    <w:rsid w:val="00C650BA"/>
    <w:rsid w:val="00C654D4"/>
    <w:rsid w:val="00C6570C"/>
    <w:rsid w:val="00C65907"/>
    <w:rsid w:val="00C65A89"/>
    <w:rsid w:val="00C65B43"/>
    <w:rsid w:val="00C65DEB"/>
    <w:rsid w:val="00C66854"/>
    <w:rsid w:val="00C66C03"/>
    <w:rsid w:val="00C66C42"/>
    <w:rsid w:val="00C66F3D"/>
    <w:rsid w:val="00C67050"/>
    <w:rsid w:val="00C7008E"/>
    <w:rsid w:val="00C700A5"/>
    <w:rsid w:val="00C7042E"/>
    <w:rsid w:val="00C709C1"/>
    <w:rsid w:val="00C70BDE"/>
    <w:rsid w:val="00C70FB0"/>
    <w:rsid w:val="00C71106"/>
    <w:rsid w:val="00C7140A"/>
    <w:rsid w:val="00C718C1"/>
    <w:rsid w:val="00C718D7"/>
    <w:rsid w:val="00C71E1E"/>
    <w:rsid w:val="00C71F58"/>
    <w:rsid w:val="00C729B3"/>
    <w:rsid w:val="00C72B3C"/>
    <w:rsid w:val="00C72BB2"/>
    <w:rsid w:val="00C72BC3"/>
    <w:rsid w:val="00C72E92"/>
    <w:rsid w:val="00C73B36"/>
    <w:rsid w:val="00C73DC5"/>
    <w:rsid w:val="00C74306"/>
    <w:rsid w:val="00C745A3"/>
    <w:rsid w:val="00C74816"/>
    <w:rsid w:val="00C74A86"/>
    <w:rsid w:val="00C754F3"/>
    <w:rsid w:val="00C75668"/>
    <w:rsid w:val="00C75675"/>
    <w:rsid w:val="00C75BB7"/>
    <w:rsid w:val="00C76025"/>
    <w:rsid w:val="00C760DD"/>
    <w:rsid w:val="00C7618B"/>
    <w:rsid w:val="00C761A0"/>
    <w:rsid w:val="00C76209"/>
    <w:rsid w:val="00C768E6"/>
    <w:rsid w:val="00C77303"/>
    <w:rsid w:val="00C773A1"/>
    <w:rsid w:val="00C77782"/>
    <w:rsid w:val="00C77D1A"/>
    <w:rsid w:val="00C80010"/>
    <w:rsid w:val="00C80349"/>
    <w:rsid w:val="00C80A9D"/>
    <w:rsid w:val="00C80CF9"/>
    <w:rsid w:val="00C80D4A"/>
    <w:rsid w:val="00C80EEF"/>
    <w:rsid w:val="00C81335"/>
    <w:rsid w:val="00C81393"/>
    <w:rsid w:val="00C81895"/>
    <w:rsid w:val="00C81BD2"/>
    <w:rsid w:val="00C82027"/>
    <w:rsid w:val="00C82280"/>
    <w:rsid w:val="00C82292"/>
    <w:rsid w:val="00C82460"/>
    <w:rsid w:val="00C827BC"/>
    <w:rsid w:val="00C82B6A"/>
    <w:rsid w:val="00C82DEC"/>
    <w:rsid w:val="00C82E37"/>
    <w:rsid w:val="00C82FA9"/>
    <w:rsid w:val="00C8309A"/>
    <w:rsid w:val="00C8330F"/>
    <w:rsid w:val="00C833A6"/>
    <w:rsid w:val="00C835D9"/>
    <w:rsid w:val="00C83C1F"/>
    <w:rsid w:val="00C83C91"/>
    <w:rsid w:val="00C83CBD"/>
    <w:rsid w:val="00C843E1"/>
    <w:rsid w:val="00C84570"/>
    <w:rsid w:val="00C845DE"/>
    <w:rsid w:val="00C845E5"/>
    <w:rsid w:val="00C8467B"/>
    <w:rsid w:val="00C84995"/>
    <w:rsid w:val="00C84C32"/>
    <w:rsid w:val="00C84C5D"/>
    <w:rsid w:val="00C84D84"/>
    <w:rsid w:val="00C84DBE"/>
    <w:rsid w:val="00C84F80"/>
    <w:rsid w:val="00C853B9"/>
    <w:rsid w:val="00C8546D"/>
    <w:rsid w:val="00C855D9"/>
    <w:rsid w:val="00C8564E"/>
    <w:rsid w:val="00C85CDA"/>
    <w:rsid w:val="00C85E3A"/>
    <w:rsid w:val="00C86B30"/>
    <w:rsid w:val="00C86FB6"/>
    <w:rsid w:val="00C877E5"/>
    <w:rsid w:val="00C87B85"/>
    <w:rsid w:val="00C87DCC"/>
    <w:rsid w:val="00C87EDA"/>
    <w:rsid w:val="00C90545"/>
    <w:rsid w:val="00C90806"/>
    <w:rsid w:val="00C90E93"/>
    <w:rsid w:val="00C91112"/>
    <w:rsid w:val="00C91187"/>
    <w:rsid w:val="00C91192"/>
    <w:rsid w:val="00C913C1"/>
    <w:rsid w:val="00C91B4C"/>
    <w:rsid w:val="00C91BB5"/>
    <w:rsid w:val="00C91D18"/>
    <w:rsid w:val="00C920FD"/>
    <w:rsid w:val="00C922B5"/>
    <w:rsid w:val="00C923A4"/>
    <w:rsid w:val="00C923B4"/>
    <w:rsid w:val="00C935C3"/>
    <w:rsid w:val="00C93DB4"/>
    <w:rsid w:val="00C93E40"/>
    <w:rsid w:val="00C943C5"/>
    <w:rsid w:val="00C94461"/>
    <w:rsid w:val="00C9488E"/>
    <w:rsid w:val="00C94A71"/>
    <w:rsid w:val="00C94AF9"/>
    <w:rsid w:val="00C94BB5"/>
    <w:rsid w:val="00C9516B"/>
    <w:rsid w:val="00C953ED"/>
    <w:rsid w:val="00C954A9"/>
    <w:rsid w:val="00C954E8"/>
    <w:rsid w:val="00C95BAA"/>
    <w:rsid w:val="00C96459"/>
    <w:rsid w:val="00C964FB"/>
    <w:rsid w:val="00C9656D"/>
    <w:rsid w:val="00C9678D"/>
    <w:rsid w:val="00C96922"/>
    <w:rsid w:val="00C96ECE"/>
    <w:rsid w:val="00C97088"/>
    <w:rsid w:val="00C9708B"/>
    <w:rsid w:val="00C970A7"/>
    <w:rsid w:val="00C973DC"/>
    <w:rsid w:val="00C97517"/>
    <w:rsid w:val="00C97580"/>
    <w:rsid w:val="00C97606"/>
    <w:rsid w:val="00C9787A"/>
    <w:rsid w:val="00C97E81"/>
    <w:rsid w:val="00C97EDC"/>
    <w:rsid w:val="00CA0104"/>
    <w:rsid w:val="00CA06F8"/>
    <w:rsid w:val="00CA0CF3"/>
    <w:rsid w:val="00CA0E45"/>
    <w:rsid w:val="00CA1687"/>
    <w:rsid w:val="00CA1929"/>
    <w:rsid w:val="00CA19AD"/>
    <w:rsid w:val="00CA1BBE"/>
    <w:rsid w:val="00CA20DA"/>
    <w:rsid w:val="00CA2AAA"/>
    <w:rsid w:val="00CA2B6A"/>
    <w:rsid w:val="00CA31A4"/>
    <w:rsid w:val="00CA35BD"/>
    <w:rsid w:val="00CA36DC"/>
    <w:rsid w:val="00CA3768"/>
    <w:rsid w:val="00CA3891"/>
    <w:rsid w:val="00CA3B06"/>
    <w:rsid w:val="00CA3B8E"/>
    <w:rsid w:val="00CA408A"/>
    <w:rsid w:val="00CA4438"/>
    <w:rsid w:val="00CA46C6"/>
    <w:rsid w:val="00CA4870"/>
    <w:rsid w:val="00CA4964"/>
    <w:rsid w:val="00CA4B0A"/>
    <w:rsid w:val="00CA4BAE"/>
    <w:rsid w:val="00CA4C40"/>
    <w:rsid w:val="00CA4C54"/>
    <w:rsid w:val="00CA5D06"/>
    <w:rsid w:val="00CA606E"/>
    <w:rsid w:val="00CA63B5"/>
    <w:rsid w:val="00CA682F"/>
    <w:rsid w:val="00CA6F5C"/>
    <w:rsid w:val="00CA70C6"/>
    <w:rsid w:val="00CA70EB"/>
    <w:rsid w:val="00CA718E"/>
    <w:rsid w:val="00CA74E9"/>
    <w:rsid w:val="00CA77D0"/>
    <w:rsid w:val="00CB0568"/>
    <w:rsid w:val="00CB122E"/>
    <w:rsid w:val="00CB1480"/>
    <w:rsid w:val="00CB1739"/>
    <w:rsid w:val="00CB1C10"/>
    <w:rsid w:val="00CB1CD6"/>
    <w:rsid w:val="00CB1E16"/>
    <w:rsid w:val="00CB1E68"/>
    <w:rsid w:val="00CB2017"/>
    <w:rsid w:val="00CB224F"/>
    <w:rsid w:val="00CB24D7"/>
    <w:rsid w:val="00CB2986"/>
    <w:rsid w:val="00CB3238"/>
    <w:rsid w:val="00CB342C"/>
    <w:rsid w:val="00CB36E6"/>
    <w:rsid w:val="00CB3A5F"/>
    <w:rsid w:val="00CB48BB"/>
    <w:rsid w:val="00CB4D82"/>
    <w:rsid w:val="00CB51DF"/>
    <w:rsid w:val="00CB5415"/>
    <w:rsid w:val="00CB558F"/>
    <w:rsid w:val="00CB55B5"/>
    <w:rsid w:val="00CB59B6"/>
    <w:rsid w:val="00CB5A21"/>
    <w:rsid w:val="00CB5A6E"/>
    <w:rsid w:val="00CB600B"/>
    <w:rsid w:val="00CB60B4"/>
    <w:rsid w:val="00CB6314"/>
    <w:rsid w:val="00CB6510"/>
    <w:rsid w:val="00CB65EE"/>
    <w:rsid w:val="00CB6627"/>
    <w:rsid w:val="00CB69AF"/>
    <w:rsid w:val="00CB6C53"/>
    <w:rsid w:val="00CB6EEC"/>
    <w:rsid w:val="00CB7897"/>
    <w:rsid w:val="00CB7943"/>
    <w:rsid w:val="00CB7B0D"/>
    <w:rsid w:val="00CB7E37"/>
    <w:rsid w:val="00CB7F75"/>
    <w:rsid w:val="00CB7FB0"/>
    <w:rsid w:val="00CC0334"/>
    <w:rsid w:val="00CC05A0"/>
    <w:rsid w:val="00CC060D"/>
    <w:rsid w:val="00CC0D9B"/>
    <w:rsid w:val="00CC16B7"/>
    <w:rsid w:val="00CC1A89"/>
    <w:rsid w:val="00CC1A95"/>
    <w:rsid w:val="00CC1F9F"/>
    <w:rsid w:val="00CC227E"/>
    <w:rsid w:val="00CC2665"/>
    <w:rsid w:val="00CC2992"/>
    <w:rsid w:val="00CC3461"/>
    <w:rsid w:val="00CC34AA"/>
    <w:rsid w:val="00CC401C"/>
    <w:rsid w:val="00CC4434"/>
    <w:rsid w:val="00CC499F"/>
    <w:rsid w:val="00CC4FB4"/>
    <w:rsid w:val="00CC51DB"/>
    <w:rsid w:val="00CC5251"/>
    <w:rsid w:val="00CC5311"/>
    <w:rsid w:val="00CC5E21"/>
    <w:rsid w:val="00CC5F18"/>
    <w:rsid w:val="00CC6125"/>
    <w:rsid w:val="00CC626C"/>
    <w:rsid w:val="00CC63A7"/>
    <w:rsid w:val="00CC669D"/>
    <w:rsid w:val="00CC6C7E"/>
    <w:rsid w:val="00CC7751"/>
    <w:rsid w:val="00CC77A2"/>
    <w:rsid w:val="00CC7AAE"/>
    <w:rsid w:val="00CC7AE1"/>
    <w:rsid w:val="00CC7BBB"/>
    <w:rsid w:val="00CC7DD5"/>
    <w:rsid w:val="00CD026E"/>
    <w:rsid w:val="00CD0CA0"/>
    <w:rsid w:val="00CD161B"/>
    <w:rsid w:val="00CD174D"/>
    <w:rsid w:val="00CD1816"/>
    <w:rsid w:val="00CD1A74"/>
    <w:rsid w:val="00CD1AAA"/>
    <w:rsid w:val="00CD20D9"/>
    <w:rsid w:val="00CD2150"/>
    <w:rsid w:val="00CD2152"/>
    <w:rsid w:val="00CD255F"/>
    <w:rsid w:val="00CD2962"/>
    <w:rsid w:val="00CD2A2A"/>
    <w:rsid w:val="00CD2EEE"/>
    <w:rsid w:val="00CD3634"/>
    <w:rsid w:val="00CD377F"/>
    <w:rsid w:val="00CD3973"/>
    <w:rsid w:val="00CD3C19"/>
    <w:rsid w:val="00CD3C4F"/>
    <w:rsid w:val="00CD402E"/>
    <w:rsid w:val="00CD43F8"/>
    <w:rsid w:val="00CD4419"/>
    <w:rsid w:val="00CD461A"/>
    <w:rsid w:val="00CD4675"/>
    <w:rsid w:val="00CD485B"/>
    <w:rsid w:val="00CD496B"/>
    <w:rsid w:val="00CD4C97"/>
    <w:rsid w:val="00CD515C"/>
    <w:rsid w:val="00CD51D4"/>
    <w:rsid w:val="00CD53D1"/>
    <w:rsid w:val="00CD540B"/>
    <w:rsid w:val="00CD5427"/>
    <w:rsid w:val="00CD57C3"/>
    <w:rsid w:val="00CD5931"/>
    <w:rsid w:val="00CD5C10"/>
    <w:rsid w:val="00CD5CE1"/>
    <w:rsid w:val="00CD60C1"/>
    <w:rsid w:val="00CD6615"/>
    <w:rsid w:val="00CD671E"/>
    <w:rsid w:val="00CD6A6C"/>
    <w:rsid w:val="00CD6F13"/>
    <w:rsid w:val="00CD7030"/>
    <w:rsid w:val="00CD7227"/>
    <w:rsid w:val="00CD7738"/>
    <w:rsid w:val="00CD780D"/>
    <w:rsid w:val="00CD7ABC"/>
    <w:rsid w:val="00CD7B93"/>
    <w:rsid w:val="00CD7D07"/>
    <w:rsid w:val="00CD7FDF"/>
    <w:rsid w:val="00CE0097"/>
    <w:rsid w:val="00CE03F0"/>
    <w:rsid w:val="00CE04FD"/>
    <w:rsid w:val="00CE0862"/>
    <w:rsid w:val="00CE0977"/>
    <w:rsid w:val="00CE1010"/>
    <w:rsid w:val="00CE174F"/>
    <w:rsid w:val="00CE196D"/>
    <w:rsid w:val="00CE1D49"/>
    <w:rsid w:val="00CE211E"/>
    <w:rsid w:val="00CE22DF"/>
    <w:rsid w:val="00CE2307"/>
    <w:rsid w:val="00CE2336"/>
    <w:rsid w:val="00CE2C2B"/>
    <w:rsid w:val="00CE2D8D"/>
    <w:rsid w:val="00CE2FD4"/>
    <w:rsid w:val="00CE378E"/>
    <w:rsid w:val="00CE39B7"/>
    <w:rsid w:val="00CE3A44"/>
    <w:rsid w:val="00CE3C44"/>
    <w:rsid w:val="00CE3EC9"/>
    <w:rsid w:val="00CE3EE4"/>
    <w:rsid w:val="00CE4520"/>
    <w:rsid w:val="00CE4917"/>
    <w:rsid w:val="00CE4A5B"/>
    <w:rsid w:val="00CE58C4"/>
    <w:rsid w:val="00CE5ECA"/>
    <w:rsid w:val="00CE5EF8"/>
    <w:rsid w:val="00CE67DE"/>
    <w:rsid w:val="00CE6A37"/>
    <w:rsid w:val="00CE7052"/>
    <w:rsid w:val="00CE75ED"/>
    <w:rsid w:val="00CE7BD2"/>
    <w:rsid w:val="00CE7C6A"/>
    <w:rsid w:val="00CF03FA"/>
    <w:rsid w:val="00CF0D83"/>
    <w:rsid w:val="00CF1230"/>
    <w:rsid w:val="00CF2123"/>
    <w:rsid w:val="00CF281D"/>
    <w:rsid w:val="00CF2B1A"/>
    <w:rsid w:val="00CF2B88"/>
    <w:rsid w:val="00CF2EE8"/>
    <w:rsid w:val="00CF2F36"/>
    <w:rsid w:val="00CF3269"/>
    <w:rsid w:val="00CF3951"/>
    <w:rsid w:val="00CF3BEC"/>
    <w:rsid w:val="00CF3C7F"/>
    <w:rsid w:val="00CF3CA7"/>
    <w:rsid w:val="00CF3E02"/>
    <w:rsid w:val="00CF3E09"/>
    <w:rsid w:val="00CF4163"/>
    <w:rsid w:val="00CF42AA"/>
    <w:rsid w:val="00CF48C1"/>
    <w:rsid w:val="00CF4FE4"/>
    <w:rsid w:val="00CF5717"/>
    <w:rsid w:val="00CF5B0E"/>
    <w:rsid w:val="00CF5BAD"/>
    <w:rsid w:val="00CF62BA"/>
    <w:rsid w:val="00CF65FC"/>
    <w:rsid w:val="00CF68D7"/>
    <w:rsid w:val="00CF697A"/>
    <w:rsid w:val="00CF6B53"/>
    <w:rsid w:val="00CF6BB8"/>
    <w:rsid w:val="00CF6FBB"/>
    <w:rsid w:val="00CF6FBF"/>
    <w:rsid w:val="00CF7126"/>
    <w:rsid w:val="00CF752E"/>
    <w:rsid w:val="00CF767A"/>
    <w:rsid w:val="00CF770F"/>
    <w:rsid w:val="00CF7810"/>
    <w:rsid w:val="00CF7B4E"/>
    <w:rsid w:val="00CF7FEB"/>
    <w:rsid w:val="00D00359"/>
    <w:rsid w:val="00D008FB"/>
    <w:rsid w:val="00D00B2C"/>
    <w:rsid w:val="00D00CC2"/>
    <w:rsid w:val="00D014E3"/>
    <w:rsid w:val="00D017E3"/>
    <w:rsid w:val="00D018DC"/>
    <w:rsid w:val="00D01912"/>
    <w:rsid w:val="00D01BA8"/>
    <w:rsid w:val="00D022D1"/>
    <w:rsid w:val="00D0234D"/>
    <w:rsid w:val="00D023DE"/>
    <w:rsid w:val="00D026B6"/>
    <w:rsid w:val="00D028E0"/>
    <w:rsid w:val="00D02B12"/>
    <w:rsid w:val="00D02C0E"/>
    <w:rsid w:val="00D02DE2"/>
    <w:rsid w:val="00D03204"/>
    <w:rsid w:val="00D033BE"/>
    <w:rsid w:val="00D038C4"/>
    <w:rsid w:val="00D03945"/>
    <w:rsid w:val="00D03EE4"/>
    <w:rsid w:val="00D03F50"/>
    <w:rsid w:val="00D0406D"/>
    <w:rsid w:val="00D041EF"/>
    <w:rsid w:val="00D04240"/>
    <w:rsid w:val="00D04326"/>
    <w:rsid w:val="00D043F7"/>
    <w:rsid w:val="00D047C0"/>
    <w:rsid w:val="00D0486B"/>
    <w:rsid w:val="00D049C9"/>
    <w:rsid w:val="00D04B12"/>
    <w:rsid w:val="00D04B1D"/>
    <w:rsid w:val="00D04B79"/>
    <w:rsid w:val="00D054EA"/>
    <w:rsid w:val="00D05DC6"/>
    <w:rsid w:val="00D05EBD"/>
    <w:rsid w:val="00D06045"/>
    <w:rsid w:val="00D06191"/>
    <w:rsid w:val="00D062E5"/>
    <w:rsid w:val="00D06639"/>
    <w:rsid w:val="00D06844"/>
    <w:rsid w:val="00D06DE8"/>
    <w:rsid w:val="00D0739C"/>
    <w:rsid w:val="00D0757B"/>
    <w:rsid w:val="00D0792F"/>
    <w:rsid w:val="00D07AE6"/>
    <w:rsid w:val="00D07C4C"/>
    <w:rsid w:val="00D10EBD"/>
    <w:rsid w:val="00D1102E"/>
    <w:rsid w:val="00D113F3"/>
    <w:rsid w:val="00D11B1D"/>
    <w:rsid w:val="00D11D2E"/>
    <w:rsid w:val="00D11E17"/>
    <w:rsid w:val="00D11E88"/>
    <w:rsid w:val="00D12047"/>
    <w:rsid w:val="00D1270D"/>
    <w:rsid w:val="00D12E4F"/>
    <w:rsid w:val="00D12F48"/>
    <w:rsid w:val="00D131E6"/>
    <w:rsid w:val="00D13799"/>
    <w:rsid w:val="00D137FA"/>
    <w:rsid w:val="00D13CE4"/>
    <w:rsid w:val="00D140C8"/>
    <w:rsid w:val="00D141F0"/>
    <w:rsid w:val="00D14309"/>
    <w:rsid w:val="00D14484"/>
    <w:rsid w:val="00D144D3"/>
    <w:rsid w:val="00D149D0"/>
    <w:rsid w:val="00D14A01"/>
    <w:rsid w:val="00D14E8B"/>
    <w:rsid w:val="00D15154"/>
    <w:rsid w:val="00D151A1"/>
    <w:rsid w:val="00D15358"/>
    <w:rsid w:val="00D15405"/>
    <w:rsid w:val="00D1548F"/>
    <w:rsid w:val="00D15736"/>
    <w:rsid w:val="00D158EA"/>
    <w:rsid w:val="00D15DD1"/>
    <w:rsid w:val="00D1648B"/>
    <w:rsid w:val="00D16629"/>
    <w:rsid w:val="00D16654"/>
    <w:rsid w:val="00D16931"/>
    <w:rsid w:val="00D169C4"/>
    <w:rsid w:val="00D16AE8"/>
    <w:rsid w:val="00D16AFD"/>
    <w:rsid w:val="00D16C39"/>
    <w:rsid w:val="00D16DD5"/>
    <w:rsid w:val="00D16F5E"/>
    <w:rsid w:val="00D17049"/>
    <w:rsid w:val="00D17266"/>
    <w:rsid w:val="00D1728A"/>
    <w:rsid w:val="00D172CB"/>
    <w:rsid w:val="00D1755E"/>
    <w:rsid w:val="00D17740"/>
    <w:rsid w:val="00D179AD"/>
    <w:rsid w:val="00D17D14"/>
    <w:rsid w:val="00D200CE"/>
    <w:rsid w:val="00D20171"/>
    <w:rsid w:val="00D20176"/>
    <w:rsid w:val="00D2068D"/>
    <w:rsid w:val="00D209DA"/>
    <w:rsid w:val="00D20EF7"/>
    <w:rsid w:val="00D21065"/>
    <w:rsid w:val="00D213C2"/>
    <w:rsid w:val="00D213D8"/>
    <w:rsid w:val="00D214F2"/>
    <w:rsid w:val="00D21978"/>
    <w:rsid w:val="00D22695"/>
    <w:rsid w:val="00D22AC4"/>
    <w:rsid w:val="00D22C37"/>
    <w:rsid w:val="00D22FB2"/>
    <w:rsid w:val="00D23180"/>
    <w:rsid w:val="00D23BBA"/>
    <w:rsid w:val="00D24022"/>
    <w:rsid w:val="00D240AC"/>
    <w:rsid w:val="00D24257"/>
    <w:rsid w:val="00D24635"/>
    <w:rsid w:val="00D2463D"/>
    <w:rsid w:val="00D24A4A"/>
    <w:rsid w:val="00D24D66"/>
    <w:rsid w:val="00D2539A"/>
    <w:rsid w:val="00D25467"/>
    <w:rsid w:val="00D25660"/>
    <w:rsid w:val="00D26305"/>
    <w:rsid w:val="00D263D6"/>
    <w:rsid w:val="00D26C02"/>
    <w:rsid w:val="00D26E8D"/>
    <w:rsid w:val="00D27233"/>
    <w:rsid w:val="00D2753E"/>
    <w:rsid w:val="00D2774B"/>
    <w:rsid w:val="00D27D3D"/>
    <w:rsid w:val="00D27F0D"/>
    <w:rsid w:val="00D3005C"/>
    <w:rsid w:val="00D30F0E"/>
    <w:rsid w:val="00D31896"/>
    <w:rsid w:val="00D31EDF"/>
    <w:rsid w:val="00D31F1A"/>
    <w:rsid w:val="00D3209B"/>
    <w:rsid w:val="00D32AEA"/>
    <w:rsid w:val="00D3350C"/>
    <w:rsid w:val="00D3399D"/>
    <w:rsid w:val="00D33D25"/>
    <w:rsid w:val="00D33F2A"/>
    <w:rsid w:val="00D340C2"/>
    <w:rsid w:val="00D34527"/>
    <w:rsid w:val="00D34831"/>
    <w:rsid w:val="00D34D74"/>
    <w:rsid w:val="00D355B9"/>
    <w:rsid w:val="00D35982"/>
    <w:rsid w:val="00D3621B"/>
    <w:rsid w:val="00D3660C"/>
    <w:rsid w:val="00D36E75"/>
    <w:rsid w:val="00D37038"/>
    <w:rsid w:val="00D37531"/>
    <w:rsid w:val="00D3755B"/>
    <w:rsid w:val="00D37C6E"/>
    <w:rsid w:val="00D37CDD"/>
    <w:rsid w:val="00D40052"/>
    <w:rsid w:val="00D400FF"/>
    <w:rsid w:val="00D402D5"/>
    <w:rsid w:val="00D40683"/>
    <w:rsid w:val="00D4080E"/>
    <w:rsid w:val="00D40877"/>
    <w:rsid w:val="00D40897"/>
    <w:rsid w:val="00D40BF9"/>
    <w:rsid w:val="00D411B9"/>
    <w:rsid w:val="00D42C84"/>
    <w:rsid w:val="00D42CEB"/>
    <w:rsid w:val="00D42F55"/>
    <w:rsid w:val="00D4315E"/>
    <w:rsid w:val="00D4317B"/>
    <w:rsid w:val="00D4339F"/>
    <w:rsid w:val="00D4344D"/>
    <w:rsid w:val="00D435B5"/>
    <w:rsid w:val="00D43693"/>
    <w:rsid w:val="00D43DEC"/>
    <w:rsid w:val="00D43F0A"/>
    <w:rsid w:val="00D4409A"/>
    <w:rsid w:val="00D44673"/>
    <w:rsid w:val="00D4477B"/>
    <w:rsid w:val="00D44781"/>
    <w:rsid w:val="00D44B1A"/>
    <w:rsid w:val="00D44C7D"/>
    <w:rsid w:val="00D44EE5"/>
    <w:rsid w:val="00D450DF"/>
    <w:rsid w:val="00D451F9"/>
    <w:rsid w:val="00D45323"/>
    <w:rsid w:val="00D454AF"/>
    <w:rsid w:val="00D45886"/>
    <w:rsid w:val="00D458BF"/>
    <w:rsid w:val="00D45966"/>
    <w:rsid w:val="00D45AED"/>
    <w:rsid w:val="00D4647E"/>
    <w:rsid w:val="00D464E6"/>
    <w:rsid w:val="00D46ACB"/>
    <w:rsid w:val="00D46C62"/>
    <w:rsid w:val="00D46E4B"/>
    <w:rsid w:val="00D46FBA"/>
    <w:rsid w:val="00D471FB"/>
    <w:rsid w:val="00D47417"/>
    <w:rsid w:val="00D47488"/>
    <w:rsid w:val="00D47BCA"/>
    <w:rsid w:val="00D47C02"/>
    <w:rsid w:val="00D47C6B"/>
    <w:rsid w:val="00D5039D"/>
    <w:rsid w:val="00D50582"/>
    <w:rsid w:val="00D50699"/>
    <w:rsid w:val="00D50972"/>
    <w:rsid w:val="00D50C83"/>
    <w:rsid w:val="00D51353"/>
    <w:rsid w:val="00D513DD"/>
    <w:rsid w:val="00D51647"/>
    <w:rsid w:val="00D519F4"/>
    <w:rsid w:val="00D51ABC"/>
    <w:rsid w:val="00D51B41"/>
    <w:rsid w:val="00D521E8"/>
    <w:rsid w:val="00D52214"/>
    <w:rsid w:val="00D5238A"/>
    <w:rsid w:val="00D52396"/>
    <w:rsid w:val="00D52838"/>
    <w:rsid w:val="00D52954"/>
    <w:rsid w:val="00D52BC5"/>
    <w:rsid w:val="00D52D3B"/>
    <w:rsid w:val="00D52D50"/>
    <w:rsid w:val="00D538E9"/>
    <w:rsid w:val="00D53939"/>
    <w:rsid w:val="00D545D2"/>
    <w:rsid w:val="00D546F5"/>
    <w:rsid w:val="00D549B1"/>
    <w:rsid w:val="00D54ADF"/>
    <w:rsid w:val="00D54D32"/>
    <w:rsid w:val="00D54DF7"/>
    <w:rsid w:val="00D5527B"/>
    <w:rsid w:val="00D55330"/>
    <w:rsid w:val="00D557A8"/>
    <w:rsid w:val="00D55AE2"/>
    <w:rsid w:val="00D55FF1"/>
    <w:rsid w:val="00D569E2"/>
    <w:rsid w:val="00D56A02"/>
    <w:rsid w:val="00D57426"/>
    <w:rsid w:val="00D57612"/>
    <w:rsid w:val="00D57822"/>
    <w:rsid w:val="00D57B66"/>
    <w:rsid w:val="00D57D53"/>
    <w:rsid w:val="00D57EF4"/>
    <w:rsid w:val="00D57F47"/>
    <w:rsid w:val="00D60110"/>
    <w:rsid w:val="00D60228"/>
    <w:rsid w:val="00D60648"/>
    <w:rsid w:val="00D606A9"/>
    <w:rsid w:val="00D608F1"/>
    <w:rsid w:val="00D60BC9"/>
    <w:rsid w:val="00D60BFB"/>
    <w:rsid w:val="00D60DCB"/>
    <w:rsid w:val="00D60E47"/>
    <w:rsid w:val="00D61082"/>
    <w:rsid w:val="00D61505"/>
    <w:rsid w:val="00D617FA"/>
    <w:rsid w:val="00D61D15"/>
    <w:rsid w:val="00D62564"/>
    <w:rsid w:val="00D63384"/>
    <w:rsid w:val="00D63433"/>
    <w:rsid w:val="00D63679"/>
    <w:rsid w:val="00D63D5F"/>
    <w:rsid w:val="00D644DF"/>
    <w:rsid w:val="00D644E4"/>
    <w:rsid w:val="00D64629"/>
    <w:rsid w:val="00D646CB"/>
    <w:rsid w:val="00D6488D"/>
    <w:rsid w:val="00D64CDD"/>
    <w:rsid w:val="00D64F3A"/>
    <w:rsid w:val="00D65227"/>
    <w:rsid w:val="00D652E8"/>
    <w:rsid w:val="00D652EC"/>
    <w:rsid w:val="00D659F0"/>
    <w:rsid w:val="00D65B47"/>
    <w:rsid w:val="00D65CD3"/>
    <w:rsid w:val="00D65D54"/>
    <w:rsid w:val="00D65EEA"/>
    <w:rsid w:val="00D668F3"/>
    <w:rsid w:val="00D66E34"/>
    <w:rsid w:val="00D67084"/>
    <w:rsid w:val="00D670D4"/>
    <w:rsid w:val="00D673D9"/>
    <w:rsid w:val="00D67448"/>
    <w:rsid w:val="00D67897"/>
    <w:rsid w:val="00D67978"/>
    <w:rsid w:val="00D679C5"/>
    <w:rsid w:val="00D67E00"/>
    <w:rsid w:val="00D700A5"/>
    <w:rsid w:val="00D702CA"/>
    <w:rsid w:val="00D7042B"/>
    <w:rsid w:val="00D704AF"/>
    <w:rsid w:val="00D706D5"/>
    <w:rsid w:val="00D70799"/>
    <w:rsid w:val="00D70852"/>
    <w:rsid w:val="00D70CC0"/>
    <w:rsid w:val="00D70DC7"/>
    <w:rsid w:val="00D70DD0"/>
    <w:rsid w:val="00D710AD"/>
    <w:rsid w:val="00D71187"/>
    <w:rsid w:val="00D714AA"/>
    <w:rsid w:val="00D715B4"/>
    <w:rsid w:val="00D7174A"/>
    <w:rsid w:val="00D717E2"/>
    <w:rsid w:val="00D71BC9"/>
    <w:rsid w:val="00D7217B"/>
    <w:rsid w:val="00D72269"/>
    <w:rsid w:val="00D72636"/>
    <w:rsid w:val="00D727EF"/>
    <w:rsid w:val="00D73124"/>
    <w:rsid w:val="00D733B8"/>
    <w:rsid w:val="00D733C1"/>
    <w:rsid w:val="00D733F6"/>
    <w:rsid w:val="00D7357D"/>
    <w:rsid w:val="00D73681"/>
    <w:rsid w:val="00D7396F"/>
    <w:rsid w:val="00D73A87"/>
    <w:rsid w:val="00D73F7D"/>
    <w:rsid w:val="00D74152"/>
    <w:rsid w:val="00D742B5"/>
    <w:rsid w:val="00D7455F"/>
    <w:rsid w:val="00D74794"/>
    <w:rsid w:val="00D74A21"/>
    <w:rsid w:val="00D753E5"/>
    <w:rsid w:val="00D757DD"/>
    <w:rsid w:val="00D75BFF"/>
    <w:rsid w:val="00D75C3F"/>
    <w:rsid w:val="00D763E9"/>
    <w:rsid w:val="00D76B70"/>
    <w:rsid w:val="00D76E8C"/>
    <w:rsid w:val="00D772C0"/>
    <w:rsid w:val="00D777FC"/>
    <w:rsid w:val="00D77841"/>
    <w:rsid w:val="00D77967"/>
    <w:rsid w:val="00D779EF"/>
    <w:rsid w:val="00D77A1F"/>
    <w:rsid w:val="00D801CE"/>
    <w:rsid w:val="00D80480"/>
    <w:rsid w:val="00D80565"/>
    <w:rsid w:val="00D806BE"/>
    <w:rsid w:val="00D8087E"/>
    <w:rsid w:val="00D808C2"/>
    <w:rsid w:val="00D808E2"/>
    <w:rsid w:val="00D809CD"/>
    <w:rsid w:val="00D80F29"/>
    <w:rsid w:val="00D81478"/>
    <w:rsid w:val="00D81768"/>
    <w:rsid w:val="00D81951"/>
    <w:rsid w:val="00D82D44"/>
    <w:rsid w:val="00D82F12"/>
    <w:rsid w:val="00D82FCF"/>
    <w:rsid w:val="00D83060"/>
    <w:rsid w:val="00D832F1"/>
    <w:rsid w:val="00D83405"/>
    <w:rsid w:val="00D83DCC"/>
    <w:rsid w:val="00D84000"/>
    <w:rsid w:val="00D840C1"/>
    <w:rsid w:val="00D8462A"/>
    <w:rsid w:val="00D8491E"/>
    <w:rsid w:val="00D8492B"/>
    <w:rsid w:val="00D84C0E"/>
    <w:rsid w:val="00D84C1D"/>
    <w:rsid w:val="00D85014"/>
    <w:rsid w:val="00D8589F"/>
    <w:rsid w:val="00D85A77"/>
    <w:rsid w:val="00D85D08"/>
    <w:rsid w:val="00D85D28"/>
    <w:rsid w:val="00D861D7"/>
    <w:rsid w:val="00D86209"/>
    <w:rsid w:val="00D863F5"/>
    <w:rsid w:val="00D866D7"/>
    <w:rsid w:val="00D86886"/>
    <w:rsid w:val="00D86999"/>
    <w:rsid w:val="00D86D52"/>
    <w:rsid w:val="00D873EC"/>
    <w:rsid w:val="00D876C8"/>
    <w:rsid w:val="00D87D5B"/>
    <w:rsid w:val="00D87FC4"/>
    <w:rsid w:val="00D90018"/>
    <w:rsid w:val="00D90B89"/>
    <w:rsid w:val="00D91077"/>
    <w:rsid w:val="00D91513"/>
    <w:rsid w:val="00D91851"/>
    <w:rsid w:val="00D918A3"/>
    <w:rsid w:val="00D91C5E"/>
    <w:rsid w:val="00D9243D"/>
    <w:rsid w:val="00D92696"/>
    <w:rsid w:val="00D92D4D"/>
    <w:rsid w:val="00D92F31"/>
    <w:rsid w:val="00D93215"/>
    <w:rsid w:val="00D936A7"/>
    <w:rsid w:val="00D937CB"/>
    <w:rsid w:val="00D94779"/>
    <w:rsid w:val="00D94F1B"/>
    <w:rsid w:val="00D950ED"/>
    <w:rsid w:val="00D953BE"/>
    <w:rsid w:val="00D95D11"/>
    <w:rsid w:val="00D96532"/>
    <w:rsid w:val="00D968E2"/>
    <w:rsid w:val="00D96C24"/>
    <w:rsid w:val="00D96D5F"/>
    <w:rsid w:val="00D97681"/>
    <w:rsid w:val="00D97685"/>
    <w:rsid w:val="00D97690"/>
    <w:rsid w:val="00D97B93"/>
    <w:rsid w:val="00D97FE0"/>
    <w:rsid w:val="00DA0902"/>
    <w:rsid w:val="00DA0960"/>
    <w:rsid w:val="00DA0D2A"/>
    <w:rsid w:val="00DA138C"/>
    <w:rsid w:val="00DA1675"/>
    <w:rsid w:val="00DA168F"/>
    <w:rsid w:val="00DA198A"/>
    <w:rsid w:val="00DA19F4"/>
    <w:rsid w:val="00DA22C8"/>
    <w:rsid w:val="00DA2793"/>
    <w:rsid w:val="00DA28DA"/>
    <w:rsid w:val="00DA30C2"/>
    <w:rsid w:val="00DA3127"/>
    <w:rsid w:val="00DA3199"/>
    <w:rsid w:val="00DA3BFC"/>
    <w:rsid w:val="00DA3C95"/>
    <w:rsid w:val="00DA40DE"/>
    <w:rsid w:val="00DA4152"/>
    <w:rsid w:val="00DA4153"/>
    <w:rsid w:val="00DA4D28"/>
    <w:rsid w:val="00DA5096"/>
    <w:rsid w:val="00DA5110"/>
    <w:rsid w:val="00DA5F9F"/>
    <w:rsid w:val="00DA6217"/>
    <w:rsid w:val="00DA6235"/>
    <w:rsid w:val="00DA65CA"/>
    <w:rsid w:val="00DA6C05"/>
    <w:rsid w:val="00DA7768"/>
    <w:rsid w:val="00DA7967"/>
    <w:rsid w:val="00DA7C44"/>
    <w:rsid w:val="00DB01B0"/>
    <w:rsid w:val="00DB058E"/>
    <w:rsid w:val="00DB068B"/>
    <w:rsid w:val="00DB076C"/>
    <w:rsid w:val="00DB07B9"/>
    <w:rsid w:val="00DB08A2"/>
    <w:rsid w:val="00DB0F2C"/>
    <w:rsid w:val="00DB14A8"/>
    <w:rsid w:val="00DB14A9"/>
    <w:rsid w:val="00DB1D9F"/>
    <w:rsid w:val="00DB2577"/>
    <w:rsid w:val="00DB27BC"/>
    <w:rsid w:val="00DB2BD6"/>
    <w:rsid w:val="00DB2C36"/>
    <w:rsid w:val="00DB2C77"/>
    <w:rsid w:val="00DB30E3"/>
    <w:rsid w:val="00DB3848"/>
    <w:rsid w:val="00DB38C6"/>
    <w:rsid w:val="00DB39FD"/>
    <w:rsid w:val="00DB3FEF"/>
    <w:rsid w:val="00DB46D9"/>
    <w:rsid w:val="00DB478E"/>
    <w:rsid w:val="00DB4990"/>
    <w:rsid w:val="00DB4B1F"/>
    <w:rsid w:val="00DB4B6D"/>
    <w:rsid w:val="00DB4F3B"/>
    <w:rsid w:val="00DB5040"/>
    <w:rsid w:val="00DB5817"/>
    <w:rsid w:val="00DB5A8B"/>
    <w:rsid w:val="00DB5B7E"/>
    <w:rsid w:val="00DB5E54"/>
    <w:rsid w:val="00DB62EA"/>
    <w:rsid w:val="00DB67D8"/>
    <w:rsid w:val="00DB681E"/>
    <w:rsid w:val="00DB6B75"/>
    <w:rsid w:val="00DB6D03"/>
    <w:rsid w:val="00DB6FE3"/>
    <w:rsid w:val="00DB7083"/>
    <w:rsid w:val="00DB7209"/>
    <w:rsid w:val="00DB734F"/>
    <w:rsid w:val="00DB78AB"/>
    <w:rsid w:val="00DB7B7C"/>
    <w:rsid w:val="00DC001A"/>
    <w:rsid w:val="00DC028D"/>
    <w:rsid w:val="00DC02E0"/>
    <w:rsid w:val="00DC1328"/>
    <w:rsid w:val="00DC14F5"/>
    <w:rsid w:val="00DC1604"/>
    <w:rsid w:val="00DC1A53"/>
    <w:rsid w:val="00DC1C39"/>
    <w:rsid w:val="00DC1D31"/>
    <w:rsid w:val="00DC1DC0"/>
    <w:rsid w:val="00DC22C4"/>
    <w:rsid w:val="00DC242F"/>
    <w:rsid w:val="00DC2806"/>
    <w:rsid w:val="00DC2A59"/>
    <w:rsid w:val="00DC2C77"/>
    <w:rsid w:val="00DC2D3E"/>
    <w:rsid w:val="00DC2FDE"/>
    <w:rsid w:val="00DC2FFD"/>
    <w:rsid w:val="00DC3098"/>
    <w:rsid w:val="00DC3198"/>
    <w:rsid w:val="00DC33CB"/>
    <w:rsid w:val="00DC3A2B"/>
    <w:rsid w:val="00DC3AE7"/>
    <w:rsid w:val="00DC40E3"/>
    <w:rsid w:val="00DC44D5"/>
    <w:rsid w:val="00DC5642"/>
    <w:rsid w:val="00DC58C4"/>
    <w:rsid w:val="00DC5C33"/>
    <w:rsid w:val="00DC5E80"/>
    <w:rsid w:val="00DC6862"/>
    <w:rsid w:val="00DC7180"/>
    <w:rsid w:val="00DC7192"/>
    <w:rsid w:val="00DC7500"/>
    <w:rsid w:val="00DC763F"/>
    <w:rsid w:val="00DC7768"/>
    <w:rsid w:val="00DC7CB1"/>
    <w:rsid w:val="00DD02F9"/>
    <w:rsid w:val="00DD0441"/>
    <w:rsid w:val="00DD0809"/>
    <w:rsid w:val="00DD0946"/>
    <w:rsid w:val="00DD0BB6"/>
    <w:rsid w:val="00DD0C0F"/>
    <w:rsid w:val="00DD10AF"/>
    <w:rsid w:val="00DD10C8"/>
    <w:rsid w:val="00DD1603"/>
    <w:rsid w:val="00DD1690"/>
    <w:rsid w:val="00DD1E11"/>
    <w:rsid w:val="00DD2308"/>
    <w:rsid w:val="00DD25CB"/>
    <w:rsid w:val="00DD28FE"/>
    <w:rsid w:val="00DD2EE3"/>
    <w:rsid w:val="00DD3387"/>
    <w:rsid w:val="00DD368E"/>
    <w:rsid w:val="00DD392C"/>
    <w:rsid w:val="00DD3999"/>
    <w:rsid w:val="00DD3ADA"/>
    <w:rsid w:val="00DD3E2D"/>
    <w:rsid w:val="00DD4193"/>
    <w:rsid w:val="00DD448A"/>
    <w:rsid w:val="00DD4817"/>
    <w:rsid w:val="00DD48EC"/>
    <w:rsid w:val="00DD4921"/>
    <w:rsid w:val="00DD4931"/>
    <w:rsid w:val="00DD4EAE"/>
    <w:rsid w:val="00DD5119"/>
    <w:rsid w:val="00DD596F"/>
    <w:rsid w:val="00DD5BBF"/>
    <w:rsid w:val="00DD68AB"/>
    <w:rsid w:val="00DD6D9C"/>
    <w:rsid w:val="00DD7496"/>
    <w:rsid w:val="00DE001B"/>
    <w:rsid w:val="00DE0768"/>
    <w:rsid w:val="00DE0851"/>
    <w:rsid w:val="00DE1322"/>
    <w:rsid w:val="00DE13EA"/>
    <w:rsid w:val="00DE1ED1"/>
    <w:rsid w:val="00DE1F8C"/>
    <w:rsid w:val="00DE2D92"/>
    <w:rsid w:val="00DE2EC1"/>
    <w:rsid w:val="00DE31C9"/>
    <w:rsid w:val="00DE346E"/>
    <w:rsid w:val="00DE348E"/>
    <w:rsid w:val="00DE34F8"/>
    <w:rsid w:val="00DE3A40"/>
    <w:rsid w:val="00DE3E91"/>
    <w:rsid w:val="00DE433D"/>
    <w:rsid w:val="00DE45DA"/>
    <w:rsid w:val="00DE49BB"/>
    <w:rsid w:val="00DE4BC7"/>
    <w:rsid w:val="00DE4DB9"/>
    <w:rsid w:val="00DE5368"/>
    <w:rsid w:val="00DE538A"/>
    <w:rsid w:val="00DE53F1"/>
    <w:rsid w:val="00DE5418"/>
    <w:rsid w:val="00DE54A3"/>
    <w:rsid w:val="00DE560B"/>
    <w:rsid w:val="00DE5B23"/>
    <w:rsid w:val="00DE5E70"/>
    <w:rsid w:val="00DE6625"/>
    <w:rsid w:val="00DE6663"/>
    <w:rsid w:val="00DE672F"/>
    <w:rsid w:val="00DE6830"/>
    <w:rsid w:val="00DE68EB"/>
    <w:rsid w:val="00DE6B8C"/>
    <w:rsid w:val="00DE6CFA"/>
    <w:rsid w:val="00DE6D9F"/>
    <w:rsid w:val="00DE6FD3"/>
    <w:rsid w:val="00DE7A38"/>
    <w:rsid w:val="00DE7B83"/>
    <w:rsid w:val="00DE7E2D"/>
    <w:rsid w:val="00DE7F24"/>
    <w:rsid w:val="00DE7F2C"/>
    <w:rsid w:val="00DF0489"/>
    <w:rsid w:val="00DF0554"/>
    <w:rsid w:val="00DF097F"/>
    <w:rsid w:val="00DF0E05"/>
    <w:rsid w:val="00DF0E3D"/>
    <w:rsid w:val="00DF11DD"/>
    <w:rsid w:val="00DF17CD"/>
    <w:rsid w:val="00DF1833"/>
    <w:rsid w:val="00DF217C"/>
    <w:rsid w:val="00DF229C"/>
    <w:rsid w:val="00DF2405"/>
    <w:rsid w:val="00DF3215"/>
    <w:rsid w:val="00DF356A"/>
    <w:rsid w:val="00DF361D"/>
    <w:rsid w:val="00DF4101"/>
    <w:rsid w:val="00DF42AB"/>
    <w:rsid w:val="00DF44D1"/>
    <w:rsid w:val="00DF4638"/>
    <w:rsid w:val="00DF4849"/>
    <w:rsid w:val="00DF50DA"/>
    <w:rsid w:val="00DF5266"/>
    <w:rsid w:val="00DF56C1"/>
    <w:rsid w:val="00DF582F"/>
    <w:rsid w:val="00DF5997"/>
    <w:rsid w:val="00DF5C02"/>
    <w:rsid w:val="00DF5C2B"/>
    <w:rsid w:val="00DF600D"/>
    <w:rsid w:val="00DF612D"/>
    <w:rsid w:val="00DF624D"/>
    <w:rsid w:val="00DF676C"/>
    <w:rsid w:val="00DF68F6"/>
    <w:rsid w:val="00DF6E30"/>
    <w:rsid w:val="00DF6E4B"/>
    <w:rsid w:val="00DF6F1E"/>
    <w:rsid w:val="00DF74B8"/>
    <w:rsid w:val="00DF76CC"/>
    <w:rsid w:val="00DF76E1"/>
    <w:rsid w:val="00DF77B8"/>
    <w:rsid w:val="00DF784C"/>
    <w:rsid w:val="00DF78E9"/>
    <w:rsid w:val="00DF7A69"/>
    <w:rsid w:val="00DF7AFF"/>
    <w:rsid w:val="00DF7BE6"/>
    <w:rsid w:val="00E0068D"/>
    <w:rsid w:val="00E00AFE"/>
    <w:rsid w:val="00E00D70"/>
    <w:rsid w:val="00E00DEB"/>
    <w:rsid w:val="00E0128C"/>
    <w:rsid w:val="00E01342"/>
    <w:rsid w:val="00E03767"/>
    <w:rsid w:val="00E0393D"/>
    <w:rsid w:val="00E03ABF"/>
    <w:rsid w:val="00E041A5"/>
    <w:rsid w:val="00E042FA"/>
    <w:rsid w:val="00E04354"/>
    <w:rsid w:val="00E043F6"/>
    <w:rsid w:val="00E044FC"/>
    <w:rsid w:val="00E0455B"/>
    <w:rsid w:val="00E048C6"/>
    <w:rsid w:val="00E04942"/>
    <w:rsid w:val="00E05515"/>
    <w:rsid w:val="00E05894"/>
    <w:rsid w:val="00E05931"/>
    <w:rsid w:val="00E05CB0"/>
    <w:rsid w:val="00E05CFA"/>
    <w:rsid w:val="00E06353"/>
    <w:rsid w:val="00E06528"/>
    <w:rsid w:val="00E06947"/>
    <w:rsid w:val="00E06C81"/>
    <w:rsid w:val="00E06E87"/>
    <w:rsid w:val="00E071E0"/>
    <w:rsid w:val="00E074A6"/>
    <w:rsid w:val="00E074EF"/>
    <w:rsid w:val="00E07C2D"/>
    <w:rsid w:val="00E104D8"/>
    <w:rsid w:val="00E10825"/>
    <w:rsid w:val="00E10F2F"/>
    <w:rsid w:val="00E11007"/>
    <w:rsid w:val="00E117BB"/>
    <w:rsid w:val="00E11828"/>
    <w:rsid w:val="00E11AE9"/>
    <w:rsid w:val="00E11D35"/>
    <w:rsid w:val="00E11DD6"/>
    <w:rsid w:val="00E11EC1"/>
    <w:rsid w:val="00E12050"/>
    <w:rsid w:val="00E121DB"/>
    <w:rsid w:val="00E12275"/>
    <w:rsid w:val="00E1238A"/>
    <w:rsid w:val="00E12689"/>
    <w:rsid w:val="00E129FE"/>
    <w:rsid w:val="00E12C83"/>
    <w:rsid w:val="00E12FFC"/>
    <w:rsid w:val="00E13363"/>
    <w:rsid w:val="00E138DE"/>
    <w:rsid w:val="00E13B51"/>
    <w:rsid w:val="00E13BFF"/>
    <w:rsid w:val="00E13DC4"/>
    <w:rsid w:val="00E140F7"/>
    <w:rsid w:val="00E14451"/>
    <w:rsid w:val="00E14B72"/>
    <w:rsid w:val="00E14BCB"/>
    <w:rsid w:val="00E14CB8"/>
    <w:rsid w:val="00E150AB"/>
    <w:rsid w:val="00E152BC"/>
    <w:rsid w:val="00E15471"/>
    <w:rsid w:val="00E16117"/>
    <w:rsid w:val="00E1629F"/>
    <w:rsid w:val="00E1631F"/>
    <w:rsid w:val="00E164AE"/>
    <w:rsid w:val="00E1662E"/>
    <w:rsid w:val="00E16976"/>
    <w:rsid w:val="00E16E37"/>
    <w:rsid w:val="00E171DF"/>
    <w:rsid w:val="00E17266"/>
    <w:rsid w:val="00E17276"/>
    <w:rsid w:val="00E1757E"/>
    <w:rsid w:val="00E17A8F"/>
    <w:rsid w:val="00E17D82"/>
    <w:rsid w:val="00E20413"/>
    <w:rsid w:val="00E20641"/>
    <w:rsid w:val="00E20898"/>
    <w:rsid w:val="00E21200"/>
    <w:rsid w:val="00E21266"/>
    <w:rsid w:val="00E21392"/>
    <w:rsid w:val="00E21CA3"/>
    <w:rsid w:val="00E21CFB"/>
    <w:rsid w:val="00E21D60"/>
    <w:rsid w:val="00E22484"/>
    <w:rsid w:val="00E22CFE"/>
    <w:rsid w:val="00E2300C"/>
    <w:rsid w:val="00E231F6"/>
    <w:rsid w:val="00E23442"/>
    <w:rsid w:val="00E23491"/>
    <w:rsid w:val="00E23623"/>
    <w:rsid w:val="00E23A33"/>
    <w:rsid w:val="00E23ED7"/>
    <w:rsid w:val="00E23F94"/>
    <w:rsid w:val="00E242A1"/>
    <w:rsid w:val="00E245F8"/>
    <w:rsid w:val="00E24E4C"/>
    <w:rsid w:val="00E25319"/>
    <w:rsid w:val="00E253B4"/>
    <w:rsid w:val="00E25442"/>
    <w:rsid w:val="00E25CA7"/>
    <w:rsid w:val="00E25D05"/>
    <w:rsid w:val="00E25ED3"/>
    <w:rsid w:val="00E25F19"/>
    <w:rsid w:val="00E26377"/>
    <w:rsid w:val="00E264A7"/>
    <w:rsid w:val="00E264D3"/>
    <w:rsid w:val="00E26998"/>
    <w:rsid w:val="00E26D8B"/>
    <w:rsid w:val="00E2787D"/>
    <w:rsid w:val="00E27BD4"/>
    <w:rsid w:val="00E27F67"/>
    <w:rsid w:val="00E27F6E"/>
    <w:rsid w:val="00E302BA"/>
    <w:rsid w:val="00E304B0"/>
    <w:rsid w:val="00E306A4"/>
    <w:rsid w:val="00E30714"/>
    <w:rsid w:val="00E30F43"/>
    <w:rsid w:val="00E315EF"/>
    <w:rsid w:val="00E31669"/>
    <w:rsid w:val="00E3183B"/>
    <w:rsid w:val="00E31B9B"/>
    <w:rsid w:val="00E31D4F"/>
    <w:rsid w:val="00E322F4"/>
    <w:rsid w:val="00E32CBB"/>
    <w:rsid w:val="00E32F8E"/>
    <w:rsid w:val="00E331C3"/>
    <w:rsid w:val="00E331DB"/>
    <w:rsid w:val="00E3321D"/>
    <w:rsid w:val="00E3323A"/>
    <w:rsid w:val="00E334C4"/>
    <w:rsid w:val="00E336C6"/>
    <w:rsid w:val="00E339BA"/>
    <w:rsid w:val="00E33CB2"/>
    <w:rsid w:val="00E34EF2"/>
    <w:rsid w:val="00E34F0C"/>
    <w:rsid w:val="00E35048"/>
    <w:rsid w:val="00E35190"/>
    <w:rsid w:val="00E359B0"/>
    <w:rsid w:val="00E35B77"/>
    <w:rsid w:val="00E35E10"/>
    <w:rsid w:val="00E35F3E"/>
    <w:rsid w:val="00E36108"/>
    <w:rsid w:val="00E362D1"/>
    <w:rsid w:val="00E36324"/>
    <w:rsid w:val="00E36722"/>
    <w:rsid w:val="00E3689F"/>
    <w:rsid w:val="00E36C67"/>
    <w:rsid w:val="00E36DF5"/>
    <w:rsid w:val="00E372C9"/>
    <w:rsid w:val="00E37418"/>
    <w:rsid w:val="00E37425"/>
    <w:rsid w:val="00E37601"/>
    <w:rsid w:val="00E3771B"/>
    <w:rsid w:val="00E37C46"/>
    <w:rsid w:val="00E37EA6"/>
    <w:rsid w:val="00E37FF1"/>
    <w:rsid w:val="00E403B3"/>
    <w:rsid w:val="00E40531"/>
    <w:rsid w:val="00E40972"/>
    <w:rsid w:val="00E40DC8"/>
    <w:rsid w:val="00E40FE1"/>
    <w:rsid w:val="00E4106F"/>
    <w:rsid w:val="00E4131D"/>
    <w:rsid w:val="00E4135B"/>
    <w:rsid w:val="00E415C3"/>
    <w:rsid w:val="00E41978"/>
    <w:rsid w:val="00E41B16"/>
    <w:rsid w:val="00E41C04"/>
    <w:rsid w:val="00E41D8A"/>
    <w:rsid w:val="00E42444"/>
    <w:rsid w:val="00E4246F"/>
    <w:rsid w:val="00E42705"/>
    <w:rsid w:val="00E42A0B"/>
    <w:rsid w:val="00E42A13"/>
    <w:rsid w:val="00E42BB4"/>
    <w:rsid w:val="00E42EB1"/>
    <w:rsid w:val="00E433DF"/>
    <w:rsid w:val="00E435B5"/>
    <w:rsid w:val="00E439DD"/>
    <w:rsid w:val="00E43D1D"/>
    <w:rsid w:val="00E43F22"/>
    <w:rsid w:val="00E44693"/>
    <w:rsid w:val="00E446C0"/>
    <w:rsid w:val="00E447A8"/>
    <w:rsid w:val="00E44BC7"/>
    <w:rsid w:val="00E44C73"/>
    <w:rsid w:val="00E44DB9"/>
    <w:rsid w:val="00E44DED"/>
    <w:rsid w:val="00E44F47"/>
    <w:rsid w:val="00E453C9"/>
    <w:rsid w:val="00E4574B"/>
    <w:rsid w:val="00E457CC"/>
    <w:rsid w:val="00E45FFC"/>
    <w:rsid w:val="00E46070"/>
    <w:rsid w:val="00E46327"/>
    <w:rsid w:val="00E46581"/>
    <w:rsid w:val="00E4665C"/>
    <w:rsid w:val="00E46815"/>
    <w:rsid w:val="00E46C48"/>
    <w:rsid w:val="00E46E02"/>
    <w:rsid w:val="00E46EDF"/>
    <w:rsid w:val="00E46FC4"/>
    <w:rsid w:val="00E472D4"/>
    <w:rsid w:val="00E47599"/>
    <w:rsid w:val="00E47BB2"/>
    <w:rsid w:val="00E47D64"/>
    <w:rsid w:val="00E47FC1"/>
    <w:rsid w:val="00E50BE9"/>
    <w:rsid w:val="00E5133A"/>
    <w:rsid w:val="00E517F3"/>
    <w:rsid w:val="00E51BD3"/>
    <w:rsid w:val="00E51DE7"/>
    <w:rsid w:val="00E52751"/>
    <w:rsid w:val="00E52E89"/>
    <w:rsid w:val="00E52F28"/>
    <w:rsid w:val="00E53262"/>
    <w:rsid w:val="00E53557"/>
    <w:rsid w:val="00E53B45"/>
    <w:rsid w:val="00E53E38"/>
    <w:rsid w:val="00E54019"/>
    <w:rsid w:val="00E54491"/>
    <w:rsid w:val="00E549D6"/>
    <w:rsid w:val="00E54AC9"/>
    <w:rsid w:val="00E54B4C"/>
    <w:rsid w:val="00E54E6D"/>
    <w:rsid w:val="00E554A9"/>
    <w:rsid w:val="00E55FBC"/>
    <w:rsid w:val="00E56641"/>
    <w:rsid w:val="00E56932"/>
    <w:rsid w:val="00E56C8A"/>
    <w:rsid w:val="00E56DD3"/>
    <w:rsid w:val="00E56DF2"/>
    <w:rsid w:val="00E56F76"/>
    <w:rsid w:val="00E57500"/>
    <w:rsid w:val="00E57586"/>
    <w:rsid w:val="00E57596"/>
    <w:rsid w:val="00E57ABF"/>
    <w:rsid w:val="00E57ACB"/>
    <w:rsid w:val="00E57DD5"/>
    <w:rsid w:val="00E57EFB"/>
    <w:rsid w:val="00E60021"/>
    <w:rsid w:val="00E6060B"/>
    <w:rsid w:val="00E60A7F"/>
    <w:rsid w:val="00E60D74"/>
    <w:rsid w:val="00E6120F"/>
    <w:rsid w:val="00E61CB0"/>
    <w:rsid w:val="00E62199"/>
    <w:rsid w:val="00E621A1"/>
    <w:rsid w:val="00E6287D"/>
    <w:rsid w:val="00E62BF7"/>
    <w:rsid w:val="00E62C97"/>
    <w:rsid w:val="00E62EE0"/>
    <w:rsid w:val="00E631EB"/>
    <w:rsid w:val="00E631ED"/>
    <w:rsid w:val="00E635C4"/>
    <w:rsid w:val="00E63651"/>
    <w:rsid w:val="00E64114"/>
    <w:rsid w:val="00E6461C"/>
    <w:rsid w:val="00E64693"/>
    <w:rsid w:val="00E649D0"/>
    <w:rsid w:val="00E64BFA"/>
    <w:rsid w:val="00E652AD"/>
    <w:rsid w:val="00E65449"/>
    <w:rsid w:val="00E65E19"/>
    <w:rsid w:val="00E66049"/>
    <w:rsid w:val="00E6661A"/>
    <w:rsid w:val="00E66B1D"/>
    <w:rsid w:val="00E66C61"/>
    <w:rsid w:val="00E67059"/>
    <w:rsid w:val="00E672AE"/>
    <w:rsid w:val="00E67A40"/>
    <w:rsid w:val="00E70043"/>
    <w:rsid w:val="00E70452"/>
    <w:rsid w:val="00E7058F"/>
    <w:rsid w:val="00E70F67"/>
    <w:rsid w:val="00E710C2"/>
    <w:rsid w:val="00E71973"/>
    <w:rsid w:val="00E719DD"/>
    <w:rsid w:val="00E71DE8"/>
    <w:rsid w:val="00E722BE"/>
    <w:rsid w:val="00E723E8"/>
    <w:rsid w:val="00E72512"/>
    <w:rsid w:val="00E72F00"/>
    <w:rsid w:val="00E737F9"/>
    <w:rsid w:val="00E73ADF"/>
    <w:rsid w:val="00E73BAF"/>
    <w:rsid w:val="00E73BC8"/>
    <w:rsid w:val="00E74193"/>
    <w:rsid w:val="00E743C6"/>
    <w:rsid w:val="00E745CA"/>
    <w:rsid w:val="00E748F1"/>
    <w:rsid w:val="00E7496D"/>
    <w:rsid w:val="00E75100"/>
    <w:rsid w:val="00E75423"/>
    <w:rsid w:val="00E756FD"/>
    <w:rsid w:val="00E759CA"/>
    <w:rsid w:val="00E75ADA"/>
    <w:rsid w:val="00E75D9D"/>
    <w:rsid w:val="00E761F5"/>
    <w:rsid w:val="00E768A8"/>
    <w:rsid w:val="00E7691E"/>
    <w:rsid w:val="00E76C64"/>
    <w:rsid w:val="00E76D4D"/>
    <w:rsid w:val="00E77705"/>
    <w:rsid w:val="00E77B47"/>
    <w:rsid w:val="00E80D74"/>
    <w:rsid w:val="00E81006"/>
    <w:rsid w:val="00E81AE0"/>
    <w:rsid w:val="00E8210E"/>
    <w:rsid w:val="00E82441"/>
    <w:rsid w:val="00E82481"/>
    <w:rsid w:val="00E828EC"/>
    <w:rsid w:val="00E82A40"/>
    <w:rsid w:val="00E82A4D"/>
    <w:rsid w:val="00E82A5F"/>
    <w:rsid w:val="00E82BBC"/>
    <w:rsid w:val="00E82E65"/>
    <w:rsid w:val="00E82F2C"/>
    <w:rsid w:val="00E82FB4"/>
    <w:rsid w:val="00E83712"/>
    <w:rsid w:val="00E838DE"/>
    <w:rsid w:val="00E83905"/>
    <w:rsid w:val="00E83C19"/>
    <w:rsid w:val="00E83FCC"/>
    <w:rsid w:val="00E84226"/>
    <w:rsid w:val="00E8425B"/>
    <w:rsid w:val="00E8426E"/>
    <w:rsid w:val="00E84A19"/>
    <w:rsid w:val="00E84AD8"/>
    <w:rsid w:val="00E84EEC"/>
    <w:rsid w:val="00E84FAD"/>
    <w:rsid w:val="00E85048"/>
    <w:rsid w:val="00E850CC"/>
    <w:rsid w:val="00E859BB"/>
    <w:rsid w:val="00E85ADD"/>
    <w:rsid w:val="00E861AE"/>
    <w:rsid w:val="00E86595"/>
    <w:rsid w:val="00E86672"/>
    <w:rsid w:val="00E86824"/>
    <w:rsid w:val="00E86BC7"/>
    <w:rsid w:val="00E86F33"/>
    <w:rsid w:val="00E86F3C"/>
    <w:rsid w:val="00E870BF"/>
    <w:rsid w:val="00E873DD"/>
    <w:rsid w:val="00E87561"/>
    <w:rsid w:val="00E878B0"/>
    <w:rsid w:val="00E879F3"/>
    <w:rsid w:val="00E87DB8"/>
    <w:rsid w:val="00E87E1C"/>
    <w:rsid w:val="00E90085"/>
    <w:rsid w:val="00E902A9"/>
    <w:rsid w:val="00E908E5"/>
    <w:rsid w:val="00E90994"/>
    <w:rsid w:val="00E90C11"/>
    <w:rsid w:val="00E90D87"/>
    <w:rsid w:val="00E90DB3"/>
    <w:rsid w:val="00E90F0D"/>
    <w:rsid w:val="00E913BA"/>
    <w:rsid w:val="00E915DF"/>
    <w:rsid w:val="00E9193B"/>
    <w:rsid w:val="00E91CB6"/>
    <w:rsid w:val="00E91D28"/>
    <w:rsid w:val="00E91DD0"/>
    <w:rsid w:val="00E9280F"/>
    <w:rsid w:val="00E928C4"/>
    <w:rsid w:val="00E92A6E"/>
    <w:rsid w:val="00E93A2F"/>
    <w:rsid w:val="00E93D11"/>
    <w:rsid w:val="00E94060"/>
    <w:rsid w:val="00E9433F"/>
    <w:rsid w:val="00E943C9"/>
    <w:rsid w:val="00E9459C"/>
    <w:rsid w:val="00E948EA"/>
    <w:rsid w:val="00E94E44"/>
    <w:rsid w:val="00E95083"/>
    <w:rsid w:val="00E95332"/>
    <w:rsid w:val="00E954FA"/>
    <w:rsid w:val="00E958A8"/>
    <w:rsid w:val="00E958CC"/>
    <w:rsid w:val="00E95E3B"/>
    <w:rsid w:val="00E9677F"/>
    <w:rsid w:val="00E96A5B"/>
    <w:rsid w:val="00E96FB7"/>
    <w:rsid w:val="00E975CB"/>
    <w:rsid w:val="00E977EA"/>
    <w:rsid w:val="00E97B25"/>
    <w:rsid w:val="00E97BC9"/>
    <w:rsid w:val="00EA038F"/>
    <w:rsid w:val="00EA059D"/>
    <w:rsid w:val="00EA05E7"/>
    <w:rsid w:val="00EA0657"/>
    <w:rsid w:val="00EA0869"/>
    <w:rsid w:val="00EA09E3"/>
    <w:rsid w:val="00EA10A0"/>
    <w:rsid w:val="00EA1B0A"/>
    <w:rsid w:val="00EA1EC7"/>
    <w:rsid w:val="00EA1F43"/>
    <w:rsid w:val="00EA20A1"/>
    <w:rsid w:val="00EA25C9"/>
    <w:rsid w:val="00EA2854"/>
    <w:rsid w:val="00EA294F"/>
    <w:rsid w:val="00EA2A16"/>
    <w:rsid w:val="00EA2B30"/>
    <w:rsid w:val="00EA2B32"/>
    <w:rsid w:val="00EA32BC"/>
    <w:rsid w:val="00EA3413"/>
    <w:rsid w:val="00EA371C"/>
    <w:rsid w:val="00EA38C1"/>
    <w:rsid w:val="00EA39ED"/>
    <w:rsid w:val="00EA3CBA"/>
    <w:rsid w:val="00EA3D40"/>
    <w:rsid w:val="00EA4267"/>
    <w:rsid w:val="00EA430D"/>
    <w:rsid w:val="00EA498B"/>
    <w:rsid w:val="00EA562B"/>
    <w:rsid w:val="00EA58E2"/>
    <w:rsid w:val="00EA60DA"/>
    <w:rsid w:val="00EA6278"/>
    <w:rsid w:val="00EA62FA"/>
    <w:rsid w:val="00EA6B27"/>
    <w:rsid w:val="00EA72E5"/>
    <w:rsid w:val="00EA7879"/>
    <w:rsid w:val="00EA78D3"/>
    <w:rsid w:val="00EA7DD9"/>
    <w:rsid w:val="00EA7FD0"/>
    <w:rsid w:val="00EB0268"/>
    <w:rsid w:val="00EB0272"/>
    <w:rsid w:val="00EB08BD"/>
    <w:rsid w:val="00EB0DAC"/>
    <w:rsid w:val="00EB1202"/>
    <w:rsid w:val="00EB143D"/>
    <w:rsid w:val="00EB1601"/>
    <w:rsid w:val="00EB164B"/>
    <w:rsid w:val="00EB17E8"/>
    <w:rsid w:val="00EB19A8"/>
    <w:rsid w:val="00EB1DAA"/>
    <w:rsid w:val="00EB212F"/>
    <w:rsid w:val="00EB2457"/>
    <w:rsid w:val="00EB24CE"/>
    <w:rsid w:val="00EB2567"/>
    <w:rsid w:val="00EB2569"/>
    <w:rsid w:val="00EB26F5"/>
    <w:rsid w:val="00EB29B8"/>
    <w:rsid w:val="00EB2DAF"/>
    <w:rsid w:val="00EB31D0"/>
    <w:rsid w:val="00EB33D9"/>
    <w:rsid w:val="00EB3541"/>
    <w:rsid w:val="00EB37BC"/>
    <w:rsid w:val="00EB3867"/>
    <w:rsid w:val="00EB39CC"/>
    <w:rsid w:val="00EB3A5F"/>
    <w:rsid w:val="00EB3C11"/>
    <w:rsid w:val="00EB3F01"/>
    <w:rsid w:val="00EB408F"/>
    <w:rsid w:val="00EB40F4"/>
    <w:rsid w:val="00EB47BF"/>
    <w:rsid w:val="00EB48AD"/>
    <w:rsid w:val="00EB4D4C"/>
    <w:rsid w:val="00EB54C3"/>
    <w:rsid w:val="00EB5CBA"/>
    <w:rsid w:val="00EB5E81"/>
    <w:rsid w:val="00EB639C"/>
    <w:rsid w:val="00EB67CC"/>
    <w:rsid w:val="00EB6BB3"/>
    <w:rsid w:val="00EB6E24"/>
    <w:rsid w:val="00EB71D9"/>
    <w:rsid w:val="00EB7246"/>
    <w:rsid w:val="00EB78F4"/>
    <w:rsid w:val="00EB7913"/>
    <w:rsid w:val="00EB79B5"/>
    <w:rsid w:val="00EB7AD3"/>
    <w:rsid w:val="00EC01FC"/>
    <w:rsid w:val="00EC0353"/>
    <w:rsid w:val="00EC0555"/>
    <w:rsid w:val="00EC108A"/>
    <w:rsid w:val="00EC1216"/>
    <w:rsid w:val="00EC17DD"/>
    <w:rsid w:val="00EC1936"/>
    <w:rsid w:val="00EC19B0"/>
    <w:rsid w:val="00EC1D2F"/>
    <w:rsid w:val="00EC20BC"/>
    <w:rsid w:val="00EC22CA"/>
    <w:rsid w:val="00EC242A"/>
    <w:rsid w:val="00EC29E6"/>
    <w:rsid w:val="00EC2C91"/>
    <w:rsid w:val="00EC3218"/>
    <w:rsid w:val="00EC3571"/>
    <w:rsid w:val="00EC35CE"/>
    <w:rsid w:val="00EC3798"/>
    <w:rsid w:val="00EC3AA0"/>
    <w:rsid w:val="00EC3C8E"/>
    <w:rsid w:val="00EC4008"/>
    <w:rsid w:val="00EC4506"/>
    <w:rsid w:val="00EC480E"/>
    <w:rsid w:val="00EC4ACE"/>
    <w:rsid w:val="00EC4C06"/>
    <w:rsid w:val="00EC4C4D"/>
    <w:rsid w:val="00EC4DCD"/>
    <w:rsid w:val="00EC4E24"/>
    <w:rsid w:val="00EC5015"/>
    <w:rsid w:val="00EC5145"/>
    <w:rsid w:val="00EC5B3D"/>
    <w:rsid w:val="00EC5D51"/>
    <w:rsid w:val="00EC61C7"/>
    <w:rsid w:val="00EC6452"/>
    <w:rsid w:val="00EC6935"/>
    <w:rsid w:val="00EC6A28"/>
    <w:rsid w:val="00EC6AF2"/>
    <w:rsid w:val="00EC6FD7"/>
    <w:rsid w:val="00EC782A"/>
    <w:rsid w:val="00EC7869"/>
    <w:rsid w:val="00ED0656"/>
    <w:rsid w:val="00ED06E8"/>
    <w:rsid w:val="00ED08C2"/>
    <w:rsid w:val="00ED0B73"/>
    <w:rsid w:val="00ED0C0A"/>
    <w:rsid w:val="00ED10C3"/>
    <w:rsid w:val="00ED1C3D"/>
    <w:rsid w:val="00ED1E0E"/>
    <w:rsid w:val="00ED2234"/>
    <w:rsid w:val="00ED2566"/>
    <w:rsid w:val="00ED260E"/>
    <w:rsid w:val="00ED2EC1"/>
    <w:rsid w:val="00ED333A"/>
    <w:rsid w:val="00ED34B5"/>
    <w:rsid w:val="00ED3F7C"/>
    <w:rsid w:val="00ED3F9A"/>
    <w:rsid w:val="00ED43F3"/>
    <w:rsid w:val="00ED4BAD"/>
    <w:rsid w:val="00ED4DE9"/>
    <w:rsid w:val="00ED5194"/>
    <w:rsid w:val="00ED555E"/>
    <w:rsid w:val="00ED5AC0"/>
    <w:rsid w:val="00ED5B40"/>
    <w:rsid w:val="00ED5E47"/>
    <w:rsid w:val="00ED5EE8"/>
    <w:rsid w:val="00ED67BB"/>
    <w:rsid w:val="00ED6A6C"/>
    <w:rsid w:val="00ED6B91"/>
    <w:rsid w:val="00ED7017"/>
    <w:rsid w:val="00ED7746"/>
    <w:rsid w:val="00ED7F0A"/>
    <w:rsid w:val="00ED7FE1"/>
    <w:rsid w:val="00EE0192"/>
    <w:rsid w:val="00EE033E"/>
    <w:rsid w:val="00EE0C44"/>
    <w:rsid w:val="00EE1057"/>
    <w:rsid w:val="00EE118E"/>
    <w:rsid w:val="00EE12EF"/>
    <w:rsid w:val="00EE146E"/>
    <w:rsid w:val="00EE164F"/>
    <w:rsid w:val="00EE17CE"/>
    <w:rsid w:val="00EE17FA"/>
    <w:rsid w:val="00EE1D63"/>
    <w:rsid w:val="00EE264E"/>
    <w:rsid w:val="00EE272E"/>
    <w:rsid w:val="00EE2B80"/>
    <w:rsid w:val="00EE2D00"/>
    <w:rsid w:val="00EE2E16"/>
    <w:rsid w:val="00EE3795"/>
    <w:rsid w:val="00EE3F94"/>
    <w:rsid w:val="00EE41B7"/>
    <w:rsid w:val="00EE486B"/>
    <w:rsid w:val="00EE496F"/>
    <w:rsid w:val="00EE49E3"/>
    <w:rsid w:val="00EE4A30"/>
    <w:rsid w:val="00EE4C12"/>
    <w:rsid w:val="00EE4D57"/>
    <w:rsid w:val="00EE4EDA"/>
    <w:rsid w:val="00EE5146"/>
    <w:rsid w:val="00EE53C7"/>
    <w:rsid w:val="00EE547E"/>
    <w:rsid w:val="00EE5ACB"/>
    <w:rsid w:val="00EE5D24"/>
    <w:rsid w:val="00EE665B"/>
    <w:rsid w:val="00EE66F7"/>
    <w:rsid w:val="00EE7379"/>
    <w:rsid w:val="00EE74F7"/>
    <w:rsid w:val="00EE7DF4"/>
    <w:rsid w:val="00EF0A01"/>
    <w:rsid w:val="00EF0A36"/>
    <w:rsid w:val="00EF0B0C"/>
    <w:rsid w:val="00EF0F23"/>
    <w:rsid w:val="00EF101D"/>
    <w:rsid w:val="00EF113A"/>
    <w:rsid w:val="00EF141E"/>
    <w:rsid w:val="00EF14F3"/>
    <w:rsid w:val="00EF1687"/>
    <w:rsid w:val="00EF1935"/>
    <w:rsid w:val="00EF1947"/>
    <w:rsid w:val="00EF1CC1"/>
    <w:rsid w:val="00EF1FBB"/>
    <w:rsid w:val="00EF22A0"/>
    <w:rsid w:val="00EF22EA"/>
    <w:rsid w:val="00EF2512"/>
    <w:rsid w:val="00EF27DF"/>
    <w:rsid w:val="00EF3647"/>
    <w:rsid w:val="00EF3835"/>
    <w:rsid w:val="00EF390B"/>
    <w:rsid w:val="00EF3D5D"/>
    <w:rsid w:val="00EF428E"/>
    <w:rsid w:val="00EF42F7"/>
    <w:rsid w:val="00EF43AC"/>
    <w:rsid w:val="00EF4457"/>
    <w:rsid w:val="00EF45C7"/>
    <w:rsid w:val="00EF5124"/>
    <w:rsid w:val="00EF5746"/>
    <w:rsid w:val="00EF5BA3"/>
    <w:rsid w:val="00EF5F1D"/>
    <w:rsid w:val="00EF6300"/>
    <w:rsid w:val="00EF665D"/>
    <w:rsid w:val="00EF6847"/>
    <w:rsid w:val="00EF689D"/>
    <w:rsid w:val="00EF6C74"/>
    <w:rsid w:val="00EF6F55"/>
    <w:rsid w:val="00EF7515"/>
    <w:rsid w:val="00EF7683"/>
    <w:rsid w:val="00EF7861"/>
    <w:rsid w:val="00EF7BD1"/>
    <w:rsid w:val="00EF7DF9"/>
    <w:rsid w:val="00EF7EDD"/>
    <w:rsid w:val="00EF7F0E"/>
    <w:rsid w:val="00F00428"/>
    <w:rsid w:val="00F00B6F"/>
    <w:rsid w:val="00F00E59"/>
    <w:rsid w:val="00F0118B"/>
    <w:rsid w:val="00F01197"/>
    <w:rsid w:val="00F012D2"/>
    <w:rsid w:val="00F01621"/>
    <w:rsid w:val="00F01928"/>
    <w:rsid w:val="00F01A97"/>
    <w:rsid w:val="00F01CF4"/>
    <w:rsid w:val="00F0216B"/>
    <w:rsid w:val="00F02416"/>
    <w:rsid w:val="00F0338A"/>
    <w:rsid w:val="00F035B6"/>
    <w:rsid w:val="00F0385C"/>
    <w:rsid w:val="00F03885"/>
    <w:rsid w:val="00F03B2B"/>
    <w:rsid w:val="00F03DBF"/>
    <w:rsid w:val="00F042CF"/>
    <w:rsid w:val="00F04352"/>
    <w:rsid w:val="00F044D7"/>
    <w:rsid w:val="00F044D8"/>
    <w:rsid w:val="00F0478F"/>
    <w:rsid w:val="00F0480E"/>
    <w:rsid w:val="00F049C4"/>
    <w:rsid w:val="00F04B17"/>
    <w:rsid w:val="00F04CE2"/>
    <w:rsid w:val="00F04D0B"/>
    <w:rsid w:val="00F04F06"/>
    <w:rsid w:val="00F05113"/>
    <w:rsid w:val="00F05923"/>
    <w:rsid w:val="00F05BB9"/>
    <w:rsid w:val="00F05F49"/>
    <w:rsid w:val="00F062F2"/>
    <w:rsid w:val="00F0638C"/>
    <w:rsid w:val="00F06FAA"/>
    <w:rsid w:val="00F07321"/>
    <w:rsid w:val="00F07322"/>
    <w:rsid w:val="00F0786B"/>
    <w:rsid w:val="00F10396"/>
    <w:rsid w:val="00F10427"/>
    <w:rsid w:val="00F1072B"/>
    <w:rsid w:val="00F112D9"/>
    <w:rsid w:val="00F112E8"/>
    <w:rsid w:val="00F11A20"/>
    <w:rsid w:val="00F11EBE"/>
    <w:rsid w:val="00F11F9E"/>
    <w:rsid w:val="00F121A1"/>
    <w:rsid w:val="00F12453"/>
    <w:rsid w:val="00F12581"/>
    <w:rsid w:val="00F12589"/>
    <w:rsid w:val="00F126F8"/>
    <w:rsid w:val="00F13884"/>
    <w:rsid w:val="00F13D75"/>
    <w:rsid w:val="00F13E41"/>
    <w:rsid w:val="00F13E59"/>
    <w:rsid w:val="00F1429B"/>
    <w:rsid w:val="00F142AB"/>
    <w:rsid w:val="00F142CB"/>
    <w:rsid w:val="00F1432D"/>
    <w:rsid w:val="00F1436E"/>
    <w:rsid w:val="00F14403"/>
    <w:rsid w:val="00F14506"/>
    <w:rsid w:val="00F14695"/>
    <w:rsid w:val="00F1489E"/>
    <w:rsid w:val="00F14ACC"/>
    <w:rsid w:val="00F14DB2"/>
    <w:rsid w:val="00F14E5D"/>
    <w:rsid w:val="00F1551E"/>
    <w:rsid w:val="00F15C62"/>
    <w:rsid w:val="00F15D27"/>
    <w:rsid w:val="00F160BD"/>
    <w:rsid w:val="00F16204"/>
    <w:rsid w:val="00F16AAE"/>
    <w:rsid w:val="00F1752E"/>
    <w:rsid w:val="00F17846"/>
    <w:rsid w:val="00F17867"/>
    <w:rsid w:val="00F17921"/>
    <w:rsid w:val="00F17B24"/>
    <w:rsid w:val="00F17E72"/>
    <w:rsid w:val="00F17F2A"/>
    <w:rsid w:val="00F17F6F"/>
    <w:rsid w:val="00F20360"/>
    <w:rsid w:val="00F205E7"/>
    <w:rsid w:val="00F20608"/>
    <w:rsid w:val="00F2066E"/>
    <w:rsid w:val="00F20751"/>
    <w:rsid w:val="00F20838"/>
    <w:rsid w:val="00F20DEB"/>
    <w:rsid w:val="00F21066"/>
    <w:rsid w:val="00F2146B"/>
    <w:rsid w:val="00F21776"/>
    <w:rsid w:val="00F21A72"/>
    <w:rsid w:val="00F21F00"/>
    <w:rsid w:val="00F221FB"/>
    <w:rsid w:val="00F22404"/>
    <w:rsid w:val="00F224F6"/>
    <w:rsid w:val="00F2268F"/>
    <w:rsid w:val="00F226F7"/>
    <w:rsid w:val="00F2277D"/>
    <w:rsid w:val="00F22A5E"/>
    <w:rsid w:val="00F22B56"/>
    <w:rsid w:val="00F22C80"/>
    <w:rsid w:val="00F22DA1"/>
    <w:rsid w:val="00F22F1B"/>
    <w:rsid w:val="00F234D7"/>
    <w:rsid w:val="00F238C3"/>
    <w:rsid w:val="00F23A77"/>
    <w:rsid w:val="00F23CDE"/>
    <w:rsid w:val="00F23EC5"/>
    <w:rsid w:val="00F24011"/>
    <w:rsid w:val="00F244B9"/>
    <w:rsid w:val="00F24839"/>
    <w:rsid w:val="00F24920"/>
    <w:rsid w:val="00F24CF0"/>
    <w:rsid w:val="00F25189"/>
    <w:rsid w:val="00F252FE"/>
    <w:rsid w:val="00F25457"/>
    <w:rsid w:val="00F25C55"/>
    <w:rsid w:val="00F25F71"/>
    <w:rsid w:val="00F26327"/>
    <w:rsid w:val="00F269CB"/>
    <w:rsid w:val="00F26B55"/>
    <w:rsid w:val="00F26BAF"/>
    <w:rsid w:val="00F270B8"/>
    <w:rsid w:val="00F271BF"/>
    <w:rsid w:val="00F27383"/>
    <w:rsid w:val="00F277BE"/>
    <w:rsid w:val="00F27942"/>
    <w:rsid w:val="00F27982"/>
    <w:rsid w:val="00F279BF"/>
    <w:rsid w:val="00F300AF"/>
    <w:rsid w:val="00F30145"/>
    <w:rsid w:val="00F304EA"/>
    <w:rsid w:val="00F3054A"/>
    <w:rsid w:val="00F3055E"/>
    <w:rsid w:val="00F308F4"/>
    <w:rsid w:val="00F309C0"/>
    <w:rsid w:val="00F30D5E"/>
    <w:rsid w:val="00F312E7"/>
    <w:rsid w:val="00F31367"/>
    <w:rsid w:val="00F3205B"/>
    <w:rsid w:val="00F327E1"/>
    <w:rsid w:val="00F32D55"/>
    <w:rsid w:val="00F32DA0"/>
    <w:rsid w:val="00F3320E"/>
    <w:rsid w:val="00F3336D"/>
    <w:rsid w:val="00F33A49"/>
    <w:rsid w:val="00F33D9F"/>
    <w:rsid w:val="00F33E14"/>
    <w:rsid w:val="00F33FAD"/>
    <w:rsid w:val="00F3454A"/>
    <w:rsid w:val="00F346EA"/>
    <w:rsid w:val="00F34903"/>
    <w:rsid w:val="00F34B3D"/>
    <w:rsid w:val="00F34E12"/>
    <w:rsid w:val="00F34E6B"/>
    <w:rsid w:val="00F34FA7"/>
    <w:rsid w:val="00F3520A"/>
    <w:rsid w:val="00F354DE"/>
    <w:rsid w:val="00F356DE"/>
    <w:rsid w:val="00F35A9B"/>
    <w:rsid w:val="00F35D4F"/>
    <w:rsid w:val="00F35E72"/>
    <w:rsid w:val="00F361CE"/>
    <w:rsid w:val="00F3649C"/>
    <w:rsid w:val="00F36EAA"/>
    <w:rsid w:val="00F36FAB"/>
    <w:rsid w:val="00F37480"/>
    <w:rsid w:val="00F37938"/>
    <w:rsid w:val="00F37AA3"/>
    <w:rsid w:val="00F37D56"/>
    <w:rsid w:val="00F37F23"/>
    <w:rsid w:val="00F37F98"/>
    <w:rsid w:val="00F407E0"/>
    <w:rsid w:val="00F40AF3"/>
    <w:rsid w:val="00F40CDA"/>
    <w:rsid w:val="00F413A6"/>
    <w:rsid w:val="00F4145F"/>
    <w:rsid w:val="00F418B0"/>
    <w:rsid w:val="00F41B72"/>
    <w:rsid w:val="00F41BC2"/>
    <w:rsid w:val="00F41C07"/>
    <w:rsid w:val="00F41C4B"/>
    <w:rsid w:val="00F41C9A"/>
    <w:rsid w:val="00F424A8"/>
    <w:rsid w:val="00F4263B"/>
    <w:rsid w:val="00F42669"/>
    <w:rsid w:val="00F426FA"/>
    <w:rsid w:val="00F427AE"/>
    <w:rsid w:val="00F42C6A"/>
    <w:rsid w:val="00F42D40"/>
    <w:rsid w:val="00F43112"/>
    <w:rsid w:val="00F43188"/>
    <w:rsid w:val="00F433A5"/>
    <w:rsid w:val="00F433D8"/>
    <w:rsid w:val="00F43467"/>
    <w:rsid w:val="00F434C4"/>
    <w:rsid w:val="00F436C6"/>
    <w:rsid w:val="00F43884"/>
    <w:rsid w:val="00F43900"/>
    <w:rsid w:val="00F439AF"/>
    <w:rsid w:val="00F43E20"/>
    <w:rsid w:val="00F43FBD"/>
    <w:rsid w:val="00F440FA"/>
    <w:rsid w:val="00F444F6"/>
    <w:rsid w:val="00F44600"/>
    <w:rsid w:val="00F450A3"/>
    <w:rsid w:val="00F45282"/>
    <w:rsid w:val="00F452AC"/>
    <w:rsid w:val="00F45443"/>
    <w:rsid w:val="00F4571F"/>
    <w:rsid w:val="00F45821"/>
    <w:rsid w:val="00F45A14"/>
    <w:rsid w:val="00F45D0F"/>
    <w:rsid w:val="00F464B9"/>
    <w:rsid w:val="00F47085"/>
    <w:rsid w:val="00F479C6"/>
    <w:rsid w:val="00F47A6D"/>
    <w:rsid w:val="00F47A83"/>
    <w:rsid w:val="00F47B0F"/>
    <w:rsid w:val="00F47D39"/>
    <w:rsid w:val="00F47F7C"/>
    <w:rsid w:val="00F5011C"/>
    <w:rsid w:val="00F50181"/>
    <w:rsid w:val="00F503DC"/>
    <w:rsid w:val="00F5080C"/>
    <w:rsid w:val="00F50B09"/>
    <w:rsid w:val="00F516C4"/>
    <w:rsid w:val="00F51779"/>
    <w:rsid w:val="00F51A38"/>
    <w:rsid w:val="00F51C4A"/>
    <w:rsid w:val="00F51EC9"/>
    <w:rsid w:val="00F51FB9"/>
    <w:rsid w:val="00F525BE"/>
    <w:rsid w:val="00F52861"/>
    <w:rsid w:val="00F52BB2"/>
    <w:rsid w:val="00F52DB0"/>
    <w:rsid w:val="00F531E7"/>
    <w:rsid w:val="00F5330A"/>
    <w:rsid w:val="00F53364"/>
    <w:rsid w:val="00F53960"/>
    <w:rsid w:val="00F53AB7"/>
    <w:rsid w:val="00F53CA3"/>
    <w:rsid w:val="00F53CDC"/>
    <w:rsid w:val="00F5421B"/>
    <w:rsid w:val="00F542DC"/>
    <w:rsid w:val="00F54335"/>
    <w:rsid w:val="00F551AA"/>
    <w:rsid w:val="00F554EE"/>
    <w:rsid w:val="00F559CB"/>
    <w:rsid w:val="00F55A0C"/>
    <w:rsid w:val="00F55CE6"/>
    <w:rsid w:val="00F55E09"/>
    <w:rsid w:val="00F55F51"/>
    <w:rsid w:val="00F562B7"/>
    <w:rsid w:val="00F5657B"/>
    <w:rsid w:val="00F568EF"/>
    <w:rsid w:val="00F56A93"/>
    <w:rsid w:val="00F56ADE"/>
    <w:rsid w:val="00F56C4E"/>
    <w:rsid w:val="00F56E1B"/>
    <w:rsid w:val="00F5743E"/>
    <w:rsid w:val="00F576F7"/>
    <w:rsid w:val="00F579BC"/>
    <w:rsid w:val="00F57B91"/>
    <w:rsid w:val="00F600B2"/>
    <w:rsid w:val="00F601D4"/>
    <w:rsid w:val="00F6037A"/>
    <w:rsid w:val="00F6043D"/>
    <w:rsid w:val="00F607F0"/>
    <w:rsid w:val="00F6093E"/>
    <w:rsid w:val="00F610AB"/>
    <w:rsid w:val="00F613AD"/>
    <w:rsid w:val="00F6188D"/>
    <w:rsid w:val="00F6189B"/>
    <w:rsid w:val="00F621BB"/>
    <w:rsid w:val="00F6220F"/>
    <w:rsid w:val="00F62306"/>
    <w:rsid w:val="00F6259E"/>
    <w:rsid w:val="00F62B3B"/>
    <w:rsid w:val="00F62CC7"/>
    <w:rsid w:val="00F62DC7"/>
    <w:rsid w:val="00F62FC9"/>
    <w:rsid w:val="00F630F9"/>
    <w:rsid w:val="00F63508"/>
    <w:rsid w:val="00F636C6"/>
    <w:rsid w:val="00F63AD5"/>
    <w:rsid w:val="00F643B8"/>
    <w:rsid w:val="00F64777"/>
    <w:rsid w:val="00F64D46"/>
    <w:rsid w:val="00F64DC9"/>
    <w:rsid w:val="00F65BE7"/>
    <w:rsid w:val="00F660CE"/>
    <w:rsid w:val="00F66474"/>
    <w:rsid w:val="00F6685F"/>
    <w:rsid w:val="00F673C7"/>
    <w:rsid w:val="00F675E2"/>
    <w:rsid w:val="00F67E2B"/>
    <w:rsid w:val="00F7021B"/>
    <w:rsid w:val="00F70523"/>
    <w:rsid w:val="00F70944"/>
    <w:rsid w:val="00F70A7C"/>
    <w:rsid w:val="00F710EC"/>
    <w:rsid w:val="00F71B9C"/>
    <w:rsid w:val="00F71F36"/>
    <w:rsid w:val="00F726B6"/>
    <w:rsid w:val="00F72749"/>
    <w:rsid w:val="00F7277F"/>
    <w:rsid w:val="00F72A42"/>
    <w:rsid w:val="00F72AFC"/>
    <w:rsid w:val="00F72F62"/>
    <w:rsid w:val="00F7357E"/>
    <w:rsid w:val="00F73583"/>
    <w:rsid w:val="00F7392D"/>
    <w:rsid w:val="00F74146"/>
    <w:rsid w:val="00F744C0"/>
    <w:rsid w:val="00F74527"/>
    <w:rsid w:val="00F7497C"/>
    <w:rsid w:val="00F74A68"/>
    <w:rsid w:val="00F74DD8"/>
    <w:rsid w:val="00F753A8"/>
    <w:rsid w:val="00F7550E"/>
    <w:rsid w:val="00F75C49"/>
    <w:rsid w:val="00F761F4"/>
    <w:rsid w:val="00F76347"/>
    <w:rsid w:val="00F7651E"/>
    <w:rsid w:val="00F765B6"/>
    <w:rsid w:val="00F767FA"/>
    <w:rsid w:val="00F76BE5"/>
    <w:rsid w:val="00F76D74"/>
    <w:rsid w:val="00F76E71"/>
    <w:rsid w:val="00F7734F"/>
    <w:rsid w:val="00F7754D"/>
    <w:rsid w:val="00F775B3"/>
    <w:rsid w:val="00F77733"/>
    <w:rsid w:val="00F77897"/>
    <w:rsid w:val="00F7792E"/>
    <w:rsid w:val="00F779AC"/>
    <w:rsid w:val="00F77C0F"/>
    <w:rsid w:val="00F77D5F"/>
    <w:rsid w:val="00F77E79"/>
    <w:rsid w:val="00F80237"/>
    <w:rsid w:val="00F80482"/>
    <w:rsid w:val="00F80534"/>
    <w:rsid w:val="00F80539"/>
    <w:rsid w:val="00F8072F"/>
    <w:rsid w:val="00F80903"/>
    <w:rsid w:val="00F8104B"/>
    <w:rsid w:val="00F81443"/>
    <w:rsid w:val="00F817C0"/>
    <w:rsid w:val="00F8188E"/>
    <w:rsid w:val="00F81CC8"/>
    <w:rsid w:val="00F8215A"/>
    <w:rsid w:val="00F822A2"/>
    <w:rsid w:val="00F825E5"/>
    <w:rsid w:val="00F8310C"/>
    <w:rsid w:val="00F8422E"/>
    <w:rsid w:val="00F842A9"/>
    <w:rsid w:val="00F849D2"/>
    <w:rsid w:val="00F84D73"/>
    <w:rsid w:val="00F851E0"/>
    <w:rsid w:val="00F85350"/>
    <w:rsid w:val="00F8555E"/>
    <w:rsid w:val="00F8594B"/>
    <w:rsid w:val="00F85C42"/>
    <w:rsid w:val="00F85CA3"/>
    <w:rsid w:val="00F85CAB"/>
    <w:rsid w:val="00F85F56"/>
    <w:rsid w:val="00F86BBF"/>
    <w:rsid w:val="00F86C49"/>
    <w:rsid w:val="00F86C96"/>
    <w:rsid w:val="00F875D7"/>
    <w:rsid w:val="00F877AD"/>
    <w:rsid w:val="00F878C6"/>
    <w:rsid w:val="00F9008E"/>
    <w:rsid w:val="00F900C5"/>
    <w:rsid w:val="00F9023A"/>
    <w:rsid w:val="00F902CD"/>
    <w:rsid w:val="00F90C48"/>
    <w:rsid w:val="00F90D80"/>
    <w:rsid w:val="00F90FCD"/>
    <w:rsid w:val="00F91641"/>
    <w:rsid w:val="00F918D8"/>
    <w:rsid w:val="00F91AF0"/>
    <w:rsid w:val="00F928D5"/>
    <w:rsid w:val="00F929AB"/>
    <w:rsid w:val="00F92AF2"/>
    <w:rsid w:val="00F92D91"/>
    <w:rsid w:val="00F9314D"/>
    <w:rsid w:val="00F93458"/>
    <w:rsid w:val="00F938F0"/>
    <w:rsid w:val="00F939B4"/>
    <w:rsid w:val="00F93B2D"/>
    <w:rsid w:val="00F93BB3"/>
    <w:rsid w:val="00F93CDA"/>
    <w:rsid w:val="00F93DB0"/>
    <w:rsid w:val="00F9402A"/>
    <w:rsid w:val="00F94037"/>
    <w:rsid w:val="00F9403D"/>
    <w:rsid w:val="00F94349"/>
    <w:rsid w:val="00F943FB"/>
    <w:rsid w:val="00F94551"/>
    <w:rsid w:val="00F9475C"/>
    <w:rsid w:val="00F947BB"/>
    <w:rsid w:val="00F94863"/>
    <w:rsid w:val="00F94BD7"/>
    <w:rsid w:val="00F94C84"/>
    <w:rsid w:val="00F94E35"/>
    <w:rsid w:val="00F95246"/>
    <w:rsid w:val="00F958F8"/>
    <w:rsid w:val="00F9593F"/>
    <w:rsid w:val="00F959D1"/>
    <w:rsid w:val="00F95BAB"/>
    <w:rsid w:val="00F95BEC"/>
    <w:rsid w:val="00F95D76"/>
    <w:rsid w:val="00F95F35"/>
    <w:rsid w:val="00F95F99"/>
    <w:rsid w:val="00F96061"/>
    <w:rsid w:val="00F961DF"/>
    <w:rsid w:val="00F96265"/>
    <w:rsid w:val="00F962A4"/>
    <w:rsid w:val="00F965AA"/>
    <w:rsid w:val="00F96D3B"/>
    <w:rsid w:val="00F97430"/>
    <w:rsid w:val="00F97481"/>
    <w:rsid w:val="00F974C5"/>
    <w:rsid w:val="00F977AD"/>
    <w:rsid w:val="00F97BAE"/>
    <w:rsid w:val="00F97D56"/>
    <w:rsid w:val="00F97E30"/>
    <w:rsid w:val="00FA035B"/>
    <w:rsid w:val="00FA06DE"/>
    <w:rsid w:val="00FA098D"/>
    <w:rsid w:val="00FA0AF5"/>
    <w:rsid w:val="00FA0C1A"/>
    <w:rsid w:val="00FA0C73"/>
    <w:rsid w:val="00FA0CF9"/>
    <w:rsid w:val="00FA0DA2"/>
    <w:rsid w:val="00FA11A5"/>
    <w:rsid w:val="00FA13B8"/>
    <w:rsid w:val="00FA1FA5"/>
    <w:rsid w:val="00FA20D7"/>
    <w:rsid w:val="00FA2DB3"/>
    <w:rsid w:val="00FA31C1"/>
    <w:rsid w:val="00FA3290"/>
    <w:rsid w:val="00FA32A4"/>
    <w:rsid w:val="00FA3361"/>
    <w:rsid w:val="00FA34B4"/>
    <w:rsid w:val="00FA3E14"/>
    <w:rsid w:val="00FA3F78"/>
    <w:rsid w:val="00FA460A"/>
    <w:rsid w:val="00FA4706"/>
    <w:rsid w:val="00FA472C"/>
    <w:rsid w:val="00FA4793"/>
    <w:rsid w:val="00FA484F"/>
    <w:rsid w:val="00FA4ACB"/>
    <w:rsid w:val="00FA4C8C"/>
    <w:rsid w:val="00FA5219"/>
    <w:rsid w:val="00FA5339"/>
    <w:rsid w:val="00FA576B"/>
    <w:rsid w:val="00FA5A9A"/>
    <w:rsid w:val="00FA63BB"/>
    <w:rsid w:val="00FA644F"/>
    <w:rsid w:val="00FA6D8D"/>
    <w:rsid w:val="00FA6DAF"/>
    <w:rsid w:val="00FA6FB6"/>
    <w:rsid w:val="00FA7167"/>
    <w:rsid w:val="00FA72C9"/>
    <w:rsid w:val="00FA78C0"/>
    <w:rsid w:val="00FA7C3E"/>
    <w:rsid w:val="00FA7FC9"/>
    <w:rsid w:val="00FB02C4"/>
    <w:rsid w:val="00FB0370"/>
    <w:rsid w:val="00FB03A3"/>
    <w:rsid w:val="00FB104A"/>
    <w:rsid w:val="00FB11F1"/>
    <w:rsid w:val="00FB121D"/>
    <w:rsid w:val="00FB132E"/>
    <w:rsid w:val="00FB179C"/>
    <w:rsid w:val="00FB1AD2"/>
    <w:rsid w:val="00FB1B44"/>
    <w:rsid w:val="00FB1BDE"/>
    <w:rsid w:val="00FB1FE9"/>
    <w:rsid w:val="00FB201C"/>
    <w:rsid w:val="00FB214A"/>
    <w:rsid w:val="00FB25A4"/>
    <w:rsid w:val="00FB2668"/>
    <w:rsid w:val="00FB292E"/>
    <w:rsid w:val="00FB300A"/>
    <w:rsid w:val="00FB3125"/>
    <w:rsid w:val="00FB361F"/>
    <w:rsid w:val="00FB374B"/>
    <w:rsid w:val="00FB3CC7"/>
    <w:rsid w:val="00FB431F"/>
    <w:rsid w:val="00FB4326"/>
    <w:rsid w:val="00FB4B72"/>
    <w:rsid w:val="00FB4C7F"/>
    <w:rsid w:val="00FB4CC7"/>
    <w:rsid w:val="00FB4D11"/>
    <w:rsid w:val="00FB4D9D"/>
    <w:rsid w:val="00FB4DB7"/>
    <w:rsid w:val="00FB5DE3"/>
    <w:rsid w:val="00FB62A6"/>
    <w:rsid w:val="00FB6574"/>
    <w:rsid w:val="00FB68D2"/>
    <w:rsid w:val="00FB6970"/>
    <w:rsid w:val="00FB6BA6"/>
    <w:rsid w:val="00FB7CB2"/>
    <w:rsid w:val="00FB7DD5"/>
    <w:rsid w:val="00FC0D6D"/>
    <w:rsid w:val="00FC1274"/>
    <w:rsid w:val="00FC1653"/>
    <w:rsid w:val="00FC1682"/>
    <w:rsid w:val="00FC1687"/>
    <w:rsid w:val="00FC1BA9"/>
    <w:rsid w:val="00FC2354"/>
    <w:rsid w:val="00FC2437"/>
    <w:rsid w:val="00FC2ACC"/>
    <w:rsid w:val="00FC2FC0"/>
    <w:rsid w:val="00FC313A"/>
    <w:rsid w:val="00FC3225"/>
    <w:rsid w:val="00FC325E"/>
    <w:rsid w:val="00FC3452"/>
    <w:rsid w:val="00FC3461"/>
    <w:rsid w:val="00FC3BB3"/>
    <w:rsid w:val="00FC3E59"/>
    <w:rsid w:val="00FC40B4"/>
    <w:rsid w:val="00FC41D8"/>
    <w:rsid w:val="00FC43D7"/>
    <w:rsid w:val="00FC4896"/>
    <w:rsid w:val="00FC491B"/>
    <w:rsid w:val="00FC508F"/>
    <w:rsid w:val="00FC5A05"/>
    <w:rsid w:val="00FC5B30"/>
    <w:rsid w:val="00FC5E6E"/>
    <w:rsid w:val="00FC604B"/>
    <w:rsid w:val="00FC609E"/>
    <w:rsid w:val="00FC6A1F"/>
    <w:rsid w:val="00FC746A"/>
    <w:rsid w:val="00FC74F8"/>
    <w:rsid w:val="00FC794E"/>
    <w:rsid w:val="00FC7DC8"/>
    <w:rsid w:val="00FD0734"/>
    <w:rsid w:val="00FD0774"/>
    <w:rsid w:val="00FD0AE5"/>
    <w:rsid w:val="00FD0B88"/>
    <w:rsid w:val="00FD11C8"/>
    <w:rsid w:val="00FD1208"/>
    <w:rsid w:val="00FD132B"/>
    <w:rsid w:val="00FD19B2"/>
    <w:rsid w:val="00FD1F57"/>
    <w:rsid w:val="00FD23AE"/>
    <w:rsid w:val="00FD253F"/>
    <w:rsid w:val="00FD2683"/>
    <w:rsid w:val="00FD2C43"/>
    <w:rsid w:val="00FD326E"/>
    <w:rsid w:val="00FD339B"/>
    <w:rsid w:val="00FD33A4"/>
    <w:rsid w:val="00FD33D9"/>
    <w:rsid w:val="00FD3782"/>
    <w:rsid w:val="00FD3AAB"/>
    <w:rsid w:val="00FD4385"/>
    <w:rsid w:val="00FD4738"/>
    <w:rsid w:val="00FD4F66"/>
    <w:rsid w:val="00FD5281"/>
    <w:rsid w:val="00FD58C8"/>
    <w:rsid w:val="00FD5CD0"/>
    <w:rsid w:val="00FD5D5E"/>
    <w:rsid w:val="00FD5D84"/>
    <w:rsid w:val="00FD5E8D"/>
    <w:rsid w:val="00FD5FF8"/>
    <w:rsid w:val="00FD62DD"/>
    <w:rsid w:val="00FD68A4"/>
    <w:rsid w:val="00FD69C4"/>
    <w:rsid w:val="00FD6DBE"/>
    <w:rsid w:val="00FD713D"/>
    <w:rsid w:val="00FD72EA"/>
    <w:rsid w:val="00FD75AF"/>
    <w:rsid w:val="00FD77CA"/>
    <w:rsid w:val="00FD7A98"/>
    <w:rsid w:val="00FD7B8B"/>
    <w:rsid w:val="00FD7ECC"/>
    <w:rsid w:val="00FD7FD0"/>
    <w:rsid w:val="00FE01BB"/>
    <w:rsid w:val="00FE0915"/>
    <w:rsid w:val="00FE0B09"/>
    <w:rsid w:val="00FE0B9B"/>
    <w:rsid w:val="00FE1C63"/>
    <w:rsid w:val="00FE2164"/>
    <w:rsid w:val="00FE2227"/>
    <w:rsid w:val="00FE246E"/>
    <w:rsid w:val="00FE251C"/>
    <w:rsid w:val="00FE294B"/>
    <w:rsid w:val="00FE2EE7"/>
    <w:rsid w:val="00FE346B"/>
    <w:rsid w:val="00FE386F"/>
    <w:rsid w:val="00FE39B7"/>
    <w:rsid w:val="00FE3B67"/>
    <w:rsid w:val="00FE3C6B"/>
    <w:rsid w:val="00FE3E73"/>
    <w:rsid w:val="00FE4041"/>
    <w:rsid w:val="00FE4C34"/>
    <w:rsid w:val="00FE4EA1"/>
    <w:rsid w:val="00FE52DA"/>
    <w:rsid w:val="00FE58DC"/>
    <w:rsid w:val="00FE59A7"/>
    <w:rsid w:val="00FE5AE5"/>
    <w:rsid w:val="00FE5BEB"/>
    <w:rsid w:val="00FE627F"/>
    <w:rsid w:val="00FE62A6"/>
    <w:rsid w:val="00FE6603"/>
    <w:rsid w:val="00FE674E"/>
    <w:rsid w:val="00FE68D1"/>
    <w:rsid w:val="00FE6E25"/>
    <w:rsid w:val="00FE7767"/>
    <w:rsid w:val="00FE7D8B"/>
    <w:rsid w:val="00FF0190"/>
    <w:rsid w:val="00FF058E"/>
    <w:rsid w:val="00FF0751"/>
    <w:rsid w:val="00FF1127"/>
    <w:rsid w:val="00FF2696"/>
    <w:rsid w:val="00FF26EC"/>
    <w:rsid w:val="00FF2752"/>
    <w:rsid w:val="00FF2C49"/>
    <w:rsid w:val="00FF30B2"/>
    <w:rsid w:val="00FF3FE8"/>
    <w:rsid w:val="00FF4023"/>
    <w:rsid w:val="00FF4426"/>
    <w:rsid w:val="00FF4856"/>
    <w:rsid w:val="00FF4898"/>
    <w:rsid w:val="00FF4981"/>
    <w:rsid w:val="00FF49B6"/>
    <w:rsid w:val="00FF4B48"/>
    <w:rsid w:val="00FF4BD2"/>
    <w:rsid w:val="00FF4BEA"/>
    <w:rsid w:val="00FF4C52"/>
    <w:rsid w:val="00FF4DD3"/>
    <w:rsid w:val="00FF4EB7"/>
    <w:rsid w:val="00FF5004"/>
    <w:rsid w:val="00FF5256"/>
    <w:rsid w:val="00FF572B"/>
    <w:rsid w:val="00FF5BE6"/>
    <w:rsid w:val="00FF5CA5"/>
    <w:rsid w:val="00FF5F8B"/>
    <w:rsid w:val="00FF661F"/>
    <w:rsid w:val="00FF6788"/>
    <w:rsid w:val="00FF6859"/>
    <w:rsid w:val="00FF6868"/>
    <w:rsid w:val="00FF6C43"/>
    <w:rsid w:val="00FF6E8C"/>
    <w:rsid w:val="00FF7684"/>
    <w:rsid w:val="00FF799D"/>
    <w:rsid w:val="00FF7E6F"/>
    <w:rsid w:val="041F27B0"/>
    <w:rsid w:val="051045AA"/>
    <w:rsid w:val="06536144"/>
    <w:rsid w:val="06BC5DE1"/>
    <w:rsid w:val="076837C5"/>
    <w:rsid w:val="08AD21A4"/>
    <w:rsid w:val="08F34D48"/>
    <w:rsid w:val="0CC20B37"/>
    <w:rsid w:val="0D905B2F"/>
    <w:rsid w:val="0E973B1E"/>
    <w:rsid w:val="0EE2174D"/>
    <w:rsid w:val="0EE74408"/>
    <w:rsid w:val="10141308"/>
    <w:rsid w:val="107979B6"/>
    <w:rsid w:val="11AA2C79"/>
    <w:rsid w:val="11E818B2"/>
    <w:rsid w:val="12E23C53"/>
    <w:rsid w:val="16E8244E"/>
    <w:rsid w:val="190D02FE"/>
    <w:rsid w:val="19451369"/>
    <w:rsid w:val="19C27C79"/>
    <w:rsid w:val="19E14F43"/>
    <w:rsid w:val="1A3A5A3C"/>
    <w:rsid w:val="1CA229E4"/>
    <w:rsid w:val="1D7D6EA4"/>
    <w:rsid w:val="1E367734"/>
    <w:rsid w:val="1F7377EB"/>
    <w:rsid w:val="200B22A8"/>
    <w:rsid w:val="20547007"/>
    <w:rsid w:val="21515700"/>
    <w:rsid w:val="217448F6"/>
    <w:rsid w:val="2353790A"/>
    <w:rsid w:val="23BC2718"/>
    <w:rsid w:val="25466AA9"/>
    <w:rsid w:val="264E4D8C"/>
    <w:rsid w:val="27D64D2B"/>
    <w:rsid w:val="285C533A"/>
    <w:rsid w:val="288B5242"/>
    <w:rsid w:val="294F0915"/>
    <w:rsid w:val="297E0D50"/>
    <w:rsid w:val="29E154FE"/>
    <w:rsid w:val="2BCC2FC4"/>
    <w:rsid w:val="2DA63476"/>
    <w:rsid w:val="2E9E4754"/>
    <w:rsid w:val="2EC74E80"/>
    <w:rsid w:val="2F896546"/>
    <w:rsid w:val="30AE412A"/>
    <w:rsid w:val="31276A05"/>
    <w:rsid w:val="314C0B80"/>
    <w:rsid w:val="33A37849"/>
    <w:rsid w:val="33C3101C"/>
    <w:rsid w:val="34031F48"/>
    <w:rsid w:val="344C6B58"/>
    <w:rsid w:val="35061201"/>
    <w:rsid w:val="35572F19"/>
    <w:rsid w:val="355A2869"/>
    <w:rsid w:val="35772F40"/>
    <w:rsid w:val="369020B8"/>
    <w:rsid w:val="3A2E295F"/>
    <w:rsid w:val="3B357683"/>
    <w:rsid w:val="3DA23684"/>
    <w:rsid w:val="3DFD35B4"/>
    <w:rsid w:val="3E2631A9"/>
    <w:rsid w:val="3FBB7149"/>
    <w:rsid w:val="426617A7"/>
    <w:rsid w:val="429C7CD0"/>
    <w:rsid w:val="454F561A"/>
    <w:rsid w:val="463727E3"/>
    <w:rsid w:val="47DF5679"/>
    <w:rsid w:val="49B34CD0"/>
    <w:rsid w:val="4A8B4B78"/>
    <w:rsid w:val="4B2830E1"/>
    <w:rsid w:val="4BB841B6"/>
    <w:rsid w:val="4CD44420"/>
    <w:rsid w:val="4D1F6F4A"/>
    <w:rsid w:val="4D8B2D72"/>
    <w:rsid w:val="4D9F6FCC"/>
    <w:rsid w:val="4E2653D3"/>
    <w:rsid w:val="4EA543CC"/>
    <w:rsid w:val="4FAB7586"/>
    <w:rsid w:val="53674EA9"/>
    <w:rsid w:val="546A709F"/>
    <w:rsid w:val="55DE12B0"/>
    <w:rsid w:val="571537F4"/>
    <w:rsid w:val="577D59D2"/>
    <w:rsid w:val="59654D71"/>
    <w:rsid w:val="5A2F21D0"/>
    <w:rsid w:val="5C037D09"/>
    <w:rsid w:val="5C0A2DA0"/>
    <w:rsid w:val="5D6E076B"/>
    <w:rsid w:val="5F45107F"/>
    <w:rsid w:val="5FC605E8"/>
    <w:rsid w:val="60C47A19"/>
    <w:rsid w:val="61AE33E4"/>
    <w:rsid w:val="626F1473"/>
    <w:rsid w:val="63BA0740"/>
    <w:rsid w:val="63EE5B61"/>
    <w:rsid w:val="641954CC"/>
    <w:rsid w:val="64DC0EEC"/>
    <w:rsid w:val="656F25CA"/>
    <w:rsid w:val="67A63229"/>
    <w:rsid w:val="69515DE7"/>
    <w:rsid w:val="6B52302B"/>
    <w:rsid w:val="6BE56A79"/>
    <w:rsid w:val="6C1D191D"/>
    <w:rsid w:val="6CF176CC"/>
    <w:rsid w:val="6F64295C"/>
    <w:rsid w:val="6FEA7A22"/>
    <w:rsid w:val="70CC5376"/>
    <w:rsid w:val="70D70C99"/>
    <w:rsid w:val="72512582"/>
    <w:rsid w:val="72FB52FA"/>
    <w:rsid w:val="74202E01"/>
    <w:rsid w:val="74345173"/>
    <w:rsid w:val="74F80D31"/>
    <w:rsid w:val="753E1416"/>
    <w:rsid w:val="75E460F9"/>
    <w:rsid w:val="77071191"/>
    <w:rsid w:val="79051155"/>
    <w:rsid w:val="795316CB"/>
    <w:rsid w:val="7A131DB4"/>
    <w:rsid w:val="7C601055"/>
    <w:rsid w:val="7E0A2B9A"/>
    <w:rsid w:val="7E9D638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dashstyle="1 1" endarrow="block"/>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name="toc 2"/>
    <w:lsdException w:unhideWhenUsed="0" w:uiPriority="0" w:semiHidden="0" w:name="toc 3"/>
    <w:lsdException w:unhideWhenUsed="0" w:uiPriority="0" w:semiHidden="0" w:name="toc 4"/>
    <w:lsdException w:qFormat="1" w:unhideWhenUsed="0" w:uiPriority="0" w:name="toc 5"/>
    <w:lsdException w:unhideWhenUsed="0" w:uiPriority="0" w:semiHidden="0" w:name="toc 6"/>
    <w:lsdException w:qFormat="1" w:unhideWhenUsed="0" w:uiPriority="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iPriority="99" w:semiHidden="0" w:name="Block Text"/>
    <w:lsdException w:qFormat="1" w:unhideWhenUsed="0" w:uiPriority="0" w:semiHidden="0" w:name="Hyperlink"/>
    <w:lsdException w:qFormat="1" w:unhideWhenUsed="0" w:uiPriority="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98"/>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6"/>
    <w:qFormat/>
    <w:uiPriority w:val="0"/>
    <w:pPr>
      <w:keepNext/>
      <w:keepLines/>
      <w:spacing w:before="120" w:line="600" w:lineRule="exact"/>
      <w:ind w:right="181"/>
      <w:outlineLvl w:val="2"/>
    </w:pPr>
    <w:rPr>
      <w:b/>
      <w:sz w:val="32"/>
    </w:rPr>
  </w:style>
  <w:style w:type="paragraph" w:styleId="8">
    <w:name w:val="heading 4"/>
    <w:basedOn w:val="1"/>
    <w:next w:val="1"/>
    <w:qFormat/>
    <w:uiPriority w:val="0"/>
    <w:pPr>
      <w:keepNext/>
      <w:keepLines/>
      <w:tabs>
        <w:tab w:val="left" w:pos="2800"/>
      </w:tabs>
      <w:adjustRightInd w:val="0"/>
      <w:spacing w:before="60" w:line="360" w:lineRule="auto"/>
      <w:ind w:left="2800"/>
      <w:jc w:val="left"/>
      <w:textAlignment w:val="baseline"/>
      <w:outlineLvl w:val="3"/>
    </w:pPr>
    <w:rPr>
      <w:b/>
      <w:kern w:val="0"/>
      <w:sz w:val="28"/>
    </w:rPr>
  </w:style>
  <w:style w:type="paragraph" w:styleId="9">
    <w:name w:val="heading 5"/>
    <w:basedOn w:val="1"/>
    <w:next w:val="1"/>
    <w:qFormat/>
    <w:uiPriority w:val="0"/>
    <w:pPr>
      <w:keepNext/>
      <w:keepLines/>
      <w:tabs>
        <w:tab w:val="left" w:pos="2800"/>
      </w:tabs>
      <w:adjustRightInd w:val="0"/>
      <w:spacing w:line="360" w:lineRule="auto"/>
      <w:ind w:left="2800"/>
      <w:jc w:val="left"/>
      <w:textAlignment w:val="baseline"/>
      <w:outlineLvl w:val="4"/>
    </w:pPr>
    <w:rPr>
      <w:b/>
      <w:kern w:val="0"/>
      <w:sz w:val="28"/>
    </w:rPr>
  </w:style>
  <w:style w:type="paragraph" w:styleId="10">
    <w:name w:val="heading 6"/>
    <w:basedOn w:val="1"/>
    <w:next w:val="1"/>
    <w:qFormat/>
    <w:uiPriority w:val="0"/>
    <w:pPr>
      <w:keepNext/>
      <w:keepLines/>
      <w:tabs>
        <w:tab w:val="left" w:pos="2800"/>
      </w:tabs>
      <w:adjustRightInd w:val="0"/>
      <w:spacing w:before="240" w:after="64" w:line="320" w:lineRule="atLeast"/>
      <w:ind w:left="2800"/>
      <w:jc w:val="left"/>
      <w:textAlignment w:val="baseline"/>
      <w:outlineLvl w:val="5"/>
    </w:pPr>
    <w:rPr>
      <w:rFonts w:ascii="Arial" w:hAnsi="Arial" w:eastAsia="黑体"/>
      <w:b/>
      <w:kern w:val="0"/>
      <w:sz w:val="24"/>
    </w:rPr>
  </w:style>
  <w:style w:type="paragraph" w:styleId="11">
    <w:name w:val="heading 7"/>
    <w:basedOn w:val="1"/>
    <w:next w:val="1"/>
    <w:qFormat/>
    <w:uiPriority w:val="0"/>
    <w:pPr>
      <w:keepNext/>
      <w:keepLines/>
      <w:tabs>
        <w:tab w:val="left" w:pos="2800"/>
      </w:tabs>
      <w:adjustRightInd w:val="0"/>
      <w:spacing w:before="240" w:after="64" w:line="320" w:lineRule="atLeast"/>
      <w:ind w:left="2800"/>
      <w:jc w:val="left"/>
      <w:textAlignment w:val="baseline"/>
      <w:outlineLvl w:val="6"/>
    </w:pPr>
    <w:rPr>
      <w:b/>
      <w:kern w:val="0"/>
      <w:sz w:val="24"/>
    </w:rPr>
  </w:style>
  <w:style w:type="paragraph" w:styleId="12">
    <w:name w:val="heading 8"/>
    <w:basedOn w:val="1"/>
    <w:next w:val="1"/>
    <w:qFormat/>
    <w:uiPriority w:val="0"/>
    <w:pPr>
      <w:keepNext/>
      <w:keepLines/>
      <w:tabs>
        <w:tab w:val="left" w:pos="2800"/>
      </w:tabs>
      <w:adjustRightInd w:val="0"/>
      <w:spacing w:before="240" w:after="64" w:line="320" w:lineRule="atLeast"/>
      <w:ind w:left="2800"/>
      <w:jc w:val="left"/>
      <w:textAlignment w:val="baseline"/>
      <w:outlineLvl w:val="7"/>
    </w:pPr>
    <w:rPr>
      <w:rFonts w:ascii="Arial" w:hAnsi="Arial" w:eastAsia="黑体"/>
      <w:kern w:val="0"/>
      <w:sz w:val="24"/>
    </w:rPr>
  </w:style>
  <w:style w:type="paragraph" w:styleId="13">
    <w:name w:val="heading 9"/>
    <w:basedOn w:val="1"/>
    <w:next w:val="1"/>
    <w:qFormat/>
    <w:uiPriority w:val="0"/>
    <w:pPr>
      <w:keepNext/>
      <w:keepLines/>
      <w:tabs>
        <w:tab w:val="left" w:pos="2800"/>
      </w:tabs>
      <w:adjustRightInd w:val="0"/>
      <w:spacing w:before="240" w:after="64" w:line="320" w:lineRule="atLeast"/>
      <w:ind w:left="2800"/>
      <w:jc w:val="left"/>
      <w:textAlignment w:val="baseline"/>
      <w:outlineLvl w:val="8"/>
    </w:pPr>
    <w:rPr>
      <w:rFonts w:ascii="Arial" w:hAnsi="Arial" w:eastAsia="黑体"/>
      <w:kern w:val="0"/>
      <w:sz w:val="24"/>
    </w:rPr>
  </w:style>
  <w:style w:type="character" w:default="1" w:styleId="38">
    <w:name w:val="Default Paragraph Font"/>
    <w:semiHidden/>
    <w:qFormat/>
    <w:uiPriority w:val="0"/>
    <w:rPr>
      <w:rFonts w:ascii="Verdana" w:hAnsi="Verdana" w:eastAsia="MS Mincho" w:cs="Verdana"/>
      <w:kern w:val="0"/>
      <w:sz w:val="20"/>
      <w:lang w:eastAsia="en-US"/>
    </w:rPr>
  </w:style>
  <w:style w:type="table" w:default="1" w:styleId="36">
    <w:name w:val="Normal Table"/>
    <w:semiHidden/>
    <w:qFormat/>
    <w:uiPriority w:val="0"/>
    <w:tblPr>
      <w:tblCellMar>
        <w:top w:w="0" w:type="dxa"/>
        <w:left w:w="108" w:type="dxa"/>
        <w:bottom w:w="0" w:type="dxa"/>
        <w:right w:w="108" w:type="dxa"/>
      </w:tblCellMar>
    </w:tblPr>
  </w:style>
  <w:style w:type="paragraph" w:styleId="2">
    <w:name w:val="toc 2"/>
    <w:basedOn w:val="1"/>
    <w:next w:val="1"/>
    <w:semiHidden/>
    <w:qFormat/>
    <w:uiPriority w:val="0"/>
    <w:pPr>
      <w:ind w:left="420" w:leftChars="200"/>
    </w:pPr>
  </w:style>
  <w:style w:type="paragraph" w:styleId="6">
    <w:name w:val="Normal Indent"/>
    <w:basedOn w:val="1"/>
    <w:next w:val="7"/>
    <w:link w:val="107"/>
    <w:qFormat/>
    <w:uiPriority w:val="0"/>
    <w:pPr>
      <w:ind w:firstLine="420"/>
    </w:pPr>
  </w:style>
  <w:style w:type="paragraph" w:styleId="7">
    <w:name w:val="toc 1"/>
    <w:basedOn w:val="1"/>
    <w:next w:val="1"/>
    <w:qFormat/>
    <w:uiPriority w:val="0"/>
    <w:pPr>
      <w:spacing w:before="120" w:after="120"/>
      <w:jc w:val="left"/>
    </w:pPr>
    <w:rPr>
      <w:b/>
      <w:caps/>
      <w:sz w:val="20"/>
    </w:rPr>
  </w:style>
  <w:style w:type="paragraph" w:styleId="14">
    <w:name w:val="toc 7"/>
    <w:basedOn w:val="1"/>
    <w:next w:val="1"/>
    <w:semiHidden/>
    <w:qFormat/>
    <w:uiPriority w:val="0"/>
    <w:pPr>
      <w:ind w:left="2520" w:leftChars="1200"/>
    </w:pPr>
  </w:style>
  <w:style w:type="paragraph" w:styleId="15">
    <w:name w:val="caption"/>
    <w:basedOn w:val="1"/>
    <w:next w:val="1"/>
    <w:qFormat/>
    <w:uiPriority w:val="0"/>
    <w:pPr>
      <w:keepNext/>
      <w:tabs>
        <w:tab w:val="left" w:pos="2445"/>
        <w:tab w:val="center" w:pos="4156"/>
      </w:tabs>
      <w:spacing w:before="156" w:beforeLines="50"/>
      <w:jc w:val="center"/>
    </w:pPr>
    <w:rPr>
      <w:rFonts w:cs="Arial"/>
      <w:b/>
      <w:snapToGrid w:val="0"/>
      <w:sz w:val="24"/>
      <w:szCs w:val="24"/>
    </w:rPr>
  </w:style>
  <w:style w:type="paragraph" w:styleId="16">
    <w:name w:val="Document Map"/>
    <w:basedOn w:val="1"/>
    <w:semiHidden/>
    <w:qFormat/>
    <w:uiPriority w:val="0"/>
    <w:pPr>
      <w:shd w:val="clear" w:color="auto" w:fill="000080"/>
    </w:pPr>
    <w:rPr>
      <w:szCs w:val="24"/>
    </w:rPr>
  </w:style>
  <w:style w:type="paragraph" w:styleId="17">
    <w:name w:val="annotation text"/>
    <w:basedOn w:val="1"/>
    <w:link w:val="118"/>
    <w:semiHidden/>
    <w:qFormat/>
    <w:uiPriority w:val="0"/>
    <w:pPr>
      <w:jc w:val="left"/>
    </w:pPr>
  </w:style>
  <w:style w:type="paragraph" w:styleId="18">
    <w:name w:val="Body Text"/>
    <w:basedOn w:val="1"/>
    <w:qFormat/>
    <w:uiPriority w:val="0"/>
    <w:pPr>
      <w:spacing w:after="120"/>
    </w:pPr>
  </w:style>
  <w:style w:type="paragraph" w:styleId="19">
    <w:name w:val="Body Text Indent"/>
    <w:basedOn w:val="1"/>
    <w:qFormat/>
    <w:uiPriority w:val="0"/>
    <w:pPr>
      <w:spacing w:after="120"/>
      <w:ind w:left="420" w:leftChars="200"/>
    </w:pPr>
    <w:rPr>
      <w:szCs w:val="24"/>
    </w:rPr>
  </w:style>
  <w:style w:type="paragraph" w:styleId="20">
    <w:name w:val="List 2"/>
    <w:basedOn w:val="1"/>
    <w:qFormat/>
    <w:uiPriority w:val="0"/>
    <w:pPr>
      <w:ind w:left="100" w:leftChars="200" w:hanging="200" w:hangingChars="200"/>
    </w:pPr>
    <w:rPr>
      <w:szCs w:val="24"/>
    </w:rPr>
  </w:style>
  <w:style w:type="paragraph" w:styleId="21">
    <w:name w:val="Block Text"/>
    <w:basedOn w:val="1"/>
    <w:unhideWhenUsed/>
    <w:qFormat/>
    <w:uiPriority w:val="99"/>
    <w:pPr>
      <w:ind w:left="1440" w:leftChars="700" w:right="700" w:rightChars="700"/>
    </w:pPr>
    <w:rPr>
      <w:szCs w:val="24"/>
    </w:rPr>
  </w:style>
  <w:style w:type="paragraph" w:styleId="22">
    <w:name w:val="toc 5"/>
    <w:basedOn w:val="1"/>
    <w:next w:val="1"/>
    <w:semiHidden/>
    <w:qFormat/>
    <w:uiPriority w:val="0"/>
    <w:pPr>
      <w:spacing w:line="400" w:lineRule="exact"/>
      <w:jc w:val="center"/>
    </w:pPr>
    <w:rPr>
      <w:rFonts w:ascii="宋体" w:hAnsi="宋体" w:cs="方正仿宋_GBK"/>
      <w:b/>
      <w:color w:val="000000"/>
      <w:kern w:val="0"/>
      <w:sz w:val="24"/>
      <w:szCs w:val="24"/>
    </w:rPr>
  </w:style>
  <w:style w:type="paragraph" w:styleId="23">
    <w:name w:val="Plain Text"/>
    <w:basedOn w:val="1"/>
    <w:link w:val="102"/>
    <w:qFormat/>
    <w:uiPriority w:val="0"/>
    <w:rPr>
      <w:rFonts w:ascii="宋体" w:hAnsi="Courier New" w:cs="Courier New"/>
      <w:szCs w:val="21"/>
    </w:rPr>
  </w:style>
  <w:style w:type="paragraph" w:styleId="24">
    <w:name w:val="Date"/>
    <w:basedOn w:val="1"/>
    <w:next w:val="1"/>
    <w:link w:val="116"/>
    <w:qFormat/>
    <w:uiPriority w:val="0"/>
    <w:rPr>
      <w:rFonts w:ascii="仿宋_GB2312" w:eastAsia="仿宋_GB2312"/>
      <w:sz w:val="28"/>
    </w:rPr>
  </w:style>
  <w:style w:type="paragraph" w:styleId="25">
    <w:name w:val="Body Text Indent 2"/>
    <w:basedOn w:val="1"/>
    <w:qFormat/>
    <w:uiPriority w:val="0"/>
    <w:pPr>
      <w:suppressAutoHyphens/>
      <w:wordWrap w:val="0"/>
      <w:snapToGrid w:val="0"/>
      <w:spacing w:before="100" w:line="240" w:lineRule="atLeast"/>
      <w:ind w:firstLine="556"/>
    </w:pPr>
    <w:rPr>
      <w:kern w:val="0"/>
      <w:sz w:val="28"/>
    </w:rPr>
  </w:style>
  <w:style w:type="paragraph" w:styleId="26">
    <w:name w:val="Balloon Text"/>
    <w:basedOn w:val="1"/>
    <w:link w:val="101"/>
    <w:semiHidden/>
    <w:qFormat/>
    <w:uiPriority w:val="0"/>
    <w:rPr>
      <w:sz w:val="18"/>
      <w:szCs w:val="18"/>
    </w:rPr>
  </w:style>
  <w:style w:type="paragraph" w:styleId="27">
    <w:name w:val="footer"/>
    <w:basedOn w:val="1"/>
    <w:link w:val="104"/>
    <w:qFormat/>
    <w:uiPriority w:val="99"/>
    <w:pPr>
      <w:tabs>
        <w:tab w:val="center" w:pos="4153"/>
        <w:tab w:val="right" w:pos="8306"/>
      </w:tabs>
      <w:suppressAutoHyphens/>
      <w:wordWrap w:val="0"/>
      <w:snapToGrid w:val="0"/>
      <w:spacing w:line="240" w:lineRule="atLeast"/>
      <w:jc w:val="left"/>
    </w:pPr>
    <w:rPr>
      <w:spacing w:val="18"/>
      <w:kern w:val="0"/>
      <w:sz w:val="18"/>
    </w:rPr>
  </w:style>
  <w:style w:type="paragraph" w:styleId="28">
    <w:name w:val="header"/>
    <w:basedOn w:val="1"/>
    <w:link w:val="94"/>
    <w:qFormat/>
    <w:uiPriority w:val="0"/>
    <w:pPr>
      <w:pBdr>
        <w:bottom w:val="single" w:color="auto" w:sz="6" w:space="1"/>
      </w:pBdr>
      <w:tabs>
        <w:tab w:val="center" w:pos="4153"/>
        <w:tab w:val="right" w:pos="8306"/>
      </w:tabs>
      <w:snapToGrid w:val="0"/>
      <w:jc w:val="center"/>
    </w:pPr>
    <w:rPr>
      <w:sz w:val="18"/>
      <w:szCs w:val="18"/>
    </w:rPr>
  </w:style>
  <w:style w:type="paragraph" w:styleId="29">
    <w:name w:val="Body Text Indent 3"/>
    <w:basedOn w:val="1"/>
    <w:qFormat/>
    <w:uiPriority w:val="0"/>
    <w:pPr>
      <w:spacing w:after="120"/>
      <w:ind w:left="420" w:leftChars="200"/>
    </w:pPr>
    <w:rPr>
      <w:sz w:val="16"/>
      <w:szCs w:val="16"/>
    </w:rPr>
  </w:style>
  <w:style w:type="paragraph" w:styleId="30">
    <w:name w:val="table of figures"/>
    <w:basedOn w:val="1"/>
    <w:next w:val="1"/>
    <w:semiHidden/>
    <w:qFormat/>
    <w:uiPriority w:val="0"/>
    <w:pPr>
      <w:spacing w:line="500" w:lineRule="exact"/>
      <w:jc w:val="center"/>
    </w:pPr>
    <w:rPr>
      <w:rFonts w:ascii="仿宋_GB2312" w:eastAsia="仿宋_GB2312"/>
      <w:sz w:val="28"/>
      <w:szCs w:val="24"/>
    </w:rPr>
  </w:style>
  <w:style w:type="paragraph" w:styleId="31">
    <w:name w:val="Body Text 2"/>
    <w:basedOn w:val="1"/>
    <w:qFormat/>
    <w:uiPriority w:val="0"/>
    <w:pPr>
      <w:spacing w:after="120" w:line="480" w:lineRule="auto"/>
    </w:pPr>
  </w:style>
  <w:style w:type="paragraph" w:styleId="32">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33">
    <w:name w:val="Normal (Web)"/>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styleId="34">
    <w:name w:val="annotation subject"/>
    <w:basedOn w:val="17"/>
    <w:next w:val="17"/>
    <w:semiHidden/>
    <w:qFormat/>
    <w:uiPriority w:val="0"/>
    <w:rPr>
      <w:b/>
      <w:bCs/>
    </w:rPr>
  </w:style>
  <w:style w:type="paragraph" w:styleId="35">
    <w:name w:val="Body Text First Indent 2"/>
    <w:basedOn w:val="1"/>
    <w:qFormat/>
    <w:uiPriority w:val="0"/>
    <w:pPr>
      <w:ind w:firstLine="420" w:firstLineChars="200"/>
    </w:pPr>
    <w:rPr>
      <w:lang w:val="en-US" w:eastAsia="zh-CN"/>
    </w:rPr>
  </w:style>
  <w:style w:type="table" w:styleId="37">
    <w:name w:val="Table Grid"/>
    <w:basedOn w:val="3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0"/>
    <w:rPr>
      <w:b/>
      <w:bCs/>
    </w:rPr>
  </w:style>
  <w:style w:type="character" w:styleId="40">
    <w:name w:val="page number"/>
    <w:basedOn w:val="38"/>
    <w:qFormat/>
    <w:uiPriority w:val="0"/>
  </w:style>
  <w:style w:type="character" w:styleId="41">
    <w:name w:val="FollowedHyperlink"/>
    <w:basedOn w:val="38"/>
    <w:semiHidden/>
    <w:qFormat/>
    <w:uiPriority w:val="0"/>
    <w:rPr>
      <w:color w:val="800080"/>
      <w:u w:val="single"/>
    </w:rPr>
  </w:style>
  <w:style w:type="character" w:styleId="42">
    <w:name w:val="Hyperlink"/>
    <w:basedOn w:val="38"/>
    <w:qFormat/>
    <w:uiPriority w:val="0"/>
    <w:rPr>
      <w:color w:val="0000FF"/>
      <w:u w:val="single"/>
    </w:rPr>
  </w:style>
  <w:style w:type="character" w:styleId="43">
    <w:name w:val="annotation reference"/>
    <w:basedOn w:val="38"/>
    <w:semiHidden/>
    <w:qFormat/>
    <w:uiPriority w:val="0"/>
    <w:rPr>
      <w:sz w:val="21"/>
      <w:szCs w:val="21"/>
    </w:rPr>
  </w:style>
  <w:style w:type="paragraph" w:customStyle="1" w:styleId="44">
    <w:name w:val="中文报告书"/>
    <w:basedOn w:val="1"/>
    <w:qFormat/>
    <w:uiPriority w:val="0"/>
    <w:pPr>
      <w:widowControl/>
      <w:adjustRightInd w:val="0"/>
      <w:spacing w:after="80" w:line="420" w:lineRule="atLeast"/>
      <w:jc w:val="left"/>
      <w:textAlignment w:val="baseline"/>
    </w:pPr>
    <w:rPr>
      <w:rFonts w:ascii="Calibri" w:hAnsi="Calibri"/>
      <w:kern w:val="0"/>
      <w:sz w:val="24"/>
      <w:lang w:eastAsia="en-US" w:bidi="en-US"/>
    </w:rPr>
  </w:style>
  <w:style w:type="paragraph" w:customStyle="1" w:styleId="45">
    <w:name w:val="四号 正文"/>
    <w:basedOn w:val="1"/>
    <w:link w:val="96"/>
    <w:qFormat/>
    <w:uiPriority w:val="0"/>
    <w:pPr>
      <w:ind w:firstLine="584" w:firstLineChars="200"/>
    </w:pPr>
    <w:rPr>
      <w:rFonts w:cs="宋体"/>
      <w:spacing w:val="6"/>
      <w:sz w:val="28"/>
    </w:rPr>
  </w:style>
  <w:style w:type="paragraph" w:customStyle="1" w:styleId="46">
    <w:name w:val="样式1"/>
    <w:basedOn w:val="47"/>
    <w:qFormat/>
    <w:uiPriority w:val="0"/>
    <w:pPr>
      <w:ind w:firstLine="0"/>
    </w:pPr>
  </w:style>
  <w:style w:type="paragraph" w:customStyle="1" w:styleId="47">
    <w:name w:val="正文2"/>
    <w:qFormat/>
    <w:uiPriority w:val="0"/>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48">
    <w:name w:val="表格内容"/>
    <w:basedOn w:val="1"/>
    <w:qFormat/>
    <w:uiPriority w:val="0"/>
    <w:pPr>
      <w:spacing w:line="320" w:lineRule="exact"/>
      <w:jc w:val="center"/>
    </w:pPr>
    <w:rPr>
      <w:rFonts w:eastAsia="楷体_GB2312"/>
      <w:spacing w:val="10"/>
      <w:sz w:val="28"/>
    </w:rPr>
  </w:style>
  <w:style w:type="paragraph" w:customStyle="1" w:styleId="49">
    <w:name w:val="默认段落字体 Para Char Char Char Char Char Char Char"/>
    <w:basedOn w:val="1"/>
    <w:qFormat/>
    <w:uiPriority w:val="0"/>
    <w:pPr>
      <w:adjustRightInd w:val="0"/>
      <w:spacing w:line="360" w:lineRule="auto"/>
      <w:textAlignment w:val="baseline"/>
    </w:pPr>
    <w:rPr>
      <w:kern w:val="0"/>
      <w:sz w:val="24"/>
    </w:rPr>
  </w:style>
  <w:style w:type="paragraph" w:customStyle="1" w:styleId="50">
    <w:name w:val="1"/>
    <w:basedOn w:val="1"/>
    <w:next w:val="51"/>
    <w:qFormat/>
    <w:uiPriority w:val="0"/>
    <w:pPr>
      <w:spacing w:line="360" w:lineRule="auto"/>
      <w:ind w:firstLine="480" w:firstLineChars="200"/>
    </w:pPr>
    <w:rPr>
      <w:rFonts w:ascii="仿宋_GB2312" w:eastAsia="仿宋_GB2312"/>
      <w:sz w:val="24"/>
    </w:rPr>
  </w:style>
  <w:style w:type="paragraph" w:customStyle="1" w:styleId="51">
    <w:name w:val="正文缩进1"/>
    <w:basedOn w:val="1"/>
    <w:next w:val="7"/>
    <w:qFormat/>
    <w:uiPriority w:val="0"/>
    <w:pPr>
      <w:ind w:firstLine="420"/>
    </w:pPr>
    <w:rPr>
      <w:rFonts w:eastAsia="仿宋_GB2312"/>
      <w:sz w:val="28"/>
      <w:szCs w:val="20"/>
    </w:rPr>
  </w:style>
  <w:style w:type="paragraph" w:customStyle="1" w:styleId="52">
    <w:name w:val="样式 标题 2 + 左侧:  0 厘米 首行缩进:  0 厘米"/>
    <w:basedOn w:val="4"/>
    <w:qFormat/>
    <w:uiPriority w:val="0"/>
    <w:pPr>
      <w:numPr>
        <w:ilvl w:val="0"/>
        <w:numId w:val="0"/>
      </w:numPr>
      <w:tabs>
        <w:tab w:val="left" w:pos="777"/>
      </w:tabs>
      <w:spacing w:before="120" w:after="120" w:line="480" w:lineRule="exact"/>
      <w:ind w:left="777" w:hanging="567"/>
    </w:pPr>
    <w:rPr>
      <w:rFonts w:ascii="Times New Roman" w:hAnsi="Times New Roman" w:eastAsia="宋体" w:cs="宋体"/>
      <w:b w:val="0"/>
      <w:bCs w:val="0"/>
      <w:sz w:val="24"/>
      <w:szCs w:val="20"/>
    </w:rPr>
  </w:style>
  <w:style w:type="paragraph" w:customStyle="1" w:styleId="53">
    <w:name w:val="标题1"/>
    <w:basedOn w:val="1"/>
    <w:qFormat/>
    <w:uiPriority w:val="0"/>
    <w:pPr>
      <w:spacing w:line="360" w:lineRule="auto"/>
    </w:pPr>
    <w:rPr>
      <w:rFonts w:eastAsia="黑体" w:cs="宋体"/>
      <w:kern w:val="0"/>
      <w:sz w:val="24"/>
    </w:rPr>
  </w:style>
  <w:style w:type="paragraph" w:customStyle="1" w:styleId="54">
    <w:name w:val="段落"/>
    <w:basedOn w:val="23"/>
    <w:link w:val="117"/>
    <w:qFormat/>
    <w:uiPriority w:val="0"/>
    <w:pPr>
      <w:spacing w:line="460" w:lineRule="exact"/>
      <w:ind w:firstLine="602"/>
    </w:pPr>
    <w:rPr>
      <w:rFonts w:ascii="Times New Roman" w:hAnsi="Times New Roman" w:cs="Times New Roman"/>
      <w:sz w:val="28"/>
      <w:szCs w:val="20"/>
    </w:rPr>
  </w:style>
  <w:style w:type="paragraph" w:customStyle="1" w:styleId="55">
    <w:name w:val="图图"/>
    <w:basedOn w:val="1"/>
    <w:qFormat/>
    <w:uiPriority w:val="0"/>
    <w:pPr>
      <w:jc w:val="center"/>
    </w:pPr>
    <w:rPr>
      <w:rFonts w:ascii="Calibri" w:hAnsi="Calibri"/>
      <w:szCs w:val="22"/>
    </w:rPr>
  </w:style>
  <w:style w:type="paragraph" w:customStyle="1" w:styleId="56">
    <w:name w:val="其他"/>
    <w:basedOn w:val="57"/>
    <w:link w:val="99"/>
    <w:qFormat/>
    <w:uiPriority w:val="0"/>
    <w:pPr>
      <w:tabs>
        <w:tab w:val="center" w:pos="4153"/>
        <w:tab w:val="right" w:pos="8306"/>
      </w:tabs>
      <w:jc w:val="left"/>
    </w:pPr>
  </w:style>
  <w:style w:type="paragraph" w:customStyle="1" w:styleId="57">
    <w:name w:val="表格"/>
    <w:basedOn w:val="6"/>
    <w:next w:val="1"/>
    <w:link w:val="100"/>
    <w:qFormat/>
    <w:uiPriority w:val="0"/>
    <w:pPr>
      <w:jc w:val="center"/>
    </w:pPr>
    <w:rPr>
      <w:szCs w:val="24"/>
    </w:rPr>
  </w:style>
  <w:style w:type="paragraph" w:customStyle="1" w:styleId="58">
    <w:name w:val="中文报告书样式"/>
    <w:basedOn w:val="1"/>
    <w:qFormat/>
    <w:uiPriority w:val="0"/>
    <w:pPr>
      <w:adjustRightInd w:val="0"/>
      <w:spacing w:line="480" w:lineRule="atLeast"/>
      <w:ind w:firstLine="482"/>
      <w:textAlignment w:val="baseline"/>
    </w:pPr>
    <w:rPr>
      <w:kern w:val="24"/>
      <w:sz w:val="24"/>
    </w:rPr>
  </w:style>
  <w:style w:type="paragraph" w:customStyle="1" w:styleId="59">
    <w:name w:val="正文文本1"/>
    <w:basedOn w:val="1"/>
    <w:qFormat/>
    <w:uiPriority w:val="0"/>
    <w:pPr>
      <w:shd w:val="clear" w:color="auto" w:fill="FFFFFF"/>
      <w:spacing w:line="480" w:lineRule="exact"/>
      <w:ind w:firstLine="422" w:firstLineChars="200"/>
      <w:jc w:val="distribute"/>
    </w:pPr>
    <w:rPr>
      <w:rFonts w:ascii="Arial Unicode MS" w:hAnsi="Arial Unicode MS" w:eastAsia="Arial Unicode MS" w:cs="Arial Unicode MS"/>
      <w:sz w:val="23"/>
      <w:szCs w:val="23"/>
    </w:rPr>
  </w:style>
  <w:style w:type="paragraph" w:customStyle="1" w:styleId="60">
    <w:name w:val="Date1"/>
    <w:basedOn w:val="1"/>
    <w:next w:val="1"/>
    <w:qFormat/>
    <w:uiPriority w:val="0"/>
    <w:pPr>
      <w:adjustRightInd w:val="0"/>
      <w:textAlignment w:val="baseline"/>
    </w:pPr>
  </w:style>
  <w:style w:type="paragraph" w:customStyle="1" w:styleId="61">
    <w:name w:val=" Char Char1 Char Char Char Char Char Char Char Char Char Char Char Char Char Char Char Char Char Char Char Char1 Char"/>
    <w:basedOn w:val="1"/>
    <w:qFormat/>
    <w:uiPriority w:val="0"/>
    <w:pPr>
      <w:spacing w:line="360" w:lineRule="auto"/>
      <w:ind w:firstLine="200" w:firstLineChars="200"/>
    </w:pPr>
    <w:rPr>
      <w:kern w:val="0"/>
      <w:sz w:val="24"/>
    </w:rPr>
  </w:style>
  <w:style w:type="paragraph" w:customStyle="1" w:styleId="62">
    <w:name w:val="样式 标题 2 + (西文) Times New Roman (中文) 宋体 段前: 6 磅 段后: 6 磅 行距: 1..."/>
    <w:basedOn w:val="4"/>
    <w:qFormat/>
    <w:uiPriority w:val="0"/>
    <w:pPr>
      <w:spacing w:before="0" w:after="0" w:line="360" w:lineRule="auto"/>
    </w:pPr>
    <w:rPr>
      <w:rFonts w:ascii="Times New Roman" w:hAnsi="Times New Roman" w:eastAsia="宋体"/>
      <w:b w:val="0"/>
      <w:sz w:val="24"/>
      <w:szCs w:val="24"/>
    </w:rPr>
  </w:style>
  <w:style w:type="paragraph" w:customStyle="1" w:styleId="63">
    <w:name w:val="纯文本1"/>
    <w:basedOn w:val="1"/>
    <w:qFormat/>
    <w:uiPriority w:val="0"/>
    <w:rPr>
      <w:rFonts w:ascii="宋体" w:hAnsi="Courier New" w:cs="Courier New"/>
      <w:szCs w:val="21"/>
    </w:rPr>
  </w:style>
  <w:style w:type="paragraph" w:customStyle="1" w:styleId="64">
    <w:name w:val="样式 样式 标题 2 + 段前: 0.5 行 段后: 0.5 行 + 段前: 0.5 行 段后: 0.5 行"/>
    <w:basedOn w:val="1"/>
    <w:qFormat/>
    <w:uiPriority w:val="0"/>
    <w:pPr>
      <w:spacing w:beforeLines="50" w:afterLines="50"/>
      <w:jc w:val="center"/>
      <w:outlineLvl w:val="1"/>
    </w:pPr>
    <w:rPr>
      <w:rFonts w:ascii="Arial" w:hAnsi="Arial" w:cs="宋体"/>
      <w:b/>
      <w:bCs/>
      <w:sz w:val="32"/>
    </w:rPr>
  </w:style>
  <w:style w:type="paragraph" w:customStyle="1" w:styleId="65">
    <w:name w:val="报告书表格"/>
    <w:basedOn w:val="1"/>
    <w:qFormat/>
    <w:uiPriority w:val="0"/>
    <w:pPr>
      <w:adjustRightInd w:val="0"/>
      <w:spacing w:before="60" w:after="60" w:line="240" w:lineRule="atLeast"/>
      <w:jc w:val="center"/>
      <w:textAlignment w:val="baseline"/>
    </w:pPr>
    <w:rPr>
      <w:kern w:val="0"/>
    </w:rPr>
  </w:style>
  <w:style w:type="paragraph" w:customStyle="1" w:styleId="66">
    <w:name w:val="样式 样式 样式 样式 Arial 小四 行距: 1.5 倍行距 + 首行缩进:  2 字符 + 首行缩进:  2 字符 + 宋体"/>
    <w:basedOn w:val="1"/>
    <w:link w:val="119"/>
    <w:qFormat/>
    <w:uiPriority w:val="0"/>
    <w:pPr>
      <w:spacing w:line="440" w:lineRule="exact"/>
      <w:ind w:firstLine="200" w:firstLineChars="200"/>
    </w:pPr>
    <w:rPr>
      <w:rFonts w:ascii="Arial" w:hAnsi="Arial" w:cs="宋体"/>
      <w:sz w:val="24"/>
      <w:szCs w:val="24"/>
    </w:rPr>
  </w:style>
  <w:style w:type="paragraph" w:customStyle="1" w:styleId="67">
    <w:name w:val="样式 正文 + 首行缩进:  2 字符"/>
    <w:basedOn w:val="68"/>
    <w:semiHidden/>
    <w:qFormat/>
    <w:uiPriority w:val="0"/>
    <w:pPr>
      <w:spacing w:line="480" w:lineRule="exact"/>
      <w:jc w:val="both"/>
    </w:pPr>
    <w:rPr>
      <w:rFonts w:cs="宋体"/>
      <w:szCs w:val="20"/>
    </w:rPr>
  </w:style>
  <w:style w:type="paragraph" w:customStyle="1" w:styleId="68">
    <w:name w:val="正文3"/>
    <w:semiHidden/>
    <w:qFormat/>
    <w:uiPriority w:val="0"/>
    <w:pPr>
      <w:autoSpaceDE w:val="0"/>
      <w:autoSpaceDN w:val="0"/>
      <w:adjustRightInd w:val="0"/>
      <w:snapToGrid w:val="0"/>
      <w:spacing w:line="360" w:lineRule="auto"/>
      <w:ind w:firstLine="200" w:firstLineChars="200"/>
    </w:pPr>
    <w:rPr>
      <w:rFonts w:ascii="Times New Roman" w:hAnsi="Times New Roman" w:eastAsia="宋体" w:cs="Times New Roman"/>
      <w:sz w:val="24"/>
      <w:szCs w:val="24"/>
      <w:lang w:val="en-US" w:eastAsia="zh-CN" w:bidi="ar-SA"/>
    </w:rPr>
  </w:style>
  <w:style w:type="paragraph" w:customStyle="1" w:styleId="69">
    <w:name w:val="默认段落字体 Para Char"/>
    <w:basedOn w:val="1"/>
    <w:qFormat/>
    <w:uiPriority w:val="0"/>
  </w:style>
  <w:style w:type="paragraph" w:customStyle="1" w:styleId="70">
    <w:name w:val="报告书正文"/>
    <w:basedOn w:val="25"/>
    <w:link w:val="110"/>
    <w:qFormat/>
    <w:uiPriority w:val="0"/>
    <w:pPr>
      <w:tabs>
        <w:tab w:val="left" w:pos="6300"/>
      </w:tabs>
      <w:suppressAutoHyphens w:val="0"/>
      <w:wordWrap/>
      <w:adjustRightInd w:val="0"/>
      <w:spacing w:before="0" w:line="360" w:lineRule="auto"/>
      <w:ind w:firstLine="480" w:firstLineChars="200"/>
    </w:pPr>
    <w:rPr>
      <w:b/>
      <w:kern w:val="2"/>
      <w:sz w:val="24"/>
      <w:szCs w:val="24"/>
    </w:rPr>
  </w:style>
  <w:style w:type="paragraph" w:customStyle="1" w:styleId="71">
    <w:name w:val=" Char Char Char Char Char Char Char Char Char Char Char Char Char Char Char Char"/>
    <w:basedOn w:val="1"/>
    <w:qFormat/>
    <w:uiPriority w:val="0"/>
    <w:rPr>
      <w:szCs w:val="24"/>
    </w:rPr>
  </w:style>
  <w:style w:type="paragraph" w:customStyle="1" w:styleId="72">
    <w:name w:val=" Char Char Char Char Char Char1 Char Char Char Char Char Char Char Char Char Char Char Char Char"/>
    <w:basedOn w:val="1"/>
    <w:qFormat/>
    <w:uiPriority w:val="0"/>
    <w:rPr>
      <w:szCs w:val="24"/>
    </w:rPr>
  </w:style>
  <w:style w:type="paragraph" w:customStyle="1" w:styleId="73">
    <w:name w:val="正文1"/>
    <w:qFormat/>
    <w:uiPriority w:val="0"/>
    <w:pPr>
      <w:widowControl w:val="0"/>
      <w:suppressAutoHyphens/>
      <w:spacing w:line="520" w:lineRule="atLeast"/>
      <w:ind w:firstLine="680"/>
      <w:jc w:val="both"/>
    </w:pPr>
    <w:rPr>
      <w:rFonts w:ascii="Times New Roman" w:hAnsi="Times New Roman" w:eastAsia="方正楷体简体" w:cs="Times New Roman"/>
      <w:spacing w:val="18"/>
      <w:sz w:val="32"/>
      <w:lang w:val="en-US" w:eastAsia="zh-CN" w:bidi="ar-SA"/>
    </w:rPr>
  </w:style>
  <w:style w:type="paragraph" w:customStyle="1" w:styleId="74">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75">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6">
    <w:name w:val="表"/>
    <w:basedOn w:val="1"/>
    <w:qFormat/>
    <w:uiPriority w:val="0"/>
    <w:pPr>
      <w:snapToGrid w:val="0"/>
      <w:jc w:val="center"/>
    </w:pPr>
    <w:rPr>
      <w:spacing w:val="2"/>
    </w:rPr>
  </w:style>
  <w:style w:type="paragraph" w:customStyle="1" w:styleId="77">
    <w:name w:val="默认段落字体 Para Char Char Char Char"/>
    <w:basedOn w:val="1"/>
    <w:qFormat/>
    <w:uiPriority w:val="0"/>
    <w:rPr>
      <w:sz w:val="24"/>
      <w:szCs w:val="24"/>
    </w:rPr>
  </w:style>
  <w:style w:type="paragraph" w:customStyle="1" w:styleId="78">
    <w:name w:val="样式 样式 标题2 +"/>
    <w:basedOn w:val="1"/>
    <w:link w:val="114"/>
    <w:qFormat/>
    <w:uiPriority w:val="0"/>
    <w:pPr>
      <w:keepNext/>
      <w:keepLines/>
      <w:tabs>
        <w:tab w:val="left" w:pos="1322"/>
      </w:tabs>
      <w:adjustRightInd w:val="0"/>
      <w:spacing w:line="360" w:lineRule="auto"/>
      <w:ind w:hanging="420"/>
      <w:jc w:val="left"/>
      <w:textAlignment w:val="baseline"/>
      <w:outlineLvl w:val="1"/>
    </w:pPr>
    <w:rPr>
      <w:rFonts w:cs="宋体"/>
      <w:b/>
      <w:bCs/>
      <w:sz w:val="28"/>
    </w:rPr>
  </w:style>
  <w:style w:type="paragraph" w:customStyle="1" w:styleId="79">
    <w:name w:val="小四表文左齐"/>
    <w:basedOn w:val="1"/>
    <w:qFormat/>
    <w:uiPriority w:val="0"/>
    <w:pPr>
      <w:adjustRightInd w:val="0"/>
      <w:snapToGrid w:val="0"/>
      <w:jc w:val="center"/>
    </w:pPr>
    <w:rPr>
      <w:rFonts w:ascii="宋体" w:hAnsi="宋体"/>
      <w:szCs w:val="24"/>
    </w:rPr>
  </w:style>
  <w:style w:type="paragraph" w:customStyle="1" w:styleId="80">
    <w:name w:val="正文小四"/>
    <w:qFormat/>
    <w:uiPriority w:val="0"/>
    <w:pPr>
      <w:spacing w:line="360" w:lineRule="auto"/>
      <w:ind w:firstLine="200" w:firstLineChars="200"/>
    </w:pPr>
    <w:rPr>
      <w:rFonts w:ascii="Times New Roman" w:hAnsi="Times New Roman" w:eastAsia="宋体" w:cs="Times New Roman"/>
      <w:kern w:val="2"/>
      <w:sz w:val="24"/>
      <w:lang w:val="en-US" w:eastAsia="zh-CN" w:bidi="ar-SA"/>
    </w:rPr>
  </w:style>
  <w:style w:type="paragraph" w:customStyle="1" w:styleId="81">
    <w:name w:val="报告正文"/>
    <w:basedOn w:val="1"/>
    <w:link w:val="97"/>
    <w:qFormat/>
    <w:uiPriority w:val="0"/>
    <w:pPr>
      <w:spacing w:line="360" w:lineRule="auto"/>
      <w:ind w:firstLine="480" w:firstLineChars="200"/>
      <w:jc w:val="left"/>
    </w:pPr>
    <w:rPr>
      <w:sz w:val="24"/>
      <w:szCs w:val="24"/>
    </w:rPr>
  </w:style>
  <w:style w:type="paragraph" w:customStyle="1" w:styleId="82">
    <w:name w:val="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MS Mincho" w:cs="Verdana"/>
      <w:kern w:val="0"/>
      <w:sz w:val="20"/>
      <w:lang w:eastAsia="en-US"/>
    </w:rPr>
  </w:style>
  <w:style w:type="paragraph" w:customStyle="1" w:styleId="83">
    <w:name w:val="xl31"/>
    <w:basedOn w:val="1"/>
    <w:qFormat/>
    <w:uiPriority w:val="0"/>
    <w:pPr>
      <w:widowControl/>
      <w:spacing w:before="100" w:beforeAutospacing="1" w:after="100" w:afterAutospacing="1"/>
      <w:jc w:val="center"/>
    </w:pPr>
    <w:rPr>
      <w:kern w:val="0"/>
      <w:sz w:val="24"/>
      <w:szCs w:val="24"/>
    </w:rPr>
  </w:style>
  <w:style w:type="paragraph" w:customStyle="1" w:styleId="84">
    <w:name w:val="样式 四号 首行缩进:  2 字符"/>
    <w:basedOn w:val="1"/>
    <w:semiHidden/>
    <w:qFormat/>
    <w:uiPriority w:val="0"/>
    <w:pPr>
      <w:spacing w:line="480" w:lineRule="atLeast"/>
      <w:ind w:firstLine="200" w:firstLineChars="200"/>
    </w:pPr>
    <w:rPr>
      <w:sz w:val="24"/>
      <w:szCs w:val="21"/>
    </w:rPr>
  </w:style>
  <w:style w:type="paragraph" w:customStyle="1" w:styleId="85">
    <w:name w:val="标题4"/>
    <w:basedOn w:val="1"/>
    <w:link w:val="105"/>
    <w:qFormat/>
    <w:uiPriority w:val="0"/>
    <w:pPr>
      <w:tabs>
        <w:tab w:val="left" w:pos="1680"/>
      </w:tabs>
      <w:spacing w:line="360" w:lineRule="auto"/>
      <w:ind w:left="1680" w:hanging="420"/>
      <w:jc w:val="left"/>
      <w:outlineLvl w:val="3"/>
    </w:pPr>
    <w:rPr>
      <w:b/>
      <w:sz w:val="24"/>
      <w:szCs w:val="24"/>
    </w:rPr>
  </w:style>
  <w:style w:type="paragraph" w:customStyle="1" w:styleId="86">
    <w:name w:val="样式 首行缩进:  2 字符1"/>
    <w:basedOn w:val="1"/>
    <w:qFormat/>
    <w:uiPriority w:val="0"/>
    <w:pPr>
      <w:ind w:firstLine="624" w:firstLineChars="200"/>
    </w:pPr>
    <w:rPr>
      <w:rFonts w:eastAsia="仿宋_GB2312" w:cs="宋体"/>
      <w:spacing w:val="6"/>
      <w:sz w:val="30"/>
    </w:rPr>
  </w:style>
  <w:style w:type="paragraph" w:customStyle="1" w:styleId="87">
    <w:name w:val="Char Char Char Char Char Char1 Char"/>
    <w:basedOn w:val="1"/>
    <w:qFormat/>
    <w:uiPriority w:val="0"/>
    <w:pPr>
      <w:widowControl/>
      <w:spacing w:after="160" w:line="240" w:lineRule="exact"/>
      <w:jc w:val="left"/>
    </w:pPr>
  </w:style>
  <w:style w:type="paragraph" w:customStyle="1" w:styleId="88">
    <w:name w:val=" Char Char Char Char Char Char Char Char Char Char Char Char Char Char Char Char Char Char Char"/>
    <w:basedOn w:val="1"/>
    <w:qFormat/>
    <w:uiPriority w:val="0"/>
    <w:rPr>
      <w:sz w:val="24"/>
      <w:szCs w:val="24"/>
    </w:rPr>
  </w:style>
  <w:style w:type="paragraph" w:customStyle="1" w:styleId="89">
    <w:name w:val="表标题"/>
    <w:basedOn w:val="1"/>
    <w:link w:val="109"/>
    <w:qFormat/>
    <w:uiPriority w:val="0"/>
    <w:pPr>
      <w:spacing w:line="360" w:lineRule="auto"/>
      <w:ind w:firstLine="200" w:firstLineChars="200"/>
      <w:jc w:val="center"/>
    </w:pPr>
    <w:rPr>
      <w:b/>
      <w:sz w:val="24"/>
      <w:szCs w:val="24"/>
    </w:rPr>
  </w:style>
  <w:style w:type="paragraph" w:customStyle="1" w:styleId="90">
    <w:name w:val="Char"/>
    <w:basedOn w:val="1"/>
    <w:qFormat/>
    <w:uiPriority w:val="0"/>
    <w:rPr>
      <w:szCs w:val="24"/>
    </w:rPr>
  </w:style>
  <w:style w:type="paragraph" w:customStyle="1" w:styleId="91">
    <w:name w:val="正文1122"/>
    <w:link w:val="115"/>
    <w:qFormat/>
    <w:uiPriority w:val="0"/>
    <w:pPr>
      <w:spacing w:line="360" w:lineRule="auto"/>
      <w:ind w:left="-4" w:leftChars="-2" w:firstLine="480" w:firstLineChars="200"/>
      <w:jc w:val="both"/>
    </w:pPr>
    <w:rPr>
      <w:rFonts w:ascii="宋体" w:hAnsi="宋体" w:eastAsia="宋体" w:cs="Times New Roman"/>
      <w:kern w:val="2"/>
      <w:sz w:val="24"/>
      <w:lang w:val="en-US" w:eastAsia="zh-CN" w:bidi="ar-SA"/>
    </w:rPr>
  </w:style>
  <w:style w:type="paragraph" w:customStyle="1" w:styleId="92">
    <w:name w:val="正文233"/>
    <w:basedOn w:val="93"/>
    <w:qFormat/>
    <w:uiPriority w:val="0"/>
  </w:style>
  <w:style w:type="paragraph" w:customStyle="1" w:styleId="93">
    <w:name w:val="样式 样式 正文 + 首行缩进:  2 字符 + 首行缩进:  2 字符"/>
    <w:basedOn w:val="67"/>
    <w:semiHidden/>
    <w:qFormat/>
    <w:uiPriority w:val="0"/>
  </w:style>
  <w:style w:type="character" w:customStyle="1" w:styleId="94">
    <w:name w:val="页眉 Char"/>
    <w:basedOn w:val="38"/>
    <w:link w:val="28"/>
    <w:qFormat/>
    <w:uiPriority w:val="0"/>
    <w:rPr>
      <w:rFonts w:eastAsia="宋体"/>
      <w:kern w:val="2"/>
      <w:sz w:val="18"/>
      <w:szCs w:val="18"/>
      <w:lang w:val="en-US" w:eastAsia="zh-CN" w:bidi="ar-SA"/>
    </w:rPr>
  </w:style>
  <w:style w:type="character" w:customStyle="1" w:styleId="95">
    <w:name w:val="Normal Indent Char"/>
    <w:basedOn w:val="38"/>
    <w:qFormat/>
    <w:locked/>
    <w:uiPriority w:val="0"/>
    <w:rPr>
      <w:rFonts w:eastAsia="仿宋_GB2312" w:cs="Times New Roman"/>
      <w:kern w:val="2"/>
      <w:sz w:val="28"/>
    </w:rPr>
  </w:style>
  <w:style w:type="character" w:customStyle="1" w:styleId="96">
    <w:name w:val="四号 正文 Char"/>
    <w:basedOn w:val="38"/>
    <w:link w:val="45"/>
    <w:qFormat/>
    <w:uiPriority w:val="0"/>
    <w:rPr>
      <w:rFonts w:eastAsia="宋体" w:cs="宋体"/>
      <w:spacing w:val="6"/>
      <w:kern w:val="2"/>
      <w:sz w:val="28"/>
      <w:lang w:val="en-US" w:eastAsia="zh-CN" w:bidi="ar-SA"/>
    </w:rPr>
  </w:style>
  <w:style w:type="character" w:customStyle="1" w:styleId="97">
    <w:name w:val="报告正文 Char"/>
    <w:basedOn w:val="38"/>
    <w:link w:val="81"/>
    <w:qFormat/>
    <w:uiPriority w:val="0"/>
    <w:rPr>
      <w:rFonts w:eastAsia="宋体"/>
      <w:kern w:val="2"/>
      <w:sz w:val="24"/>
      <w:szCs w:val="24"/>
      <w:lang w:val="en-US" w:eastAsia="zh-CN" w:bidi="ar-SA"/>
    </w:rPr>
  </w:style>
  <w:style w:type="character" w:customStyle="1" w:styleId="98">
    <w:name w:val="标题 2 Char"/>
    <w:basedOn w:val="38"/>
    <w:link w:val="4"/>
    <w:qFormat/>
    <w:uiPriority w:val="0"/>
    <w:rPr>
      <w:rFonts w:ascii="Arial" w:hAnsi="Arial" w:eastAsia="黑体"/>
      <w:b/>
      <w:bCs/>
      <w:kern w:val="2"/>
      <w:sz w:val="32"/>
      <w:szCs w:val="32"/>
      <w:lang w:val="en-US" w:eastAsia="zh-CN" w:bidi="ar-SA"/>
    </w:rPr>
  </w:style>
  <w:style w:type="character" w:customStyle="1" w:styleId="99">
    <w:name w:val="其他 Char"/>
    <w:basedOn w:val="100"/>
    <w:link w:val="56"/>
    <w:qFormat/>
    <w:uiPriority w:val="0"/>
  </w:style>
  <w:style w:type="character" w:customStyle="1" w:styleId="100">
    <w:name w:val="表格 Char"/>
    <w:basedOn w:val="38"/>
    <w:link w:val="57"/>
    <w:qFormat/>
    <w:uiPriority w:val="0"/>
    <w:rPr>
      <w:rFonts w:eastAsia="宋体"/>
      <w:kern w:val="2"/>
      <w:sz w:val="21"/>
      <w:szCs w:val="24"/>
      <w:lang w:val="en-US" w:eastAsia="zh-CN" w:bidi="ar-SA"/>
    </w:rPr>
  </w:style>
  <w:style w:type="character" w:customStyle="1" w:styleId="101">
    <w:name w:val="批注框文本 Char"/>
    <w:basedOn w:val="38"/>
    <w:link w:val="26"/>
    <w:qFormat/>
    <w:uiPriority w:val="0"/>
    <w:rPr>
      <w:rFonts w:eastAsia="宋体"/>
      <w:kern w:val="2"/>
      <w:sz w:val="18"/>
      <w:szCs w:val="18"/>
      <w:lang w:val="en-US" w:eastAsia="zh-CN" w:bidi="ar-SA"/>
    </w:rPr>
  </w:style>
  <w:style w:type="character" w:customStyle="1" w:styleId="102">
    <w:name w:val="纯文本 Char"/>
    <w:basedOn w:val="38"/>
    <w:link w:val="23"/>
    <w:qFormat/>
    <w:uiPriority w:val="0"/>
    <w:rPr>
      <w:rFonts w:ascii="宋体" w:hAnsi="Courier New" w:eastAsia="宋体" w:cs="Courier New"/>
      <w:kern w:val="2"/>
      <w:sz w:val="21"/>
      <w:szCs w:val="21"/>
      <w:lang w:val="en-US" w:eastAsia="zh-CN" w:bidi="ar-SA"/>
    </w:rPr>
  </w:style>
  <w:style w:type="character" w:customStyle="1" w:styleId="103">
    <w:name w:val=" Char Char7"/>
    <w:basedOn w:val="38"/>
    <w:qFormat/>
    <w:uiPriority w:val="0"/>
    <w:rPr>
      <w:rFonts w:ascii="宋体" w:hAnsi="宋体" w:eastAsia="宋体"/>
      <w:b/>
      <w:bCs/>
      <w:kern w:val="2"/>
      <w:sz w:val="24"/>
      <w:szCs w:val="24"/>
      <w:lang w:val="en-US" w:eastAsia="zh-CN" w:bidi="ar-SA"/>
    </w:rPr>
  </w:style>
  <w:style w:type="character" w:customStyle="1" w:styleId="104">
    <w:name w:val="页脚 Char"/>
    <w:basedOn w:val="38"/>
    <w:link w:val="27"/>
    <w:qFormat/>
    <w:uiPriority w:val="99"/>
    <w:rPr>
      <w:spacing w:val="18"/>
      <w:sz w:val="18"/>
    </w:rPr>
  </w:style>
  <w:style w:type="character" w:customStyle="1" w:styleId="105">
    <w:name w:val="标题4 Char"/>
    <w:basedOn w:val="38"/>
    <w:link w:val="85"/>
    <w:qFormat/>
    <w:uiPriority w:val="0"/>
    <w:rPr>
      <w:rFonts w:eastAsia="宋体"/>
      <w:b/>
      <w:kern w:val="2"/>
      <w:sz w:val="24"/>
      <w:szCs w:val="24"/>
      <w:lang w:val="en-US" w:eastAsia="zh-CN" w:bidi="ar-SA"/>
    </w:rPr>
  </w:style>
  <w:style w:type="character" w:customStyle="1" w:styleId="106">
    <w:name w:val="title1"/>
    <w:basedOn w:val="38"/>
    <w:qFormat/>
    <w:uiPriority w:val="0"/>
  </w:style>
  <w:style w:type="character" w:customStyle="1" w:styleId="107">
    <w:name w:val="正文缩进 Char"/>
    <w:basedOn w:val="38"/>
    <w:link w:val="6"/>
    <w:qFormat/>
    <w:uiPriority w:val="0"/>
    <w:rPr>
      <w:rFonts w:eastAsia="宋体"/>
      <w:kern w:val="2"/>
      <w:sz w:val="21"/>
      <w:lang w:val="en-US" w:eastAsia="zh-CN" w:bidi="ar-SA"/>
    </w:rPr>
  </w:style>
  <w:style w:type="character" w:customStyle="1" w:styleId="108">
    <w:name w:val="Plain Text Char"/>
    <w:basedOn w:val="38"/>
    <w:qFormat/>
    <w:locked/>
    <w:uiPriority w:val="0"/>
    <w:rPr>
      <w:rFonts w:ascii="宋体" w:hAnsi="Courier New" w:eastAsia="宋体" w:cs="Courier New"/>
      <w:kern w:val="2"/>
      <w:sz w:val="21"/>
      <w:szCs w:val="21"/>
      <w:lang w:val="en-US" w:eastAsia="zh-CN" w:bidi="ar-SA"/>
    </w:rPr>
  </w:style>
  <w:style w:type="character" w:customStyle="1" w:styleId="109">
    <w:name w:val="表标题 Char"/>
    <w:basedOn w:val="38"/>
    <w:link w:val="89"/>
    <w:qFormat/>
    <w:uiPriority w:val="0"/>
    <w:rPr>
      <w:rFonts w:eastAsia="宋体"/>
      <w:b/>
      <w:kern w:val="2"/>
      <w:sz w:val="24"/>
      <w:szCs w:val="24"/>
      <w:lang w:val="en-US" w:eastAsia="zh-CN" w:bidi="ar-SA"/>
    </w:rPr>
  </w:style>
  <w:style w:type="character" w:customStyle="1" w:styleId="110">
    <w:name w:val="报告书正文 Char"/>
    <w:basedOn w:val="38"/>
    <w:link w:val="70"/>
    <w:qFormat/>
    <w:uiPriority w:val="0"/>
    <w:rPr>
      <w:rFonts w:eastAsia="宋体"/>
      <w:b/>
      <w:kern w:val="2"/>
      <w:sz w:val="24"/>
      <w:szCs w:val="24"/>
      <w:lang w:val="en-US" w:eastAsia="zh-CN" w:bidi="ar-SA"/>
    </w:rPr>
  </w:style>
  <w:style w:type="character" w:customStyle="1" w:styleId="111">
    <w:name w:val="超链接1"/>
    <w:basedOn w:val="38"/>
    <w:semiHidden/>
    <w:qFormat/>
    <w:uiPriority w:val="0"/>
    <w:rPr>
      <w:color w:val="0000FF"/>
      <w:u w:val="single"/>
    </w:rPr>
  </w:style>
  <w:style w:type="character" w:customStyle="1" w:styleId="112">
    <w:name w:val="t-14"/>
    <w:basedOn w:val="38"/>
    <w:qFormat/>
    <w:uiPriority w:val="0"/>
  </w:style>
  <w:style w:type="character" w:customStyle="1" w:styleId="113">
    <w:name w:val="font11"/>
    <w:basedOn w:val="38"/>
    <w:qFormat/>
    <w:uiPriority w:val="0"/>
    <w:rPr>
      <w:rFonts w:hint="default" w:ascii="Times New Roman" w:hAnsi="Times New Roman" w:cs="Times New Roman"/>
      <w:color w:val="000000"/>
      <w:sz w:val="21"/>
      <w:szCs w:val="21"/>
      <w:u w:val="none"/>
    </w:rPr>
  </w:style>
  <w:style w:type="character" w:customStyle="1" w:styleId="114">
    <w:name w:val="样式 样式 标题2 + Char"/>
    <w:basedOn w:val="38"/>
    <w:link w:val="78"/>
    <w:qFormat/>
    <w:uiPriority w:val="0"/>
    <w:rPr>
      <w:rFonts w:eastAsia="宋体" w:cs="宋体"/>
      <w:b/>
      <w:bCs/>
      <w:kern w:val="2"/>
      <w:sz w:val="28"/>
      <w:lang w:val="en-US" w:eastAsia="zh-CN" w:bidi="ar-SA"/>
    </w:rPr>
  </w:style>
  <w:style w:type="character" w:customStyle="1" w:styleId="115">
    <w:name w:val="正文1122 Char Char"/>
    <w:basedOn w:val="38"/>
    <w:link w:val="91"/>
    <w:qFormat/>
    <w:uiPriority w:val="0"/>
    <w:rPr>
      <w:rFonts w:ascii="宋体" w:hAnsi="宋体"/>
      <w:kern w:val="2"/>
      <w:sz w:val="24"/>
      <w:lang w:val="en-US" w:eastAsia="zh-CN" w:bidi="ar-SA"/>
    </w:rPr>
  </w:style>
  <w:style w:type="character" w:customStyle="1" w:styleId="116">
    <w:name w:val="日期 Char"/>
    <w:basedOn w:val="38"/>
    <w:link w:val="24"/>
    <w:semiHidden/>
    <w:qFormat/>
    <w:locked/>
    <w:uiPriority w:val="0"/>
    <w:rPr>
      <w:rFonts w:ascii="仿宋_GB2312" w:eastAsia="仿宋_GB2312"/>
      <w:kern w:val="2"/>
      <w:sz w:val="28"/>
      <w:lang w:val="en-US" w:eastAsia="zh-CN" w:bidi="ar-SA"/>
    </w:rPr>
  </w:style>
  <w:style w:type="character" w:customStyle="1" w:styleId="117">
    <w:name w:val="段落 Char"/>
    <w:basedOn w:val="38"/>
    <w:link w:val="54"/>
    <w:qFormat/>
    <w:uiPriority w:val="0"/>
    <w:rPr>
      <w:rFonts w:eastAsia="宋体"/>
      <w:kern w:val="2"/>
      <w:sz w:val="28"/>
      <w:lang w:val="en-US" w:eastAsia="zh-CN" w:bidi="ar-SA"/>
    </w:rPr>
  </w:style>
  <w:style w:type="character" w:customStyle="1" w:styleId="118">
    <w:name w:val="批注文字 Char"/>
    <w:basedOn w:val="38"/>
    <w:link w:val="17"/>
    <w:semiHidden/>
    <w:qFormat/>
    <w:locked/>
    <w:uiPriority w:val="0"/>
    <w:rPr>
      <w:rFonts w:eastAsia="宋体"/>
      <w:kern w:val="2"/>
      <w:sz w:val="21"/>
      <w:lang w:val="en-US" w:eastAsia="zh-CN" w:bidi="ar-SA"/>
    </w:rPr>
  </w:style>
  <w:style w:type="character" w:customStyle="1" w:styleId="119">
    <w:name w:val="样式 样式 样式 样式 Arial 小四 行距: 1.5 倍行距 + 首行缩进:  2 字符 + 首行缩进:  2 字符 + 宋体 Char Char"/>
    <w:basedOn w:val="38"/>
    <w:link w:val="66"/>
    <w:qFormat/>
    <w:uiPriority w:val="0"/>
    <w:rPr>
      <w:rFonts w:ascii="Arial" w:hAnsi="Arial" w:eastAsia="宋体" w:cs="宋体"/>
      <w:kern w:val="2"/>
      <w:sz w:val="24"/>
      <w:szCs w:val="24"/>
      <w:lang w:val="en-US" w:eastAsia="zh-CN" w:bidi="ar-SA"/>
    </w:rPr>
  </w:style>
  <w:style w:type="character" w:customStyle="1" w:styleId="120">
    <w:name w:val="页码1"/>
    <w:basedOn w:val="38"/>
    <w:qFormat/>
    <w:uiPriority w:val="0"/>
  </w:style>
  <w:style w:type="paragraph" w:customStyle="1" w:styleId="121">
    <w:name w:val="Table Paragraph"/>
    <w:basedOn w:val="1"/>
    <w:qFormat/>
    <w:uiPriority w:val="0"/>
    <w:pPr>
      <w:autoSpaceDE w:val="0"/>
      <w:autoSpaceDN w:val="0"/>
      <w:jc w:val="left"/>
    </w:pPr>
    <w:rPr>
      <w:rFonts w:ascii="宋体" w:hAnsi="宋体" w:cs="宋体"/>
      <w:kern w:val="0"/>
      <w:sz w:val="22"/>
      <w:szCs w:val="22"/>
      <w:lang w:eastAsia="en-US"/>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embeddings/oleObject1.bin" Type="http://schemas.openxmlformats.org/officeDocument/2006/relationships/oleObject"/><Relationship Id="rId11" Target="media/image3.emf" Type="http://schemas.openxmlformats.org/officeDocument/2006/relationships/image"/><Relationship Id="rId12" Target="media/image4.png" Type="http://schemas.openxmlformats.org/officeDocument/2006/relationships/image"/><Relationship Id="rId13" Target="media/image5.emf" Type="http://schemas.openxmlformats.org/officeDocument/2006/relationships/image"/><Relationship Id="rId14" Target="media/image6.png" Type="http://schemas.openxmlformats.org/officeDocument/2006/relationships/image"/><Relationship Id="rId15" Target="../customXml/item1.xml" Type="http://schemas.openxmlformats.org/officeDocument/2006/relationships/customXml"/><Relationship Id="rId16" Target="numbering.xml" Type="http://schemas.openxmlformats.org/officeDocument/2006/relationships/numbering"/><Relationship Id="rId17"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footer3.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jpeg" Type="http://schemas.openxmlformats.org/officeDocument/2006/relationships/imag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Info spid="_x0000_s1048"/>
  </customShpExts>
  <extobjs>
    <extobj name="ECB019B1-382A-4266-B25C-5B523AA43C14-1">
      <extobjdata type="ECB019B1-382A-4266-B25C-5B523AA43C14" data="ewogICAiRmlsZUlkIiA6ICI3NjUxODMwNDI5MCIsCiAgICJHcm91cElkIiA6ICIyMTI0MTYxMjEiLAogICAiSW1hZ2UiIDogImlWQk9SdzBLR2dvQUFBQU5TVWhFVWdBQUE4b0FBQUpqQ0FZQUFBRFVDK2ltQUFBQUNYQklXWE1BQUFzVEFBQUxFd0VBbXB3WUFBQWdBRWxFUVZSNG5PemRlVnhWWmVMSDhlOWhCOWtFRVJBUmNpMTNMOW95YmRiWVhsT1RTMmJacEpWTHE2WE5OSlk1cGFiOUdxc3BXOVEyeTZZYzF5elROck15V3hRM3hGekFCUlZCUkZrdjNBdjNudDhmeHUwaXU0SW9mdDZ2RnkrNXozbk9jNTV6WG5LNVg1N25QRWND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SS8vQXZyYU1pOVltaXFHQUFBQUFFbEZUa1N1UW1DQyIsCiAgICJUeXBlIiA6ICJmbG93IiwKICAgIlZlcnNpb24iIDogIiIKfQo="/>
    </extobj>
    <extobj name="ECB019B1-382A-4266-B25C-5B523AA43C14-2">
      <extobjdata type="ECB019B1-382A-4266-B25C-5B523AA43C14" data="ewogICAiRmlsZUlkIiA6ICI3NTk4NTE1Mjc2OSIsCiAgICJHcm91cElkIiA6ICIyMTI0MTYxMjEiLAogICAiSW1hZ2UiIDogImlWQk9SdzBLR2dvQUFBQU5TVWhFVWdBQUE5UUFBQUpUQ0FZQUFBRHBGbDVRQUFBQUNYQklXWE1BQUFzVEFBQUxFd0VBbXB3WUFBQWdBRWxFUVZSNG5PemRlMWhWVmY3SDhjOCtJQWdpQWlLb29JNlhrc2xSQk95aWVVbExNelh2VnFhTjFxZzFscFZUYVUxV21wV1pxV1ZPbVZsbTFveTNha3BUeTBxdHpCd0Z2SkdwNUNVQmIxd0V1UjdnN044Znh2bHh1S2tFSE1EMzYzbDZPbnZ0dGZkZTUvUnRjNzVucmIyV0J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RQnI3L3c4YlZtRTEzeXdLQUFBQUFFbEZUa1N1UW1DQyIsCiAgICJUeXBlIiA6ICJmbG93IiwKICAgIlZlcnNpb24iIDogIiIKfQo="/>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49</Pages>
  <Words>24658</Words>
  <Characters>28909</Characters>
  <Lines>170</Lines>
  <Paragraphs>48</Paragraphs>
  <TotalTime>0</TotalTime>
  <ScaleCrop>false</ScaleCrop>
  <LinksUpToDate>false</LinksUpToDate>
  <CharactersWithSpaces>29995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2015-04-03T06:41:00Z</dcterms:created>
  <dc:creator>微软用户</dc:creator>
  <cp:lastModifiedBy>Administrator</cp:lastModifiedBy>
  <cp:lastPrinted>2016-03-16T07:09:00Z</cp:lastPrinted>
  <dcterms:modified xsi:type="dcterms:W3CDTF">2023-06-09T08:19:52Z</dcterms:modified>
  <cp:revision>3</cp:revision>
  <dc:title>建设项目基本情况</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53E4EE51739B4104AC3FDF7BC1AEF7AF_12</vt:lpwstr>
  </property>
</Properties>
</file>