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ind w:firstLine="720" w:firstLineChars="0"/>
        <w:rPr>
          <w:rFonts w:hint="default" w:ascii="Times New Roman" w:hAnsi="Times New Roman" w:cs="Times New Roman"/>
          <w:color w:val="auto"/>
          <w:sz w:val="36"/>
          <w:szCs w:val="36"/>
        </w:rPr>
      </w:pPr>
    </w:p>
    <w:p>
      <w:pPr>
        <w:pStyle w:val="6"/>
        <w:rPr>
          <w:rFonts w:hint="default" w:ascii="Times New Roman" w:hAnsi="Times New Roman" w:cs="Times New Roman"/>
          <w:color w:val="auto"/>
          <w:sz w:val="36"/>
          <w:szCs w:val="36"/>
        </w:rPr>
      </w:pPr>
    </w:p>
    <w:p>
      <w:pPr>
        <w:pStyle w:val="17"/>
        <w:rPr>
          <w:rFonts w:hint="default" w:ascii="Times New Roman" w:hAnsi="Times New Roman" w:cs="Times New Roman"/>
          <w:color w:val="auto"/>
          <w:sz w:val="36"/>
          <w:szCs w:val="36"/>
        </w:rPr>
      </w:pPr>
    </w:p>
    <w:p>
      <w:pPr>
        <w:rPr>
          <w:rFonts w:hint="default" w:ascii="Times New Roman" w:hAnsi="Times New Roman" w:cs="Times New Roman"/>
          <w:color w:val="auto"/>
          <w:sz w:val="36"/>
          <w:szCs w:val="36"/>
        </w:rPr>
      </w:pPr>
    </w:p>
    <w:p>
      <w:pPr>
        <w:pStyle w:val="6"/>
        <w:rPr>
          <w:rFonts w:hint="default" w:ascii="Times New Roman" w:hAnsi="Times New Roman" w:cs="Times New Roman"/>
          <w:b/>
          <w:bCs/>
          <w:color w:val="auto"/>
        </w:rPr>
      </w:pPr>
    </w:p>
    <w:p>
      <w:pPr>
        <w:adjustRightInd w:val="0"/>
        <w:snapToGrid w:val="0"/>
        <w:spacing w:line="240" w:lineRule="auto"/>
        <w:ind w:firstLine="0" w:firstLineChars="0"/>
        <w:jc w:val="center"/>
        <w:outlineLvl w:val="0"/>
        <w:rPr>
          <w:rFonts w:hint="default" w:ascii="Times New Roman" w:hAnsi="Times New Roman" w:cs="Times New Roman"/>
          <w:b/>
          <w:bCs/>
          <w:color w:val="auto"/>
          <w:sz w:val="72"/>
          <w:szCs w:val="72"/>
        </w:rPr>
      </w:pPr>
      <w:r>
        <w:rPr>
          <w:rFonts w:hint="default" w:ascii="Times New Roman" w:hAnsi="Times New Roman" w:cs="Times New Roman"/>
          <w:b/>
          <w:bCs/>
          <w:color w:val="auto"/>
          <w:sz w:val="72"/>
          <w:szCs w:val="72"/>
        </w:rPr>
        <w:t>建设项目环境影响报告表</w:t>
      </w:r>
    </w:p>
    <w:p>
      <w:pPr>
        <w:adjustRightInd w:val="0"/>
        <w:snapToGrid w:val="0"/>
        <w:spacing w:before="249" w:beforeLines="80" w:line="240" w:lineRule="auto"/>
        <w:ind w:firstLine="0" w:firstLineChars="0"/>
        <w:jc w:val="center"/>
        <w:rPr>
          <w:rFonts w:hint="default" w:ascii="Times New Roman" w:hAnsi="Times New Roman" w:cs="Times New Roman"/>
          <w:b/>
          <w:bCs/>
          <w:color w:val="auto"/>
          <w:sz w:val="48"/>
          <w:szCs w:val="48"/>
        </w:rPr>
      </w:pPr>
      <w:r>
        <w:rPr>
          <w:rFonts w:hint="default" w:ascii="Times New Roman" w:hAnsi="Times New Roman" w:cs="Times New Roman"/>
          <w:b/>
          <w:bCs/>
          <w:color w:val="auto"/>
          <w:sz w:val="48"/>
          <w:szCs w:val="48"/>
        </w:rPr>
        <w:t>(污染影响类)</w:t>
      </w:r>
    </w:p>
    <w:p>
      <w:pPr>
        <w:adjustRightInd w:val="0"/>
        <w:snapToGrid w:val="0"/>
        <w:spacing w:line="288" w:lineRule="auto"/>
        <w:ind w:firstLine="0" w:firstLineChars="0"/>
        <w:jc w:val="center"/>
        <w:rPr>
          <w:rFonts w:hint="default" w:ascii="Times New Roman" w:hAnsi="Times New Roman" w:eastAsia="华文仿宋" w:cs="Times New Roman"/>
          <w:color w:val="auto"/>
          <w:kern w:val="44"/>
          <w:sz w:val="44"/>
          <w:szCs w:val="44"/>
        </w:rPr>
      </w:pPr>
      <w:r>
        <w:rPr>
          <w:rFonts w:hint="default" w:ascii="Times New Roman" w:hAnsi="Times New Roman" w:eastAsia="华文仿宋" w:cs="Times New Roman"/>
          <w:color w:val="auto"/>
          <w:kern w:val="44"/>
          <w:sz w:val="44"/>
          <w:szCs w:val="44"/>
        </w:rPr>
        <w:t xml:space="preserve"> </w:t>
      </w:r>
    </w:p>
    <w:p>
      <w:pPr>
        <w:spacing w:line="240" w:lineRule="auto"/>
        <w:ind w:firstLine="0" w:firstLineChars="0"/>
        <w:jc w:val="center"/>
        <w:rPr>
          <w:rFonts w:hint="default" w:ascii="Times New Roman" w:hAnsi="Times New Roman" w:eastAsia="仿宋" w:cs="Times New Roman"/>
          <w:color w:val="auto"/>
          <w:sz w:val="52"/>
          <w:szCs w:val="52"/>
        </w:rPr>
      </w:pPr>
      <w:r>
        <w:rPr>
          <w:rFonts w:hint="default" w:ascii="Times New Roman" w:hAnsi="Times New Roman" w:eastAsia="仿宋" w:cs="Times New Roman"/>
          <w:color w:val="auto"/>
          <w:sz w:val="52"/>
          <w:szCs w:val="52"/>
        </w:rPr>
        <w:t xml:space="preserve"> </w:t>
      </w:r>
    </w:p>
    <w:p>
      <w:pPr>
        <w:spacing w:line="240" w:lineRule="auto"/>
        <w:ind w:firstLine="1040" w:firstLineChars="0"/>
        <w:rPr>
          <w:rFonts w:hint="default" w:ascii="Times New Roman" w:hAnsi="Times New Roman" w:eastAsia="仿宋" w:cs="Times New Roman"/>
          <w:color w:val="auto"/>
          <w:sz w:val="44"/>
          <w:szCs w:val="44"/>
        </w:rPr>
      </w:pPr>
      <w:r>
        <w:rPr>
          <w:rFonts w:hint="default" w:ascii="Times New Roman" w:hAnsi="Times New Roman" w:eastAsia="仿宋" w:cs="Times New Roman"/>
          <w:color w:val="auto"/>
          <w:sz w:val="44"/>
          <w:szCs w:val="44"/>
        </w:rPr>
        <w:t xml:space="preserve"> </w:t>
      </w:r>
    </w:p>
    <w:p>
      <w:pPr>
        <w:spacing w:line="240" w:lineRule="auto"/>
        <w:ind w:firstLine="1040" w:firstLineChars="0"/>
        <w:rPr>
          <w:rFonts w:hint="default" w:ascii="Times New Roman" w:hAnsi="Times New Roman" w:eastAsia="仿宋" w:cs="Times New Roman"/>
          <w:color w:val="auto"/>
          <w:sz w:val="44"/>
          <w:szCs w:val="44"/>
        </w:rPr>
      </w:pPr>
      <w:r>
        <w:rPr>
          <w:rFonts w:hint="default" w:ascii="Times New Roman" w:hAnsi="Times New Roman" w:eastAsia="仿宋" w:cs="Times New Roman"/>
          <w:color w:val="auto"/>
          <w:sz w:val="44"/>
          <w:szCs w:val="44"/>
        </w:rPr>
        <w:t xml:space="preserve"> </w:t>
      </w:r>
    </w:p>
    <w:p>
      <w:pPr>
        <w:spacing w:line="240" w:lineRule="auto"/>
        <w:ind w:firstLine="1040" w:firstLineChars="0"/>
        <w:rPr>
          <w:rFonts w:hint="default" w:ascii="Times New Roman" w:hAnsi="Times New Roman" w:eastAsia="仿宋" w:cs="Times New Roman"/>
          <w:color w:val="auto"/>
          <w:sz w:val="44"/>
          <w:szCs w:val="44"/>
        </w:rPr>
      </w:pPr>
      <w:r>
        <w:rPr>
          <w:rFonts w:hint="default" w:ascii="Times New Roman" w:hAnsi="Times New Roman" w:eastAsia="仿宋" w:cs="Times New Roman"/>
          <w:color w:val="auto"/>
          <w:sz w:val="44"/>
          <w:szCs w:val="44"/>
        </w:rPr>
        <w:t xml:space="preserve"> </w:t>
      </w:r>
    </w:p>
    <w:p>
      <w:pPr>
        <w:spacing w:line="240" w:lineRule="auto"/>
        <w:ind w:firstLine="1040" w:firstLineChars="0"/>
        <w:rPr>
          <w:rFonts w:hint="default" w:ascii="Times New Roman" w:hAnsi="Times New Roman" w:eastAsia="仿宋" w:cs="Times New Roman"/>
          <w:color w:val="auto"/>
          <w:sz w:val="44"/>
          <w:szCs w:val="44"/>
        </w:rPr>
      </w:pPr>
      <w:r>
        <w:rPr>
          <w:rFonts w:hint="default" w:ascii="Times New Roman" w:hAnsi="Times New Roman" w:eastAsia="仿宋" w:cs="Times New Roman"/>
          <w:color w:val="auto"/>
          <w:sz w:val="44"/>
          <w:szCs w:val="44"/>
        </w:rPr>
        <w:t xml:space="preserve"> </w:t>
      </w:r>
    </w:p>
    <w:p>
      <w:pPr>
        <w:spacing w:line="240" w:lineRule="auto"/>
        <w:ind w:firstLine="1040" w:firstLineChars="0"/>
        <w:rPr>
          <w:rFonts w:hint="default" w:ascii="Times New Roman" w:hAnsi="Times New Roman" w:eastAsia="仿宋" w:cs="Times New Roman"/>
          <w:color w:val="auto"/>
          <w:sz w:val="44"/>
          <w:szCs w:val="44"/>
        </w:rPr>
      </w:pPr>
      <w:r>
        <w:rPr>
          <w:rFonts w:hint="default" w:ascii="Times New Roman" w:hAnsi="Times New Roman" w:eastAsia="仿宋" w:cs="Times New Roman"/>
          <w:color w:val="auto"/>
          <w:sz w:val="44"/>
          <w:szCs w:val="44"/>
        </w:rPr>
        <w:t xml:space="preserve"> </w:t>
      </w:r>
    </w:p>
    <w:p>
      <w:pPr>
        <w:adjustRightInd w:val="0"/>
        <w:snapToGrid w:val="0"/>
        <w:spacing w:line="360" w:lineRule="auto"/>
        <w:ind w:firstLine="1040" w:firstLineChars="0"/>
        <w:jc w:val="both"/>
        <w:rPr>
          <w:rFonts w:hint="default" w:ascii="Times New Roman" w:hAnsi="Times New Roman" w:eastAsia="宋体" w:cs="Times New Roman"/>
          <w:b/>
          <w:bCs/>
          <w:color w:val="auto"/>
          <w:sz w:val="36"/>
          <w:szCs w:val="36"/>
          <w:u w:val="single"/>
          <w:lang w:val="en-US" w:eastAsia="zh-CN"/>
        </w:rPr>
      </w:pPr>
      <w:r>
        <w:rPr>
          <w:rFonts w:hint="default" w:ascii="Times New Roman" w:hAnsi="Times New Roman" w:cs="Times New Roman"/>
          <w:b/>
          <w:bCs/>
          <w:color w:val="auto"/>
          <w:sz w:val="36"/>
          <w:szCs w:val="36"/>
        </w:rPr>
        <w:t>项目名称：</w:t>
      </w:r>
      <w:r>
        <w:rPr>
          <w:rFonts w:hint="eastAsia" w:cs="Times New Roman"/>
          <w:b/>
          <w:bCs/>
          <w:color w:val="auto"/>
          <w:sz w:val="36"/>
          <w:szCs w:val="36"/>
          <w:u w:val="single"/>
          <w:lang w:val="en-US" w:eastAsia="zh-CN"/>
        </w:rPr>
        <w:t xml:space="preserve">      </w:t>
      </w:r>
      <w:r>
        <w:rPr>
          <w:rFonts w:hint="eastAsia" w:cs="Times New Roman"/>
          <w:b/>
          <w:bCs/>
          <w:color w:val="auto"/>
          <w:sz w:val="36"/>
          <w:szCs w:val="36"/>
          <w:u w:val="single"/>
          <w:lang w:eastAsia="zh-CN"/>
        </w:rPr>
        <w:t>外墙保温用锚栓生产项目</w:t>
      </w:r>
      <w:r>
        <w:rPr>
          <w:rFonts w:hint="eastAsia" w:cs="Times New Roman"/>
          <w:b/>
          <w:bCs/>
          <w:color w:val="auto"/>
          <w:sz w:val="36"/>
          <w:szCs w:val="36"/>
          <w:u w:val="single"/>
          <w:lang w:val="en-US" w:eastAsia="zh-CN"/>
        </w:rPr>
        <w:t xml:space="preserve">   </w:t>
      </w:r>
    </w:p>
    <w:p>
      <w:pPr>
        <w:adjustRightInd w:val="0"/>
        <w:snapToGrid w:val="0"/>
        <w:spacing w:line="360" w:lineRule="auto"/>
        <w:ind w:firstLine="1040" w:firstLineChars="0"/>
        <w:rPr>
          <w:rFonts w:hint="eastAsia" w:ascii="Times New Roman" w:hAnsi="Times New Roman" w:eastAsia="宋体" w:cs="Times New Roman"/>
          <w:b/>
          <w:bCs/>
          <w:color w:val="auto"/>
          <w:sz w:val="36"/>
          <w:szCs w:val="36"/>
          <w:u w:val="single"/>
          <w:lang w:eastAsia="zh-CN"/>
        </w:rPr>
      </w:pPr>
      <w:r>
        <w:rPr>
          <w:rFonts w:hint="default" w:ascii="Times New Roman" w:hAnsi="Times New Roman" w:cs="Times New Roman"/>
          <w:b/>
          <w:bCs/>
          <w:color w:val="auto"/>
          <w:sz w:val="36"/>
          <w:szCs w:val="36"/>
        </w:rPr>
        <w:t>建设单位(盖章)：</w:t>
      </w:r>
      <w:r>
        <w:rPr>
          <w:rFonts w:hint="eastAsia" w:cs="Times New Roman"/>
          <w:b/>
          <w:bCs/>
          <w:color w:val="auto"/>
          <w:sz w:val="36"/>
          <w:szCs w:val="36"/>
          <w:u w:val="thick"/>
          <w:lang w:eastAsia="zh-CN"/>
        </w:rPr>
        <w:t>河北聚砺新材料科技有限公司</w:t>
      </w:r>
    </w:p>
    <w:p>
      <w:pPr>
        <w:adjustRightInd w:val="0"/>
        <w:snapToGrid w:val="0"/>
        <w:spacing w:line="360" w:lineRule="auto"/>
        <w:ind w:firstLine="1040" w:firstLineChars="0"/>
        <w:rPr>
          <w:rFonts w:hint="default" w:ascii="Times New Roman" w:hAnsi="Times New Roman" w:cs="Times New Roman"/>
          <w:b/>
          <w:bCs/>
          <w:color w:val="auto"/>
          <w:sz w:val="36"/>
          <w:szCs w:val="36"/>
        </w:rPr>
      </w:pPr>
      <w:r>
        <w:rPr>
          <w:rFonts w:hint="default" w:ascii="Times New Roman" w:hAnsi="Times New Roman" w:cs="Times New Roman"/>
          <w:b/>
          <w:bCs/>
          <w:color w:val="auto"/>
          <w:sz w:val="36"/>
          <w:szCs w:val="36"/>
        </w:rPr>
        <w:t>编制目期：</w:t>
      </w:r>
      <w:r>
        <w:rPr>
          <w:rFonts w:hint="eastAsia" w:cs="Times New Roman"/>
          <w:b/>
          <w:bCs/>
          <w:color w:val="auto"/>
          <w:sz w:val="36"/>
          <w:szCs w:val="36"/>
          <w:u w:val="single"/>
          <w:lang w:val="en-US" w:eastAsia="zh-CN"/>
        </w:rPr>
        <w:t xml:space="preserve">          </w:t>
      </w:r>
      <w:r>
        <w:rPr>
          <w:rFonts w:hint="default" w:ascii="Times New Roman" w:hAnsi="Times New Roman" w:cs="Times New Roman"/>
          <w:b/>
          <w:bCs/>
          <w:color w:val="auto"/>
          <w:sz w:val="36"/>
          <w:szCs w:val="36"/>
          <w:u w:val="single"/>
        </w:rPr>
        <w:t>202</w:t>
      </w:r>
      <w:r>
        <w:rPr>
          <w:rFonts w:hint="eastAsia" w:cs="Times New Roman"/>
          <w:b/>
          <w:bCs/>
          <w:color w:val="auto"/>
          <w:sz w:val="36"/>
          <w:szCs w:val="36"/>
          <w:u w:val="single"/>
          <w:lang w:val="en-US" w:eastAsia="zh-CN"/>
        </w:rPr>
        <w:t>3</w:t>
      </w:r>
      <w:r>
        <w:rPr>
          <w:rFonts w:hint="default" w:ascii="Times New Roman" w:hAnsi="Times New Roman" w:cs="Times New Roman"/>
          <w:b/>
          <w:bCs/>
          <w:color w:val="auto"/>
          <w:sz w:val="36"/>
          <w:szCs w:val="36"/>
          <w:u w:val="single"/>
        </w:rPr>
        <w:t>年</w:t>
      </w:r>
      <w:r>
        <w:rPr>
          <w:rFonts w:hint="eastAsia" w:cs="Times New Roman"/>
          <w:b/>
          <w:bCs/>
          <w:color w:val="auto"/>
          <w:sz w:val="36"/>
          <w:szCs w:val="36"/>
          <w:u w:val="single"/>
          <w:lang w:val="en-US" w:eastAsia="zh-CN"/>
        </w:rPr>
        <w:t>4</w:t>
      </w:r>
      <w:r>
        <w:rPr>
          <w:rFonts w:hint="default" w:ascii="Times New Roman" w:hAnsi="Times New Roman" w:cs="Times New Roman"/>
          <w:b/>
          <w:bCs/>
          <w:color w:val="auto"/>
          <w:sz w:val="36"/>
          <w:szCs w:val="36"/>
          <w:u w:val="single"/>
        </w:rPr>
        <w:t>月</w:t>
      </w:r>
      <w:bookmarkStart w:id="0" w:name="_Hlk57884087"/>
      <w:bookmarkEnd w:id="0"/>
      <w:r>
        <w:rPr>
          <w:rFonts w:hint="eastAsia" w:cs="Times New Roman"/>
          <w:b/>
          <w:bCs/>
          <w:color w:val="auto"/>
          <w:sz w:val="36"/>
          <w:szCs w:val="36"/>
          <w:u w:val="single"/>
          <w:lang w:val="en-US" w:eastAsia="zh-CN"/>
        </w:rPr>
        <w:t xml:space="preserve">           </w:t>
      </w:r>
      <w:r>
        <w:rPr>
          <w:rFonts w:hint="default" w:ascii="Times New Roman" w:hAnsi="Times New Roman" w:cs="Times New Roman"/>
          <w:b/>
          <w:bCs/>
          <w:color w:val="auto"/>
          <w:sz w:val="36"/>
          <w:szCs w:val="36"/>
          <w:u w:val="single"/>
        </w:rPr>
        <w:t xml:space="preserve"> </w:t>
      </w:r>
    </w:p>
    <w:p>
      <w:pPr>
        <w:adjustRightInd w:val="0"/>
        <w:snapToGrid w:val="0"/>
        <w:spacing w:line="288" w:lineRule="auto"/>
        <w:ind w:firstLine="0" w:firstLineChars="0"/>
        <w:jc w:val="center"/>
        <w:rPr>
          <w:rFonts w:hint="default" w:ascii="Times New Roman" w:hAnsi="Times New Roman" w:cs="Times New Roman"/>
          <w:b/>
          <w:bCs/>
          <w:color w:val="auto"/>
          <w:sz w:val="36"/>
          <w:szCs w:val="36"/>
        </w:rPr>
      </w:pPr>
      <w:r>
        <w:rPr>
          <w:rFonts w:hint="default" w:ascii="Times New Roman" w:hAnsi="Times New Roman" w:cs="Times New Roman"/>
          <w:b/>
          <w:bCs/>
          <w:color w:val="auto"/>
          <w:sz w:val="36"/>
          <w:szCs w:val="36"/>
        </w:rPr>
        <w:t xml:space="preserve"> </w:t>
      </w:r>
    </w:p>
    <w:p>
      <w:pPr>
        <w:adjustRightInd w:val="0"/>
        <w:snapToGrid w:val="0"/>
        <w:spacing w:line="288" w:lineRule="auto"/>
        <w:ind w:firstLine="0" w:firstLineChars="0"/>
        <w:jc w:val="center"/>
        <w:rPr>
          <w:rFonts w:hint="default" w:ascii="Times New Roman" w:hAnsi="Times New Roman" w:cs="Times New Roman"/>
          <w:b/>
          <w:bCs/>
          <w:color w:val="auto"/>
          <w:sz w:val="36"/>
          <w:szCs w:val="36"/>
        </w:rPr>
      </w:pPr>
      <w:r>
        <w:rPr>
          <w:rFonts w:hint="default" w:ascii="Times New Roman" w:hAnsi="Times New Roman" w:cs="Times New Roman"/>
          <w:b/>
          <w:bCs/>
          <w:color w:val="auto"/>
          <w:sz w:val="36"/>
          <w:szCs w:val="36"/>
        </w:rPr>
        <w:t>中华人民共和国生态环境部制</w:t>
      </w:r>
    </w:p>
    <w:p>
      <w:pPr>
        <w:widowControl/>
        <w:spacing w:line="288" w:lineRule="auto"/>
        <w:ind w:firstLine="0" w:firstLineChars="0"/>
        <w:jc w:val="left"/>
        <w:rPr>
          <w:rFonts w:hint="default" w:ascii="Times New Roman" w:hAnsi="Times New Roman" w:cs="Times New Roman"/>
          <w:color w:val="auto"/>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701" w:right="1531" w:bottom="1701" w:left="1531" w:header="851" w:footer="1077" w:gutter="0"/>
          <w:pgBorders>
            <w:top w:val="none" w:sz="0" w:space="0"/>
            <w:left w:val="none" w:sz="0" w:space="0"/>
            <w:bottom w:val="none" w:sz="0" w:space="0"/>
            <w:right w:val="none" w:sz="0" w:space="0"/>
          </w:pgBorders>
          <w:cols w:space="720" w:num="1"/>
          <w:docGrid w:type="lines" w:linePitch="312" w:charSpace="0"/>
        </w:sectPr>
      </w:pPr>
    </w:p>
    <w:p>
      <w:pPr>
        <w:widowControl/>
        <w:spacing w:line="240" w:lineRule="auto"/>
        <w:ind w:firstLine="0" w:firstLineChars="0"/>
        <w:jc w:val="center"/>
        <w:outlineLvl w:val="0"/>
        <w:rPr>
          <w:rFonts w:hint="default" w:ascii="Times New Roman" w:hAnsi="Times New Roman" w:eastAsia="黑体" w:cs="Times New Roman"/>
          <w:color w:val="auto"/>
          <w:kern w:val="0"/>
          <w:sz w:val="30"/>
          <w:szCs w:val="30"/>
        </w:rPr>
        <w:sectPr>
          <w:footerReference r:id="rId11"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240" w:lineRule="auto"/>
        <w:ind w:firstLine="0" w:firstLineChars="0"/>
        <w:jc w:val="center"/>
        <w:outlineLvl w:val="0"/>
        <w:rPr>
          <w:rFonts w:hint="default" w:ascii="Times New Roman" w:hAnsi="Times New Roman" w:eastAsia="黑体" w:cs="Times New Roman"/>
          <w:color w:val="auto"/>
          <w:kern w:val="0"/>
          <w:sz w:val="30"/>
          <w:szCs w:val="30"/>
        </w:rPr>
      </w:pPr>
      <w:r>
        <w:rPr>
          <w:rFonts w:hint="default" w:ascii="Times New Roman" w:hAnsi="Times New Roman" w:eastAsia="黑体" w:cs="Times New Roman"/>
          <w:color w:val="auto"/>
          <w:kern w:val="0"/>
          <w:sz w:val="30"/>
          <w:szCs w:val="30"/>
        </w:rPr>
        <w:t>一、建设项目基本情况</w:t>
      </w:r>
    </w:p>
    <w:tbl>
      <w:tblPr>
        <w:tblStyle w:val="20"/>
        <w:tblW w:w="89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589"/>
        <w:gridCol w:w="2246"/>
        <w:gridCol w:w="1515"/>
        <w:gridCol w:w="363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8"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建设项目名称</w:t>
            </w:r>
          </w:p>
        </w:tc>
        <w:tc>
          <w:tcPr>
            <w:tcW w:w="7396" w:type="dxa"/>
            <w:gridSpan w:val="3"/>
            <w:tcBorders>
              <w:top w:val="single" w:color="auto" w:sz="8"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外墙保温用锚栓生产项目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widowControl/>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项目代码</w:t>
            </w:r>
          </w:p>
        </w:tc>
        <w:tc>
          <w:tcPr>
            <w:tcW w:w="7396" w:type="dxa"/>
            <w:gridSpan w:val="3"/>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22</w:t>
            </w:r>
            <w:r>
              <w:rPr>
                <w:rFonts w:hint="default" w:ascii="Times New Roman" w:hAnsi="Times New Roman" w:cs="Times New Roman"/>
                <w:color w:val="auto"/>
                <w:sz w:val="21"/>
                <w:szCs w:val="21"/>
              </w:rPr>
              <w:t>1</w:t>
            </w:r>
            <w:r>
              <w:rPr>
                <w:rFonts w:hint="eastAsia" w:cs="Times New Roman"/>
                <w:color w:val="auto"/>
                <w:sz w:val="21"/>
                <w:szCs w:val="21"/>
                <w:lang w:val="en-US" w:eastAsia="zh-CN"/>
              </w:rPr>
              <w:t>1</w:t>
            </w:r>
            <w:r>
              <w:rPr>
                <w:rFonts w:hint="default" w:ascii="Times New Roman" w:hAnsi="Times New Roman" w:cs="Times New Roman"/>
                <w:color w:val="auto"/>
                <w:sz w:val="21"/>
                <w:szCs w:val="21"/>
              </w:rPr>
              <w:t>-1302</w:t>
            </w:r>
            <w:r>
              <w:rPr>
                <w:rFonts w:hint="eastAsia" w:cs="Times New Roman"/>
                <w:color w:val="auto"/>
                <w:sz w:val="21"/>
                <w:szCs w:val="21"/>
                <w:lang w:val="en-US" w:eastAsia="zh-CN"/>
              </w:rPr>
              <w:t>83</w:t>
            </w:r>
            <w:r>
              <w:rPr>
                <w:rFonts w:hint="default" w:ascii="Times New Roman" w:hAnsi="Times New Roman" w:cs="Times New Roman"/>
                <w:color w:val="auto"/>
                <w:sz w:val="21"/>
                <w:szCs w:val="21"/>
              </w:rPr>
              <w:t>-89-01-</w:t>
            </w:r>
            <w:r>
              <w:rPr>
                <w:rFonts w:hint="eastAsia" w:cs="Times New Roman"/>
                <w:color w:val="auto"/>
                <w:sz w:val="21"/>
                <w:szCs w:val="21"/>
                <w:lang w:val="en-US" w:eastAsia="zh-CN"/>
              </w:rPr>
              <w:t>115903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建设单位联系人</w:t>
            </w:r>
          </w:p>
        </w:tc>
        <w:tc>
          <w:tcPr>
            <w:tcW w:w="224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 xml:space="preserve">  黄晓枫 </w:t>
            </w:r>
          </w:p>
        </w:tc>
        <w:tc>
          <w:tcPr>
            <w:tcW w:w="15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联系方式</w:t>
            </w:r>
          </w:p>
        </w:tc>
        <w:tc>
          <w:tcPr>
            <w:tcW w:w="3635" w:type="dxa"/>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 xml:space="preserve"> 13933480991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建设地点</w:t>
            </w:r>
          </w:p>
        </w:tc>
        <w:tc>
          <w:tcPr>
            <w:tcW w:w="7396" w:type="dxa"/>
            <w:gridSpan w:val="3"/>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u w:val="none"/>
              </w:rPr>
              <w:t>迁安市野鸡坨镇邵家营村南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地理坐标</w:t>
            </w:r>
          </w:p>
        </w:tc>
        <w:tc>
          <w:tcPr>
            <w:tcW w:w="7396" w:type="dxa"/>
            <w:gridSpan w:val="3"/>
            <w:tcBorders>
              <w:top w:val="single" w:color="auto" w:sz="4" w:space="0"/>
              <w:left w:val="single" w:color="auto" w:sz="4" w:space="0"/>
              <w:bottom w:val="single" w:color="auto" w:sz="4" w:space="0"/>
              <w:right w:val="single" w:color="auto" w:sz="8" w:space="0"/>
            </w:tcBorders>
            <w:vAlign w:val="center"/>
          </w:tcPr>
          <w:p>
            <w:pPr>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东经</w:t>
            </w:r>
            <w:r>
              <w:rPr>
                <w:rFonts w:hint="default" w:ascii="Times New Roman" w:hAnsi="Times New Roman" w:cs="Times New Roman"/>
                <w:color w:val="auto"/>
                <w:sz w:val="21"/>
                <w:szCs w:val="21"/>
                <w:u w:val="single"/>
              </w:rPr>
              <w:t>118</w:t>
            </w:r>
            <w:r>
              <w:rPr>
                <w:rFonts w:hint="default" w:ascii="Times New Roman" w:hAnsi="Times New Roman" w:cs="Times New Roman"/>
                <w:color w:val="auto"/>
                <w:sz w:val="21"/>
                <w:szCs w:val="21"/>
              </w:rPr>
              <w:t>度</w:t>
            </w:r>
            <w:r>
              <w:rPr>
                <w:rFonts w:hint="default" w:ascii="Times New Roman" w:hAnsi="Times New Roman" w:cs="Times New Roman"/>
                <w:color w:val="auto"/>
                <w:sz w:val="21"/>
                <w:szCs w:val="21"/>
                <w:u w:val="single"/>
              </w:rPr>
              <w:t xml:space="preserve"> 4</w:t>
            </w:r>
            <w:r>
              <w:rPr>
                <w:rFonts w:hint="eastAsia" w:cs="Times New Roman"/>
                <w:color w:val="auto"/>
                <w:sz w:val="21"/>
                <w:szCs w:val="21"/>
                <w:u w:val="single"/>
                <w:lang w:val="en-US" w:eastAsia="zh-CN"/>
              </w:rPr>
              <w:t>0</w:t>
            </w:r>
            <w:r>
              <w:rPr>
                <w:rFonts w:hint="default" w:ascii="Times New Roman" w:hAnsi="Times New Roman" w:cs="Times New Roman"/>
                <w:color w:val="auto"/>
                <w:sz w:val="21"/>
                <w:szCs w:val="21"/>
                <w:u w:val="single"/>
              </w:rPr>
              <w:t xml:space="preserve"> </w:t>
            </w:r>
            <w:r>
              <w:rPr>
                <w:rFonts w:hint="default" w:ascii="Times New Roman" w:hAnsi="Times New Roman" w:cs="Times New Roman"/>
                <w:color w:val="auto"/>
                <w:sz w:val="21"/>
                <w:szCs w:val="21"/>
              </w:rPr>
              <w:t>分</w:t>
            </w:r>
            <w:r>
              <w:rPr>
                <w:rFonts w:hint="eastAsia" w:cs="Times New Roman"/>
                <w:color w:val="auto"/>
                <w:sz w:val="21"/>
                <w:szCs w:val="21"/>
                <w:u w:val="single"/>
                <w:lang w:val="en-US" w:eastAsia="zh-CN"/>
              </w:rPr>
              <w:t>16.642</w:t>
            </w:r>
            <w:r>
              <w:rPr>
                <w:rFonts w:hint="default" w:ascii="Times New Roman" w:hAnsi="Times New Roman" w:cs="Times New Roman"/>
                <w:color w:val="auto"/>
                <w:sz w:val="21"/>
                <w:szCs w:val="21"/>
              </w:rPr>
              <w:t>秒，北纬</w:t>
            </w:r>
            <w:r>
              <w:rPr>
                <w:rFonts w:hint="default" w:ascii="Times New Roman" w:hAnsi="Times New Roman" w:cs="Times New Roman"/>
                <w:color w:val="auto"/>
                <w:sz w:val="21"/>
                <w:szCs w:val="21"/>
                <w:u w:val="single"/>
              </w:rPr>
              <w:t>39</w:t>
            </w:r>
            <w:r>
              <w:rPr>
                <w:rFonts w:hint="default" w:ascii="Times New Roman" w:hAnsi="Times New Roman" w:cs="Times New Roman"/>
                <w:color w:val="auto"/>
                <w:sz w:val="21"/>
                <w:szCs w:val="21"/>
              </w:rPr>
              <w:t>度</w:t>
            </w:r>
            <w:r>
              <w:rPr>
                <w:rFonts w:hint="default" w:ascii="Times New Roman" w:hAnsi="Times New Roman" w:cs="Times New Roman"/>
                <w:color w:val="auto"/>
                <w:sz w:val="21"/>
                <w:szCs w:val="21"/>
                <w:u w:val="single"/>
              </w:rPr>
              <w:t xml:space="preserve"> 5</w:t>
            </w:r>
            <w:r>
              <w:rPr>
                <w:rFonts w:hint="eastAsia" w:cs="Times New Roman"/>
                <w:color w:val="auto"/>
                <w:sz w:val="21"/>
                <w:szCs w:val="21"/>
                <w:u w:val="single"/>
                <w:lang w:val="en-US" w:eastAsia="zh-CN"/>
              </w:rPr>
              <w:t>2</w:t>
            </w:r>
            <w:r>
              <w:rPr>
                <w:rFonts w:hint="default" w:ascii="Times New Roman" w:hAnsi="Times New Roman" w:cs="Times New Roman"/>
                <w:color w:val="auto"/>
                <w:sz w:val="21"/>
                <w:szCs w:val="21"/>
                <w:u w:val="single"/>
              </w:rPr>
              <w:t xml:space="preserve"> </w:t>
            </w:r>
            <w:r>
              <w:rPr>
                <w:rFonts w:hint="default" w:ascii="Times New Roman" w:hAnsi="Times New Roman" w:cs="Times New Roman"/>
                <w:color w:val="auto"/>
                <w:sz w:val="21"/>
                <w:szCs w:val="21"/>
              </w:rPr>
              <w:t>分</w:t>
            </w:r>
            <w:r>
              <w:rPr>
                <w:rFonts w:hint="eastAsia" w:cs="Times New Roman"/>
                <w:color w:val="auto"/>
                <w:sz w:val="21"/>
                <w:szCs w:val="21"/>
                <w:u w:val="single"/>
                <w:lang w:val="en-US" w:eastAsia="zh-CN"/>
              </w:rPr>
              <w:t>19.641</w:t>
            </w:r>
            <w:r>
              <w:rPr>
                <w:rFonts w:hint="default" w:ascii="Times New Roman" w:hAnsi="Times New Roman" w:cs="Times New Roman"/>
                <w:color w:val="auto"/>
                <w:sz w:val="21"/>
                <w:szCs w:val="21"/>
                <w:u w:val="single"/>
              </w:rPr>
              <w:t xml:space="preserve"> </w:t>
            </w:r>
            <w:r>
              <w:rPr>
                <w:rFonts w:hint="default" w:ascii="Times New Roman" w:hAnsi="Times New Roman" w:cs="Times New Roman"/>
                <w:color w:val="auto"/>
                <w:sz w:val="21"/>
                <w:szCs w:val="21"/>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国民经济</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行业类别</w:t>
            </w:r>
          </w:p>
        </w:tc>
        <w:tc>
          <w:tcPr>
            <w:tcW w:w="2246" w:type="dxa"/>
            <w:tcBorders>
              <w:top w:val="single" w:color="auto" w:sz="4" w:space="0"/>
              <w:left w:val="single" w:color="auto" w:sz="4" w:space="0"/>
              <w:bottom w:val="single" w:color="auto" w:sz="4" w:space="0"/>
              <w:right w:val="single" w:color="auto" w:sz="4" w:space="0"/>
            </w:tcBorders>
            <w:vAlign w:val="center"/>
          </w:tcPr>
          <w:p>
            <w:pPr>
              <w:widowControl/>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C2929塑料零件及其他塑料制品制造</w:t>
            </w:r>
          </w:p>
        </w:tc>
        <w:tc>
          <w:tcPr>
            <w:tcW w:w="15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bookmarkStart w:id="1" w:name="_Hlk49843745"/>
            <w:r>
              <w:rPr>
                <w:rFonts w:hint="default" w:ascii="Times New Roman" w:hAnsi="Times New Roman" w:cs="Times New Roman"/>
                <w:color w:val="auto"/>
                <w:sz w:val="21"/>
                <w:szCs w:val="21"/>
              </w:rPr>
              <w:t>建设项目</w:t>
            </w:r>
            <w:bookmarkEnd w:id="1"/>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行业类别</w:t>
            </w:r>
          </w:p>
        </w:tc>
        <w:tc>
          <w:tcPr>
            <w:tcW w:w="3635" w:type="dxa"/>
            <w:tcBorders>
              <w:top w:val="single" w:color="auto" w:sz="4" w:space="0"/>
              <w:left w:val="single" w:color="auto" w:sz="4" w:space="0"/>
              <w:bottom w:val="single" w:color="auto" w:sz="4" w:space="0"/>
              <w:right w:val="single" w:color="auto" w:sz="8"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二十六、橡胶和塑料制品业</w:t>
            </w:r>
            <w:r>
              <w:rPr>
                <w:rFonts w:hint="eastAsia" w:cs="Times New Roman"/>
                <w:color w:val="auto"/>
                <w:sz w:val="21"/>
                <w:szCs w:val="21"/>
                <w:lang w:val="en-US" w:eastAsia="zh-CN"/>
              </w:rPr>
              <w:t xml:space="preserve">  53</w:t>
            </w:r>
            <w:r>
              <w:rPr>
                <w:rFonts w:hint="default" w:ascii="Times New Roman" w:hAnsi="Times New Roman" w:cs="Times New Roman"/>
                <w:color w:val="auto"/>
                <w:sz w:val="21"/>
                <w:szCs w:val="21"/>
              </w:rPr>
              <w:t>塑料制品业 292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建设性质</w:t>
            </w:r>
          </w:p>
        </w:tc>
        <w:tc>
          <w:tcPr>
            <w:tcW w:w="2246" w:type="dxa"/>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52"/>
            </w:r>
            <w:r>
              <w:rPr>
                <w:rFonts w:hint="default" w:ascii="Times New Roman" w:hAnsi="Times New Roman" w:cs="Times New Roman"/>
                <w:color w:val="auto"/>
                <w:sz w:val="21"/>
                <w:szCs w:val="21"/>
              </w:rPr>
              <w:t>新建(迁建)</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改建</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扩建</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技术改造</w:t>
            </w:r>
          </w:p>
        </w:tc>
        <w:tc>
          <w:tcPr>
            <w:tcW w:w="15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建设项目</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申报情形</w:t>
            </w:r>
          </w:p>
        </w:tc>
        <w:tc>
          <w:tcPr>
            <w:tcW w:w="3635" w:type="dxa"/>
            <w:tcBorders>
              <w:top w:val="single" w:color="auto" w:sz="4" w:space="0"/>
              <w:left w:val="single" w:color="auto" w:sz="4" w:space="0"/>
              <w:bottom w:val="single" w:color="auto" w:sz="4" w:space="0"/>
              <w:right w:val="single" w:color="auto" w:sz="8" w:space="0"/>
            </w:tcBorders>
            <w:vAlign w:val="center"/>
          </w:tcPr>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52"/>
            </w:r>
            <w:r>
              <w:rPr>
                <w:rFonts w:hint="default" w:ascii="Times New Roman" w:hAnsi="Times New Roman" w:cs="Times New Roman"/>
                <w:color w:val="auto"/>
                <w:sz w:val="21"/>
                <w:szCs w:val="21"/>
              </w:rPr>
              <w:t xml:space="preserve">首次申报项目             </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不予批准后再次申报项目</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 xml:space="preserve">超五年重新审核项目     </w:t>
            </w:r>
          </w:p>
          <w:p>
            <w:pPr>
              <w:spacing w:line="240" w:lineRule="auto"/>
              <w:ind w:firstLine="0" w:firstLineChars="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项目审批(核准/</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备案)部门(选填)</w:t>
            </w:r>
          </w:p>
        </w:tc>
        <w:tc>
          <w:tcPr>
            <w:tcW w:w="224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迁安市行政审批局</w:t>
            </w:r>
          </w:p>
        </w:tc>
        <w:tc>
          <w:tcPr>
            <w:tcW w:w="15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项目审批(核准/</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备案)文号(选填)</w:t>
            </w:r>
          </w:p>
        </w:tc>
        <w:tc>
          <w:tcPr>
            <w:tcW w:w="3635" w:type="dxa"/>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迁行审投资备字[202</w:t>
            </w:r>
            <w:r>
              <w:rPr>
                <w:rFonts w:hint="eastAsia" w:cs="Times New Roman"/>
                <w:color w:val="auto"/>
                <w:sz w:val="21"/>
                <w:szCs w:val="21"/>
                <w:lang w:val="en-US" w:eastAsia="zh-CN"/>
              </w:rPr>
              <w:t>2</w:t>
            </w:r>
            <w:r>
              <w:rPr>
                <w:rFonts w:hint="default" w:ascii="Times New Roman" w:hAnsi="Times New Roman" w:cs="Times New Roman"/>
                <w:color w:val="auto"/>
                <w:sz w:val="21"/>
                <w:szCs w:val="21"/>
              </w:rPr>
              <w:t>]</w:t>
            </w:r>
            <w:r>
              <w:rPr>
                <w:rFonts w:hint="eastAsia" w:cs="Times New Roman"/>
                <w:color w:val="auto"/>
                <w:sz w:val="21"/>
                <w:szCs w:val="21"/>
                <w:lang w:val="en-US" w:eastAsia="zh-CN"/>
              </w:rPr>
              <w:t>169</w:t>
            </w:r>
            <w:r>
              <w:rPr>
                <w:rFonts w:hint="default" w:ascii="Times New Roman" w:hAnsi="Times New Roman" w:cs="Times New Roman"/>
                <w:color w:val="auto"/>
                <w:sz w:val="21"/>
                <w:szCs w:val="21"/>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总投资(万元)</w:t>
            </w:r>
          </w:p>
        </w:tc>
        <w:tc>
          <w:tcPr>
            <w:tcW w:w="224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6000</w:t>
            </w:r>
          </w:p>
        </w:tc>
        <w:tc>
          <w:tcPr>
            <w:tcW w:w="1515" w:type="dxa"/>
            <w:tcBorders>
              <w:top w:val="single" w:color="auto" w:sz="4" w:space="0"/>
              <w:left w:val="single" w:color="auto" w:sz="4"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环保投资(万元)</w:t>
            </w:r>
          </w:p>
        </w:tc>
        <w:tc>
          <w:tcPr>
            <w:tcW w:w="3635" w:type="dxa"/>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环保投资占比(%)</w:t>
            </w:r>
          </w:p>
        </w:tc>
        <w:tc>
          <w:tcPr>
            <w:tcW w:w="224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0.5</w:t>
            </w:r>
          </w:p>
        </w:tc>
        <w:tc>
          <w:tcPr>
            <w:tcW w:w="1515" w:type="dxa"/>
            <w:tcBorders>
              <w:top w:val="single" w:color="auto" w:sz="4" w:space="0"/>
              <w:left w:val="single" w:color="auto" w:sz="4"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施工工期</w:t>
            </w:r>
          </w:p>
        </w:tc>
        <w:tc>
          <w:tcPr>
            <w:tcW w:w="3635" w:type="dxa"/>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589" w:type="dxa"/>
            <w:tcBorders>
              <w:top w:val="single" w:color="auto" w:sz="4" w:space="0"/>
              <w:left w:val="single" w:color="auto" w:sz="8"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是否开工建设</w:t>
            </w:r>
          </w:p>
        </w:tc>
        <w:tc>
          <w:tcPr>
            <w:tcW w:w="224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52"/>
            </w:r>
            <w:r>
              <w:rPr>
                <w:rFonts w:hint="default" w:ascii="Times New Roman" w:hAnsi="Times New Roman" w:cs="Times New Roman"/>
                <w:color w:val="auto"/>
                <w:sz w:val="21"/>
                <w:szCs w:val="21"/>
              </w:rPr>
              <w:t>否</w:t>
            </w:r>
          </w:p>
          <w:p>
            <w:pPr>
              <w:adjustRightInd w:val="0"/>
              <w:snapToGrid w:val="0"/>
              <w:spacing w:line="240" w:lineRule="auto"/>
              <w:ind w:firstLine="0" w:firstLineChars="0"/>
              <w:rPr>
                <w:rFonts w:hint="default" w:ascii="Times New Roman" w:hAnsi="Times New Roman" w:cs="Times New Roman"/>
                <w:color w:val="auto"/>
                <w:sz w:val="21"/>
                <w:szCs w:val="21"/>
              </w:rPr>
            </w:pPr>
            <w:r>
              <w:rPr>
                <w:rFonts w:hint="default" w:ascii="Times New Roman" w:hAnsi="Times New Roman" w:cs="Times New Roman"/>
                <w:color w:val="auto"/>
                <w:sz w:val="21"/>
                <w:szCs w:val="21"/>
              </w:rPr>
              <w:sym w:font="Wingdings 2" w:char="00A3"/>
            </w:r>
            <w:r>
              <w:rPr>
                <w:rFonts w:hint="default" w:ascii="Times New Roman" w:hAnsi="Times New Roman" w:cs="Times New Roman"/>
                <w:color w:val="auto"/>
                <w:sz w:val="21"/>
                <w:szCs w:val="21"/>
              </w:rPr>
              <w:t>是：</w:t>
            </w:r>
            <w:r>
              <w:rPr>
                <w:rFonts w:hint="default" w:ascii="Times New Roman" w:hAnsi="Times New Roman" w:cs="Times New Roman"/>
                <w:color w:val="auto"/>
                <w:sz w:val="21"/>
                <w:szCs w:val="21"/>
                <w:u w:val="single"/>
              </w:rPr>
              <w:t xml:space="preserve">         </w:t>
            </w:r>
          </w:p>
        </w:tc>
        <w:tc>
          <w:tcPr>
            <w:tcW w:w="1515" w:type="dxa"/>
            <w:tcBorders>
              <w:top w:val="single" w:color="auto" w:sz="4" w:space="0"/>
              <w:left w:val="single" w:color="auto" w:sz="4" w:space="0"/>
              <w:bottom w:val="single" w:color="auto" w:sz="4" w:space="0"/>
              <w:right w:val="single" w:color="auto" w:sz="4" w:space="0"/>
            </w:tcBorders>
            <w:tcMar>
              <w:top w:w="16" w:type="dxa"/>
              <w:left w:w="16" w:type="dxa"/>
              <w:bottom w:w="0" w:type="dxa"/>
              <w:right w:w="16"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用地(用海)</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面积(m</w:t>
            </w:r>
            <w:r>
              <w:rPr>
                <w:rFonts w:hint="default" w:ascii="Times New Roman" w:hAnsi="Times New Roman" w:cs="Times New Roman"/>
                <w:color w:val="auto"/>
                <w:sz w:val="21"/>
                <w:szCs w:val="21"/>
                <w:vertAlign w:val="superscript"/>
              </w:rPr>
              <w:t>2</w:t>
            </w:r>
            <w:r>
              <w:rPr>
                <w:rFonts w:hint="default" w:ascii="Times New Roman" w:hAnsi="Times New Roman" w:cs="Times New Roman"/>
                <w:color w:val="auto"/>
                <w:sz w:val="21"/>
                <w:szCs w:val="21"/>
              </w:rPr>
              <w:t>)</w:t>
            </w:r>
          </w:p>
        </w:tc>
        <w:tc>
          <w:tcPr>
            <w:tcW w:w="3635" w:type="dxa"/>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1000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1589" w:type="dxa"/>
            <w:tcBorders>
              <w:top w:val="single" w:color="auto" w:sz="4" w:space="0"/>
              <w:left w:val="single" w:color="auto" w:sz="8" w:space="0"/>
              <w:bottom w:val="single" w:color="auto" w:sz="4" w:space="0"/>
              <w:right w:val="single" w:color="auto" w:sz="4" w:space="0"/>
            </w:tcBorders>
            <w:tcMar>
              <w:top w:w="0" w:type="dxa"/>
              <w:left w:w="108" w:type="dxa"/>
              <w:bottom w:w="0" w:type="dxa"/>
              <w:right w:w="108" w:type="dxa"/>
            </w:tcMar>
            <w:vAlign w:val="center"/>
          </w:tcPr>
          <w:p>
            <w:pPr>
              <w:autoSpaceDE w:val="0"/>
              <w:autoSpaceDN w:val="0"/>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专项评价设置情况</w:t>
            </w:r>
          </w:p>
        </w:tc>
        <w:tc>
          <w:tcPr>
            <w:tcW w:w="7396" w:type="dxa"/>
            <w:gridSpan w:val="3"/>
            <w:tcBorders>
              <w:top w:val="single" w:color="auto" w:sz="4" w:space="0"/>
              <w:left w:val="single" w:color="auto" w:sz="4" w:space="0"/>
              <w:bottom w:val="single" w:color="auto" w:sz="4" w:space="0"/>
              <w:right w:val="single" w:color="auto" w:sz="8" w:space="0"/>
            </w:tcBorders>
            <w:tcMar>
              <w:top w:w="0" w:type="dxa"/>
              <w:left w:w="108" w:type="dxa"/>
              <w:bottom w:w="0" w:type="dxa"/>
              <w:right w:w="108" w:type="dxa"/>
            </w:tcMar>
            <w:vAlign w:val="center"/>
          </w:tcPr>
          <w:p>
            <w:pPr>
              <w:autoSpaceDE w:val="0"/>
              <w:autoSpaceDN w:val="0"/>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1589" w:type="dxa"/>
            <w:tcBorders>
              <w:top w:val="single" w:color="auto" w:sz="4" w:space="0"/>
              <w:left w:val="single" w:color="auto" w:sz="8" w:space="0"/>
              <w:bottom w:val="single" w:color="auto" w:sz="4" w:space="0"/>
              <w:right w:val="single" w:color="auto" w:sz="4" w:space="0"/>
            </w:tcBorders>
            <w:tcMar>
              <w:top w:w="0" w:type="dxa"/>
              <w:left w:w="108" w:type="dxa"/>
              <w:bottom w:w="0" w:type="dxa"/>
              <w:right w:w="108" w:type="dxa"/>
            </w:tcMar>
            <w:vAlign w:val="center"/>
          </w:tcPr>
          <w:p>
            <w:pPr>
              <w:autoSpaceDE w:val="0"/>
              <w:autoSpaceDN w:val="0"/>
              <w:adjustRightInd w:val="0"/>
              <w:spacing w:line="240" w:lineRule="auto"/>
              <w:ind w:firstLine="0" w:firstLineChars="0"/>
              <w:contextualSpacing/>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规划情况</w:t>
            </w:r>
          </w:p>
        </w:tc>
        <w:tc>
          <w:tcPr>
            <w:tcW w:w="7396" w:type="dxa"/>
            <w:gridSpan w:val="3"/>
            <w:tcBorders>
              <w:top w:val="single" w:color="auto" w:sz="4" w:space="0"/>
              <w:left w:val="single" w:color="auto" w:sz="4" w:space="0"/>
              <w:bottom w:val="single" w:color="auto" w:sz="4" w:space="0"/>
              <w:right w:val="single" w:color="auto" w:sz="8" w:space="0"/>
            </w:tcBorders>
            <w:tcMar>
              <w:top w:w="0" w:type="dxa"/>
              <w:left w:w="108" w:type="dxa"/>
              <w:bottom w:w="0" w:type="dxa"/>
              <w:right w:w="108" w:type="dxa"/>
            </w:tcMar>
            <w:vAlign w:val="center"/>
          </w:tcPr>
          <w:p>
            <w:pPr>
              <w:spacing w:line="288" w:lineRule="auto"/>
              <w:ind w:firstLine="0" w:firstLineChars="0"/>
              <w:contextualSpacing/>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1589" w:type="dxa"/>
            <w:tcBorders>
              <w:top w:val="single" w:color="auto" w:sz="4" w:space="0"/>
              <w:left w:val="single" w:color="auto" w:sz="8" w:space="0"/>
              <w:bottom w:val="single" w:color="auto" w:sz="4" w:space="0"/>
              <w:right w:val="single" w:color="auto" w:sz="4" w:space="0"/>
            </w:tcBorders>
            <w:tcMar>
              <w:top w:w="0" w:type="dxa"/>
              <w:left w:w="108" w:type="dxa"/>
              <w:bottom w:w="0" w:type="dxa"/>
              <w:right w:w="108"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规划环境影响</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评价情况</w:t>
            </w:r>
          </w:p>
        </w:tc>
        <w:tc>
          <w:tcPr>
            <w:tcW w:w="7396" w:type="dxa"/>
            <w:gridSpan w:val="3"/>
            <w:tcBorders>
              <w:top w:val="single" w:color="auto" w:sz="4" w:space="0"/>
              <w:left w:val="single" w:color="auto" w:sz="4" w:space="0"/>
              <w:bottom w:val="single" w:color="auto" w:sz="4" w:space="0"/>
              <w:right w:val="single" w:color="auto" w:sz="8" w:space="0"/>
            </w:tcBorders>
            <w:tcMar>
              <w:top w:w="0" w:type="dxa"/>
              <w:left w:w="108" w:type="dxa"/>
              <w:bottom w:w="0" w:type="dxa"/>
              <w:right w:w="108" w:type="dxa"/>
            </w:tcMar>
            <w:vAlign w:val="center"/>
          </w:tcPr>
          <w:p>
            <w:pPr>
              <w:spacing w:line="288"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47" w:hRule="atLeast"/>
          <w:jc w:val="center"/>
        </w:trPr>
        <w:tc>
          <w:tcPr>
            <w:tcW w:w="1589" w:type="dxa"/>
            <w:tcBorders>
              <w:top w:val="single" w:color="auto" w:sz="4" w:space="0"/>
              <w:left w:val="single" w:color="auto" w:sz="8" w:space="0"/>
              <w:bottom w:val="single" w:color="auto" w:sz="4" w:space="0"/>
              <w:right w:val="single" w:color="auto" w:sz="4" w:space="0"/>
            </w:tcBorders>
            <w:tcMar>
              <w:top w:w="0" w:type="dxa"/>
              <w:left w:w="108" w:type="dxa"/>
              <w:bottom w:w="0" w:type="dxa"/>
              <w:right w:w="108" w:type="dxa"/>
            </w:tcMar>
            <w:vAlign w:val="center"/>
          </w:tcPr>
          <w:p>
            <w:pPr>
              <w:autoSpaceDE w:val="0"/>
              <w:autoSpaceDN w:val="0"/>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规划及规划环境影响评价符合性分析</w:t>
            </w:r>
          </w:p>
        </w:tc>
        <w:tc>
          <w:tcPr>
            <w:tcW w:w="7396" w:type="dxa"/>
            <w:gridSpan w:val="3"/>
            <w:tcBorders>
              <w:top w:val="single" w:color="auto" w:sz="4" w:space="0"/>
              <w:left w:val="single" w:color="auto" w:sz="4" w:space="0"/>
              <w:bottom w:val="single" w:color="auto" w:sz="4" w:space="0"/>
              <w:right w:val="single" w:color="auto" w:sz="8" w:space="0"/>
            </w:tcBorders>
            <w:tcMar>
              <w:top w:w="0" w:type="dxa"/>
              <w:left w:w="108" w:type="dxa"/>
              <w:bottom w:w="0" w:type="dxa"/>
              <w:right w:w="108" w:type="dxa"/>
            </w:tcMar>
            <w:vAlign w:val="center"/>
          </w:tcPr>
          <w:p>
            <w:pPr>
              <w:autoSpaceDE w:val="0"/>
              <w:autoSpaceDN w:val="0"/>
              <w:adjustRightInd w:val="0"/>
              <w:snapToGrid w:val="0"/>
              <w:spacing w:line="240" w:lineRule="auto"/>
              <w:ind w:firstLine="0" w:firstLineChars="0"/>
              <w:jc w:val="center"/>
              <w:rPr>
                <w:rFonts w:hint="eastAsia" w:ascii="Times New Roman" w:hAnsi="Times New Roman" w:cs="Times New Roman"/>
                <w:color w:val="auto"/>
                <w:kern w:val="0"/>
                <w:sz w:val="21"/>
                <w:szCs w:val="21"/>
                <w:lang w:val="en-US" w:eastAsia="zh-CN"/>
              </w:rPr>
            </w:pPr>
            <w:r>
              <w:rPr>
                <w:rFonts w:hint="eastAsia" w:ascii="Times New Roman" w:hAnsi="Times New Roman" w:cs="Times New Roman"/>
                <w:color w:val="auto"/>
                <w:kern w:val="0"/>
                <w:sz w:val="21"/>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06" w:hRule="atLeast"/>
          <w:jc w:val="center"/>
        </w:trPr>
        <w:tc>
          <w:tcPr>
            <w:tcW w:w="1589" w:type="dxa"/>
            <w:tcBorders>
              <w:top w:val="single" w:color="auto" w:sz="4" w:space="0"/>
              <w:left w:val="single" w:color="auto" w:sz="8" w:space="0"/>
              <w:bottom w:val="single" w:color="auto" w:sz="8" w:space="0"/>
              <w:right w:val="single" w:color="auto" w:sz="4" w:space="0"/>
            </w:tcBorders>
            <w:tcMar>
              <w:top w:w="0" w:type="dxa"/>
              <w:left w:w="108" w:type="dxa"/>
              <w:bottom w:w="0" w:type="dxa"/>
              <w:right w:w="108" w:type="dxa"/>
            </w:tcMar>
            <w:vAlign w:val="center"/>
          </w:tcPr>
          <w:p>
            <w:pPr>
              <w:autoSpaceDE w:val="0"/>
              <w:autoSpaceDN w:val="0"/>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其他符合性分析</w:t>
            </w:r>
          </w:p>
        </w:tc>
        <w:tc>
          <w:tcPr>
            <w:tcW w:w="7396" w:type="dxa"/>
            <w:gridSpan w:val="3"/>
            <w:tcBorders>
              <w:top w:val="single" w:color="auto" w:sz="4" w:space="0"/>
              <w:left w:val="single" w:color="auto" w:sz="4" w:space="0"/>
              <w:bottom w:val="single" w:color="auto" w:sz="8" w:space="0"/>
              <w:right w:val="single" w:color="auto" w:sz="8" w:space="0"/>
            </w:tcBorders>
            <w:tcMar>
              <w:top w:w="0" w:type="dxa"/>
              <w:left w:w="108" w:type="dxa"/>
              <w:bottom w:w="0" w:type="dxa"/>
              <w:right w:w="108" w:type="dxa"/>
            </w:tcMar>
            <w:vAlign w:val="center"/>
          </w:tcPr>
          <w:p>
            <w:pPr>
              <w:autoSpaceDE w:val="0"/>
              <w:autoSpaceDN w:val="0"/>
              <w:adjustRightInd w:val="0"/>
              <w:spacing w:line="360" w:lineRule="auto"/>
              <w:ind w:firstLine="420"/>
              <w:jc w:val="left"/>
              <w:rPr>
                <w:rFonts w:hint="default" w:ascii="Times New Roman" w:hAnsi="Times New Roman" w:cs="Times New Roman"/>
                <w:b/>
                <w:bCs/>
                <w:color w:val="auto"/>
                <w:sz w:val="21"/>
                <w:szCs w:val="21"/>
              </w:rPr>
            </w:pPr>
            <w:r>
              <w:rPr>
                <w:rFonts w:hint="eastAsia" w:cs="Times New Roman"/>
                <w:b/>
                <w:bCs/>
                <w:color w:val="auto"/>
                <w:sz w:val="21"/>
                <w:szCs w:val="21"/>
                <w:lang w:val="en-US" w:eastAsia="zh-CN"/>
              </w:rPr>
              <w:t>1</w:t>
            </w:r>
            <w:r>
              <w:rPr>
                <w:rFonts w:hint="default" w:ascii="Times New Roman" w:hAnsi="Times New Roman" w:cs="Times New Roman"/>
                <w:b/>
                <w:bCs/>
                <w:color w:val="auto"/>
                <w:sz w:val="21"/>
                <w:szCs w:val="21"/>
              </w:rPr>
              <w:t>、产业政策符合性</w:t>
            </w:r>
          </w:p>
          <w:p>
            <w:pPr>
              <w:autoSpaceDE w:val="0"/>
              <w:autoSpaceDN w:val="0"/>
              <w:adjustRightInd w:val="0"/>
              <w:spacing w:line="360" w:lineRule="auto"/>
              <w:ind w:firstLine="420"/>
              <w:jc w:val="lef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产业结构调整指导目录（2019年本）》，该项目不属于鼓励类、限制类和淘汰类建设项目，为允许类，不属于《河北省新增限制和淘汰类产业目录(2015年版)》中的产业类别，本项目已经由迁安市行政审批局备案，备案编号为：迁行审投资备字[202</w:t>
            </w:r>
            <w:r>
              <w:rPr>
                <w:rFonts w:hint="eastAsia" w:cs="Times New Roman"/>
                <w:color w:val="auto"/>
                <w:sz w:val="21"/>
                <w:szCs w:val="21"/>
                <w:lang w:val="en-US" w:eastAsia="zh-CN"/>
              </w:rPr>
              <w:t>2</w:t>
            </w:r>
            <w:r>
              <w:rPr>
                <w:rFonts w:hint="default" w:ascii="Times New Roman" w:hAnsi="Times New Roman" w:cs="Times New Roman"/>
                <w:color w:val="auto"/>
                <w:sz w:val="21"/>
                <w:szCs w:val="21"/>
              </w:rPr>
              <w:t>]</w:t>
            </w:r>
            <w:r>
              <w:rPr>
                <w:rFonts w:hint="eastAsia" w:cs="Times New Roman"/>
                <w:color w:val="auto"/>
                <w:sz w:val="21"/>
                <w:szCs w:val="21"/>
                <w:lang w:val="en-US" w:eastAsia="zh-CN"/>
              </w:rPr>
              <w:t>169</w:t>
            </w:r>
            <w:r>
              <w:rPr>
                <w:rFonts w:hint="default" w:ascii="Times New Roman" w:hAnsi="Times New Roman" w:cs="Times New Roman"/>
                <w:color w:val="auto"/>
                <w:sz w:val="21"/>
                <w:szCs w:val="21"/>
              </w:rPr>
              <w:t>号。项目建设符合国家及地方产业政策。</w:t>
            </w:r>
          </w:p>
          <w:p>
            <w:pPr>
              <w:autoSpaceDE w:val="0"/>
              <w:autoSpaceDN w:val="0"/>
              <w:adjustRightInd w:val="0"/>
              <w:spacing w:line="360" w:lineRule="auto"/>
              <w:ind w:firstLine="420"/>
              <w:jc w:val="left"/>
              <w:rPr>
                <w:rFonts w:hint="default" w:cs="Times New Roman"/>
                <w:b/>
                <w:bCs/>
                <w:color w:val="auto"/>
                <w:sz w:val="21"/>
                <w:szCs w:val="21"/>
                <w:lang w:val="en-US" w:eastAsia="zh-CN"/>
              </w:rPr>
            </w:pPr>
            <w:r>
              <w:rPr>
                <w:rFonts w:hint="eastAsia" w:cs="Times New Roman"/>
                <w:b/>
                <w:bCs/>
                <w:color w:val="auto"/>
                <w:sz w:val="21"/>
                <w:szCs w:val="21"/>
                <w:lang w:val="en-US" w:eastAsia="zh-CN"/>
              </w:rPr>
              <w:t>2、选址合理性</w:t>
            </w:r>
          </w:p>
          <w:p>
            <w:pPr>
              <w:autoSpaceDE w:val="0"/>
              <w:autoSpaceDN w:val="0"/>
              <w:adjustRightInd w:val="0"/>
              <w:spacing w:line="360" w:lineRule="auto"/>
              <w:ind w:firstLine="420"/>
              <w:jc w:val="left"/>
              <w:rPr>
                <w:rFonts w:hint="default" w:eastAsia="宋体" w:cs="Times New Roman"/>
                <w:b/>
                <w:bCs/>
                <w:color w:val="auto"/>
                <w:sz w:val="21"/>
                <w:szCs w:val="21"/>
                <w:lang w:val="en-US" w:eastAsia="zh-CN"/>
              </w:rPr>
            </w:pPr>
            <w:r>
              <w:rPr>
                <w:rFonts w:hint="eastAsia" w:cs="Times New Roman"/>
                <w:b w:val="0"/>
                <w:bCs w:val="0"/>
                <w:color w:val="auto"/>
                <w:sz w:val="21"/>
                <w:szCs w:val="21"/>
                <w:lang w:val="en-US" w:eastAsia="zh-CN"/>
              </w:rPr>
              <w:t>本项目位于</w:t>
            </w:r>
            <w:r>
              <w:rPr>
                <w:rFonts w:hint="default" w:ascii="Times New Roman" w:hAnsi="Times New Roman" w:cs="Times New Roman"/>
                <w:b w:val="0"/>
                <w:bCs w:val="0"/>
                <w:color w:val="auto"/>
                <w:sz w:val="21"/>
                <w:szCs w:val="21"/>
                <w:u w:val="none"/>
              </w:rPr>
              <w:t>迁安</w:t>
            </w:r>
            <w:r>
              <w:rPr>
                <w:rFonts w:hint="default" w:ascii="Times New Roman" w:hAnsi="Times New Roman" w:cs="Times New Roman"/>
                <w:color w:val="auto"/>
                <w:sz w:val="21"/>
                <w:szCs w:val="21"/>
                <w:u w:val="none"/>
              </w:rPr>
              <w:t>市野鸡坨镇邵家营村南</w:t>
            </w:r>
            <w:r>
              <w:rPr>
                <w:rFonts w:hint="eastAsia" w:cs="Times New Roman"/>
                <w:color w:val="auto"/>
                <w:sz w:val="21"/>
                <w:szCs w:val="21"/>
                <w:u w:val="none"/>
                <w:lang w:eastAsia="zh-CN"/>
              </w:rPr>
              <w:t>，</w:t>
            </w:r>
            <w:r>
              <w:rPr>
                <w:rFonts w:hint="eastAsia" w:cs="Times New Roman"/>
                <w:color w:val="auto"/>
                <w:sz w:val="21"/>
                <w:szCs w:val="21"/>
                <w:u w:val="none"/>
                <w:lang w:val="en-US" w:eastAsia="zh-CN"/>
              </w:rPr>
              <w:t>租用</w:t>
            </w:r>
            <w:r>
              <w:rPr>
                <w:rFonts w:hint="eastAsia" w:cs="Times New Roman"/>
                <w:color w:val="auto"/>
                <w:kern w:val="0"/>
                <w:sz w:val="21"/>
                <w:szCs w:val="21"/>
                <w:lang w:val="en-US" w:eastAsia="zh-CN"/>
              </w:rPr>
              <w:t>北京五洲泡沫塑料有限公司迁安分公司院内闲置车间，根据企业提供的租赁协议及迁安市野鸡坨镇人民政府出具的情况说明可知，拟同意该项目选址，符合规划要求。</w:t>
            </w:r>
          </w:p>
          <w:p>
            <w:pPr>
              <w:autoSpaceDE w:val="0"/>
              <w:autoSpaceDN w:val="0"/>
              <w:adjustRightInd w:val="0"/>
              <w:spacing w:line="360" w:lineRule="auto"/>
              <w:ind w:firstLine="420"/>
              <w:jc w:val="left"/>
              <w:rPr>
                <w:rFonts w:hint="default" w:ascii="Times New Roman" w:hAnsi="Times New Roman" w:eastAsia="宋体" w:cs="Times New Roman"/>
                <w:b/>
                <w:bCs/>
                <w:color w:val="auto"/>
                <w:sz w:val="21"/>
                <w:szCs w:val="21"/>
              </w:rPr>
            </w:pPr>
            <w:r>
              <w:rPr>
                <w:rFonts w:hint="eastAsia" w:cs="Times New Roman"/>
                <w:b/>
                <w:bCs/>
                <w:color w:val="auto"/>
                <w:sz w:val="21"/>
                <w:szCs w:val="21"/>
                <w:lang w:val="en-US" w:eastAsia="zh-CN"/>
              </w:rPr>
              <w:t>3</w:t>
            </w:r>
            <w:r>
              <w:rPr>
                <w:rFonts w:hint="default" w:ascii="Times New Roman" w:hAnsi="Times New Roman" w:eastAsia="宋体" w:cs="Times New Roman"/>
                <w:b/>
                <w:bCs/>
                <w:color w:val="auto"/>
                <w:sz w:val="21"/>
                <w:szCs w:val="21"/>
              </w:rPr>
              <w:t>、 “三线一单”符合性分析</w:t>
            </w:r>
          </w:p>
          <w:p>
            <w:pPr>
              <w:autoSpaceDE w:val="0"/>
              <w:autoSpaceDN w:val="0"/>
              <w:adjustRightInd w:val="0"/>
              <w:spacing w:line="360" w:lineRule="auto"/>
              <w:ind w:firstLine="420"/>
              <w:jc w:val="left"/>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根据《关于改善环境质量为核心加强环境影响评价管理的通知》（环环评[2016]150号），要求以生态保护红线、环境质量底线、资源利用上线和环境准入负面清单（以下简称“三线一单”）为手段，强化空间、总量和准入环境管理。项目建设与上述要求的符合性分析如下：</w:t>
            </w:r>
          </w:p>
          <w:p>
            <w:pPr>
              <w:bidi w:val="0"/>
              <w:spacing w:line="240" w:lineRule="auto"/>
              <w:ind w:firstLine="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表</w:t>
            </w:r>
            <w:r>
              <w:rPr>
                <w:rFonts w:hint="default" w:ascii="Times New Roman" w:hAnsi="Times New Roman" w:eastAsia="宋体" w:cs="Times New Roman"/>
                <w:b/>
                <w:bCs/>
                <w:sz w:val="21"/>
                <w:szCs w:val="21"/>
                <w:lang w:val="en-US" w:eastAsia="zh-CN"/>
              </w:rPr>
              <w:t xml:space="preserve">1    </w:t>
            </w:r>
            <w:r>
              <w:rPr>
                <w:rFonts w:hint="default" w:ascii="Times New Roman" w:hAnsi="Times New Roman" w:eastAsia="宋体" w:cs="Times New Roman"/>
                <w:b/>
                <w:bCs/>
                <w:sz w:val="21"/>
                <w:szCs w:val="21"/>
              </w:rPr>
              <w:t>“三线一单”符合性分析</w:t>
            </w:r>
          </w:p>
          <w:tbl>
            <w:tblPr>
              <w:tblStyle w:val="20"/>
              <w:tblW w:w="72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83"/>
              <w:gridCol w:w="5589"/>
              <w:gridCol w:w="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67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文件要求</w:t>
                  </w:r>
                </w:p>
              </w:tc>
              <w:tc>
                <w:tcPr>
                  <w:tcW w:w="385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拟建项目情况</w:t>
                  </w:r>
                </w:p>
              </w:tc>
              <w:tc>
                <w:tcPr>
                  <w:tcW w:w="462"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678" w:type="pct"/>
                  <w:vMerge w:val="restar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center"/>
                    <w:textAlignment w:val="bottom"/>
                    <w:rPr>
                      <w:rFonts w:hint="default" w:ascii="Times New Roman" w:hAnsi="Times New Roman" w:cs="Times New Roman"/>
                      <w:color w:val="auto"/>
                      <w:sz w:val="21"/>
                      <w:szCs w:val="21"/>
                    </w:rPr>
                  </w:pPr>
                </w:p>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center"/>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在项目环评中建立“三线一单”约束机制，强化准入管理</w:t>
                  </w:r>
                </w:p>
              </w:tc>
              <w:tc>
                <w:tcPr>
                  <w:tcW w:w="385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both"/>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环境质量底线：(1)环境空气：项目选址区域为环境空气功能区二类区，执行二级标准。根据环境空气质量现状的数据，迁安地区为不达标区域。</w:t>
                  </w:r>
                  <w:r>
                    <w:rPr>
                      <w:rFonts w:hint="eastAsia" w:ascii="Times New Roman" w:hAnsi="Times New Roman" w:cs="Times New Roman"/>
                      <w:color w:val="auto"/>
                      <w:sz w:val="21"/>
                      <w:szCs w:val="21"/>
                      <w:lang w:val="en-US" w:eastAsia="zh-CN"/>
                    </w:rPr>
                    <w:t>本项目产生的非甲烷总烃经环保措施治理后，</w:t>
                  </w:r>
                  <w:r>
                    <w:rPr>
                      <w:rFonts w:hint="default" w:ascii="Times New Roman" w:hAnsi="Times New Roman" w:cs="Times New Roman"/>
                      <w:color w:val="auto"/>
                      <w:sz w:val="21"/>
                      <w:szCs w:val="21"/>
                      <w:lang w:val="en-US" w:eastAsia="zh-CN"/>
                    </w:rPr>
                    <w:t>排放</w:t>
                  </w:r>
                  <w:r>
                    <w:rPr>
                      <w:rFonts w:hint="eastAsia" w:ascii="Times New Roman" w:hAnsi="Times New Roman" w:cs="Times New Roman"/>
                      <w:color w:val="auto"/>
                      <w:sz w:val="21"/>
                      <w:szCs w:val="21"/>
                      <w:lang w:val="en-US" w:eastAsia="zh-CN"/>
                    </w:rPr>
                    <w:t>量</w:t>
                  </w:r>
                  <w:r>
                    <w:rPr>
                      <w:rFonts w:hint="default" w:ascii="Times New Roman" w:hAnsi="Times New Roman" w:cs="Times New Roman"/>
                      <w:color w:val="auto"/>
                      <w:sz w:val="21"/>
                      <w:szCs w:val="21"/>
                      <w:lang w:val="en-US" w:eastAsia="zh-CN"/>
                    </w:rPr>
                    <w:t>较小，</w:t>
                  </w:r>
                  <w:r>
                    <w:rPr>
                      <w:rFonts w:hint="default" w:ascii="Times New Roman" w:hAnsi="Times New Roman" w:cs="Times New Roman"/>
                      <w:color w:val="auto"/>
                      <w:sz w:val="21"/>
                      <w:szCs w:val="21"/>
                    </w:rPr>
                    <w:t>对区域的污染贡献不大，对周围大气环境影响较小。(2)水环境：</w:t>
                  </w:r>
                  <w:r>
                    <w:rPr>
                      <w:rFonts w:hint="eastAsia" w:ascii="Times New Roman" w:hAnsi="Times New Roman" w:cs="Times New Roman"/>
                      <w:color w:val="auto"/>
                      <w:sz w:val="21"/>
                      <w:szCs w:val="21"/>
                      <w:lang w:val="en-US" w:eastAsia="zh-CN"/>
                    </w:rPr>
                    <w:t>本项目无生产废水外排，</w:t>
                  </w:r>
                  <w:r>
                    <w:rPr>
                      <w:rFonts w:hint="default" w:ascii="Times New Roman" w:hAnsi="Times New Roman" w:cs="Times New Roman"/>
                      <w:color w:val="auto"/>
                      <w:sz w:val="21"/>
                      <w:szCs w:val="21"/>
                    </w:rPr>
                    <w:t>生活污水水质简单，</w:t>
                  </w:r>
                  <w:r>
                    <w:rPr>
                      <w:rFonts w:hint="eastAsia" w:ascii="Times New Roman" w:hAnsi="Times New Roman" w:cs="Times New Roman"/>
                      <w:color w:val="auto"/>
                      <w:sz w:val="21"/>
                      <w:szCs w:val="21"/>
                      <w:lang w:val="en-US" w:eastAsia="zh-CN"/>
                    </w:rPr>
                    <w:t>泼洒抑尘不外排</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rPr>
                    <w:t>(3)声环境：项目采取了完善的噪声控制措施，经预测，厂界噪声达标排放。</w:t>
                  </w:r>
                </w:p>
              </w:tc>
              <w:tc>
                <w:tcPr>
                  <w:tcW w:w="462"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678" w:type="pct"/>
                  <w:vMerge w:val="continue"/>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p>
              </w:tc>
              <w:tc>
                <w:tcPr>
                  <w:tcW w:w="385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both"/>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资源利用上线：项目</w:t>
                  </w:r>
                  <w:r>
                    <w:rPr>
                      <w:rFonts w:hint="eastAsia" w:ascii="Times New Roman" w:hAnsi="Times New Roman" w:cs="Times New Roman"/>
                      <w:color w:val="auto"/>
                      <w:sz w:val="21"/>
                      <w:szCs w:val="21"/>
                      <w:lang w:val="en-US" w:eastAsia="zh-CN"/>
                    </w:rPr>
                    <w:t>用水依托当地自来水管网</w:t>
                  </w:r>
                  <w:r>
                    <w:rPr>
                      <w:rFonts w:hint="eastAsia" w:ascii="Times New Roman" w:hAnsi="Times New Roman" w:cs="Times New Roman"/>
                      <w:color w:val="auto"/>
                      <w:sz w:val="21"/>
                      <w:szCs w:val="21"/>
                      <w:lang w:eastAsia="zh-CN"/>
                    </w:rPr>
                    <w:t>；</w:t>
                  </w:r>
                  <w:r>
                    <w:rPr>
                      <w:rFonts w:hint="default" w:ascii="Times New Roman" w:hAnsi="Times New Roman" w:cs="Times New Roman"/>
                      <w:color w:val="auto"/>
                      <w:sz w:val="21"/>
                      <w:szCs w:val="21"/>
                    </w:rPr>
                    <w:t>项目电源引自</w:t>
                  </w:r>
                  <w:r>
                    <w:rPr>
                      <w:rFonts w:hint="eastAsia" w:ascii="Times New Roman" w:hAnsi="Times New Roman" w:cs="Times New Roman"/>
                      <w:color w:val="auto"/>
                      <w:sz w:val="21"/>
                      <w:szCs w:val="21"/>
                      <w:lang w:val="en-US" w:eastAsia="zh-CN"/>
                    </w:rPr>
                    <w:t>当地电网</w:t>
                  </w:r>
                  <w:r>
                    <w:rPr>
                      <w:rFonts w:hint="default" w:ascii="Times New Roman" w:hAnsi="Times New Roman" w:cs="Times New Roman"/>
                      <w:color w:val="auto"/>
                      <w:sz w:val="21"/>
                      <w:szCs w:val="21"/>
                    </w:rPr>
                    <w:t>，能够满足项目生产要求。项目</w:t>
                  </w:r>
                  <w:r>
                    <w:rPr>
                      <w:rFonts w:hint="eastAsia" w:ascii="Times New Roman" w:hAnsi="Times New Roman" w:cs="Times New Roman"/>
                      <w:color w:val="auto"/>
                      <w:sz w:val="21"/>
                      <w:szCs w:val="21"/>
                      <w:lang w:val="en-US" w:eastAsia="zh-CN"/>
                    </w:rPr>
                    <w:t>占地</w:t>
                  </w:r>
                  <w:r>
                    <w:rPr>
                      <w:rFonts w:hint="default" w:ascii="Times New Roman" w:hAnsi="Times New Roman" w:cs="Times New Roman"/>
                      <w:color w:val="auto"/>
                      <w:sz w:val="21"/>
                      <w:szCs w:val="21"/>
                    </w:rPr>
                    <w:t>符合《迁安市土地利用总体规划（2010~2020）》。</w:t>
                  </w:r>
                </w:p>
              </w:tc>
              <w:tc>
                <w:tcPr>
                  <w:tcW w:w="462"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678" w:type="pct"/>
                  <w:vMerge w:val="continue"/>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p>
              </w:tc>
              <w:tc>
                <w:tcPr>
                  <w:tcW w:w="385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both"/>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生态保护红线：项目位于迁安市野鸡坨镇邵家营村南</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根据迁安市生态保护红线图，拟建工程</w:t>
                  </w:r>
                  <w:r>
                    <w:rPr>
                      <w:rFonts w:hint="eastAsia" w:ascii="Times New Roman" w:hAnsi="Times New Roman" w:cs="Times New Roman"/>
                      <w:color w:val="auto"/>
                      <w:sz w:val="21"/>
                      <w:szCs w:val="21"/>
                      <w:lang w:val="en-US" w:eastAsia="zh-CN"/>
                    </w:rPr>
                    <w:t>距离最近生态红线</w:t>
                  </w:r>
                  <w:r>
                    <w:rPr>
                      <w:rFonts w:hint="eastAsia" w:cs="Times New Roman"/>
                      <w:color w:val="auto"/>
                      <w:sz w:val="21"/>
                      <w:szCs w:val="21"/>
                      <w:lang w:val="en-US" w:eastAsia="zh-CN"/>
                    </w:rPr>
                    <w:t>5000</w:t>
                  </w:r>
                  <w:r>
                    <w:rPr>
                      <w:rFonts w:hint="eastAsia" w:ascii="Times New Roman" w:hAnsi="Times New Roman" w:cs="Times New Roman"/>
                      <w:color w:val="auto"/>
                      <w:sz w:val="21"/>
                      <w:szCs w:val="21"/>
                      <w:lang w:val="en-US" w:eastAsia="zh-CN"/>
                    </w:rPr>
                    <w:t>m，</w:t>
                  </w:r>
                  <w:r>
                    <w:rPr>
                      <w:rFonts w:hint="default" w:ascii="Times New Roman" w:hAnsi="Times New Roman" w:cs="Times New Roman"/>
                      <w:color w:val="auto"/>
                      <w:sz w:val="21"/>
                      <w:szCs w:val="21"/>
                    </w:rPr>
                    <w:t>不在生态保护红线范围内。</w:t>
                  </w:r>
                </w:p>
              </w:tc>
              <w:tc>
                <w:tcPr>
                  <w:tcW w:w="462"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jc w:val="center"/>
              </w:trPr>
              <w:tc>
                <w:tcPr>
                  <w:tcW w:w="678" w:type="pct"/>
                  <w:vMerge w:val="continue"/>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p>
              </w:tc>
              <w:tc>
                <w:tcPr>
                  <w:tcW w:w="3858"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jc w:val="both"/>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准入负面清单：根据《产业结构调整指导目录（2019年本）》，该项目不属于鼓励类、限制类和淘汰类建设项目，为允许类，不属于《河北省新增限制和淘汰类产业目录(2015年版)》中的产业类别，本项目已经由迁安市行政审批局备案，备案编号为：迁行审投资备字[2022]169号。项目建设符合国家及地方产业政策。</w:t>
                  </w:r>
                </w:p>
              </w:tc>
              <w:tc>
                <w:tcPr>
                  <w:tcW w:w="462" w:type="pct"/>
                  <w:tcBorders>
                    <w:top w:val="single" w:color="auto" w:sz="4" w:space="0"/>
                    <w:left w:val="single" w:color="auto" w:sz="4" w:space="0"/>
                    <w:bottom w:val="single" w:color="auto" w:sz="4" w:space="0"/>
                    <w:right w:val="single" w:color="auto" w:sz="4" w:space="0"/>
                  </w:tcBorders>
                  <w:noWrap w:val="0"/>
                  <w:vAlign w:val="center"/>
                </w:tcPr>
                <w:p>
                  <w:pPr>
                    <w:pStyle w:val="31"/>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240" w:lineRule="auto"/>
                    <w:ind w:left="0" w:right="0" w:firstLine="0" w:firstLineChars="0"/>
                    <w:textAlignment w:val="bottom"/>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bl>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与《唐山市人民政府关于实施“三线一单”生态环境分区管控的意见》(唐政字[2021]48号)符合性分析</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本项目位于迁安市野鸡坨镇邵家营村南，属于</w:t>
            </w:r>
            <w:r>
              <w:rPr>
                <w:rFonts w:hint="eastAsia" w:cs="Times New Roman"/>
                <w:color w:val="auto"/>
                <w:sz w:val="21"/>
                <w:szCs w:val="21"/>
                <w:lang w:val="en-US" w:eastAsia="zh-CN"/>
              </w:rPr>
              <w:t>重点</w:t>
            </w:r>
            <w:r>
              <w:rPr>
                <w:rFonts w:hint="default" w:ascii="Times New Roman" w:hAnsi="Times New Roman" w:cs="Times New Roman"/>
                <w:color w:val="auto"/>
                <w:sz w:val="21"/>
                <w:szCs w:val="21"/>
              </w:rPr>
              <w:t>管控单元，根据管控措施要求，严格执行国家和省关于产业准入、总量控制和污染物排放标准等管控要求</w:t>
            </w:r>
            <w:r>
              <w:rPr>
                <w:rFonts w:hint="eastAsia" w:cs="Times New Roman"/>
                <w:color w:val="auto"/>
                <w:sz w:val="21"/>
                <w:szCs w:val="21"/>
                <w:lang w:eastAsia="zh-CN"/>
              </w:rPr>
              <w:t>，</w:t>
            </w:r>
            <w:r>
              <w:rPr>
                <w:rFonts w:hint="eastAsia" w:cs="Times New Roman"/>
                <w:color w:val="auto"/>
                <w:sz w:val="21"/>
                <w:szCs w:val="21"/>
                <w:lang w:val="en-US" w:eastAsia="zh-CN"/>
              </w:rPr>
              <w:t>本项目与</w:t>
            </w:r>
            <w:r>
              <w:rPr>
                <w:rFonts w:hint="default" w:ascii="Times New Roman" w:hAnsi="Times New Roman" w:cs="Times New Roman"/>
                <w:color w:val="auto"/>
                <w:sz w:val="21"/>
                <w:szCs w:val="21"/>
              </w:rPr>
              <w:t>唐山市环境管控单元分布图详见</w:t>
            </w:r>
            <w:r>
              <w:rPr>
                <w:rFonts w:hint="eastAsia" w:ascii="Times New Roman" w:hAnsi="Times New Roman" w:cs="Times New Roman"/>
                <w:color w:val="auto"/>
                <w:sz w:val="21"/>
                <w:szCs w:val="21"/>
                <w:lang w:val="en-US" w:eastAsia="zh-CN"/>
              </w:rPr>
              <w:t>附图</w:t>
            </w:r>
            <w:r>
              <w:rPr>
                <w:rFonts w:hint="default" w:ascii="Times New Roman" w:hAnsi="Times New Roman" w:cs="Times New Roman"/>
                <w:color w:val="auto"/>
                <w:sz w:val="21"/>
                <w:szCs w:val="21"/>
              </w:rPr>
              <w:t>，</w:t>
            </w:r>
          </w:p>
          <w:p>
            <w:pPr>
              <w:bidi w:val="0"/>
              <w:spacing w:line="240" w:lineRule="auto"/>
              <w:ind w:firstLine="0"/>
              <w:jc w:val="center"/>
              <w:rPr>
                <w:rFonts w:hint="default" w:ascii="Times New Roman" w:hAnsi="Times New Roman" w:eastAsia="宋体" w:cs="Times New Roman"/>
                <w:b/>
                <w:bCs/>
                <w:sz w:val="21"/>
                <w:szCs w:val="21"/>
              </w:rPr>
            </w:pPr>
            <w:r>
              <w:rPr>
                <w:rFonts w:hint="default" w:ascii="Times New Roman" w:hAnsi="Times New Roman" w:eastAsia="宋体" w:cs="Times New Roman"/>
                <w:b/>
                <w:bCs/>
                <w:sz w:val="21"/>
                <w:szCs w:val="21"/>
              </w:rPr>
              <w:t>表</w:t>
            </w:r>
            <w:r>
              <w:rPr>
                <w:rFonts w:hint="eastAsia" w:ascii="Times New Roman" w:hAnsi="Times New Roman" w:eastAsia="宋体" w:cs="Times New Roman"/>
                <w:b/>
                <w:bCs/>
                <w:sz w:val="21"/>
                <w:szCs w:val="21"/>
                <w:lang w:val="en-US" w:eastAsia="zh-CN"/>
              </w:rPr>
              <w:t xml:space="preserve">2 </w:t>
            </w:r>
            <w:r>
              <w:rPr>
                <w:rFonts w:hint="default" w:ascii="Times New Roman" w:hAnsi="Times New Roman" w:eastAsia="宋体" w:cs="Times New Roman"/>
                <w:b/>
                <w:bCs/>
                <w:sz w:val="21"/>
                <w:szCs w:val="21"/>
              </w:rPr>
              <w:t xml:space="preserve"> 与唐山市生态环境准入清单符合性分析</w:t>
            </w:r>
          </w:p>
          <w:tbl>
            <w:tblPr>
              <w:tblStyle w:val="21"/>
              <w:tblW w:w="70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4"/>
              <w:gridCol w:w="705"/>
              <w:gridCol w:w="375"/>
              <w:gridCol w:w="3525"/>
              <w:gridCol w:w="1710"/>
              <w:gridCol w:w="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8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编号</w:t>
                  </w:r>
                </w:p>
              </w:tc>
              <w:tc>
                <w:tcPr>
                  <w:tcW w:w="496"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环境要素类别</w:t>
                  </w:r>
                </w:p>
              </w:tc>
              <w:tc>
                <w:tcPr>
                  <w:tcW w:w="26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维度</w:t>
                  </w:r>
                </w:p>
              </w:tc>
              <w:tc>
                <w:tcPr>
                  <w:tcW w:w="2483"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管控措施</w:t>
                  </w:r>
                </w:p>
              </w:tc>
              <w:tc>
                <w:tcPr>
                  <w:tcW w:w="120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本项目</w:t>
                  </w:r>
                </w:p>
              </w:tc>
              <w:tc>
                <w:tcPr>
                  <w:tcW w:w="265"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84"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ZH1302832 0010</w:t>
                  </w:r>
                </w:p>
              </w:tc>
              <w:tc>
                <w:tcPr>
                  <w:tcW w:w="496"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1</w:t>
                  </w:r>
                  <w:r>
                    <w:rPr>
                      <w:rFonts w:hint="eastAsia" w:ascii="Times New Roman" w:hAnsi="Times New Roman" w:eastAsia="宋体" w:cs="Times New Roman"/>
                      <w:bCs/>
                      <w:color w:val="auto"/>
                      <w:kern w:val="0"/>
                      <w:sz w:val="21"/>
                      <w:szCs w:val="21"/>
                      <w:lang w:val="en-US" w:eastAsia="zh-CN" w:bidi="ar-SA"/>
                    </w:rPr>
                    <w:t>、大 气环 境受体敏感重点管控区</w:t>
                  </w:r>
                  <w:r>
                    <w:rPr>
                      <w:rFonts w:hint="default" w:ascii="Times New Roman" w:hAnsi="Times New Roman" w:eastAsia="宋体" w:cs="Times New Roman"/>
                      <w:bCs/>
                      <w:color w:val="auto"/>
                      <w:kern w:val="0"/>
                      <w:sz w:val="21"/>
                      <w:szCs w:val="21"/>
                      <w:lang w:val="en-US" w:eastAsia="zh-CN" w:bidi="ar-SA"/>
                    </w:rPr>
                    <w:t>2</w:t>
                  </w:r>
                  <w:r>
                    <w:rPr>
                      <w:rFonts w:hint="eastAsia" w:ascii="Times New Roman" w:hAnsi="Times New Roman" w:eastAsia="宋体" w:cs="Times New Roman"/>
                      <w:bCs/>
                      <w:color w:val="auto"/>
                      <w:kern w:val="0"/>
                      <w:sz w:val="21"/>
                      <w:szCs w:val="21"/>
                      <w:lang w:val="en-US" w:eastAsia="zh-CN" w:bidi="ar-SA"/>
                    </w:rPr>
                    <w:t>、高 污染 燃料禁燃区</w:t>
                  </w:r>
                  <w:r>
                    <w:rPr>
                      <w:rFonts w:hint="default" w:ascii="Times New Roman" w:hAnsi="Times New Roman" w:eastAsia="宋体" w:cs="Times New Roman"/>
                      <w:bCs/>
                      <w:color w:val="auto"/>
                      <w:kern w:val="0"/>
                      <w:sz w:val="21"/>
                      <w:szCs w:val="21"/>
                      <w:lang w:val="en-US" w:eastAsia="zh-CN" w:bidi="ar-SA"/>
                    </w:rPr>
                    <w:t>3</w:t>
                  </w:r>
                  <w:r>
                    <w:rPr>
                      <w:rFonts w:hint="eastAsia" w:ascii="Times New Roman" w:hAnsi="Times New Roman" w:eastAsia="宋体" w:cs="Times New Roman"/>
                      <w:bCs/>
                      <w:color w:val="auto"/>
                      <w:kern w:val="0"/>
                      <w:sz w:val="21"/>
                      <w:szCs w:val="21"/>
                      <w:lang w:val="en-US" w:eastAsia="zh-CN" w:bidi="ar-SA"/>
                    </w:rPr>
                    <w:t>、迁安 市城市开发边界</w:t>
                  </w:r>
                  <w:r>
                    <w:rPr>
                      <w:rFonts w:hint="default" w:ascii="Times New Roman" w:hAnsi="Times New Roman" w:eastAsia="宋体" w:cs="Times New Roman"/>
                      <w:bCs/>
                      <w:color w:val="auto"/>
                      <w:kern w:val="0"/>
                      <w:sz w:val="21"/>
                      <w:szCs w:val="21"/>
                      <w:lang w:val="en-US" w:eastAsia="zh-CN" w:bidi="ar-SA"/>
                    </w:rPr>
                    <w:t>4</w:t>
                  </w:r>
                  <w:r>
                    <w:rPr>
                      <w:rFonts w:hint="eastAsia" w:ascii="Times New Roman" w:hAnsi="Times New Roman" w:eastAsia="宋体" w:cs="Times New Roman"/>
                      <w:bCs/>
                      <w:color w:val="auto"/>
                      <w:kern w:val="0"/>
                      <w:sz w:val="21"/>
                      <w:szCs w:val="21"/>
                      <w:lang w:val="en-US" w:eastAsia="zh-CN" w:bidi="ar-SA"/>
                    </w:rPr>
                    <w:t xml:space="preserve">、水环 境城镇生活污染重点管控区 </w:t>
                  </w:r>
                  <w:r>
                    <w:rPr>
                      <w:rFonts w:hint="default" w:ascii="Times New Roman" w:hAnsi="Times New Roman" w:eastAsia="宋体" w:cs="Times New Roman"/>
                      <w:bCs/>
                      <w:color w:val="auto"/>
                      <w:kern w:val="0"/>
                      <w:sz w:val="21"/>
                      <w:szCs w:val="21"/>
                      <w:lang w:val="en-US" w:eastAsia="zh-CN" w:bidi="ar-SA"/>
                    </w:rPr>
                    <w:t>5</w:t>
                  </w:r>
                  <w:r>
                    <w:rPr>
                      <w:rFonts w:hint="eastAsia" w:ascii="Times New Roman" w:hAnsi="Times New Roman" w:eastAsia="宋体" w:cs="Times New Roman"/>
                      <w:bCs/>
                      <w:color w:val="auto"/>
                      <w:kern w:val="0"/>
                      <w:sz w:val="21"/>
                      <w:szCs w:val="21"/>
                      <w:lang w:val="en-US" w:eastAsia="zh-CN" w:bidi="ar-SA"/>
                    </w:rPr>
                    <w:t>、地 下水 风险防控重点管控区</w:t>
                  </w:r>
                </w:p>
              </w:tc>
              <w:tc>
                <w:tcPr>
                  <w:tcW w:w="26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空间布局约束</w:t>
                  </w:r>
                </w:p>
              </w:tc>
              <w:tc>
                <w:tcPr>
                  <w:tcW w:w="2483"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1、禁止新建和扩建酿造、制浆造纸、屠宰、畜禽养殖、印染、日用化学品制造、制革、高耗水食品加工等项目。2、新建企业原则上均应建在工业集聚区。对城市建成区内重污染企业、不符合安全防护距离和卫生防护距离的危化企业实施有序搬迁改造或依法关闭。</w:t>
                  </w:r>
                </w:p>
              </w:tc>
              <w:tc>
                <w:tcPr>
                  <w:tcW w:w="120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eastAsia"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本项目为新建</w:t>
                  </w:r>
                  <w:r>
                    <w:rPr>
                      <w:rFonts w:hint="default" w:ascii="Times New Roman" w:hAnsi="Times New Roman" w:cs="Times New Roman"/>
                      <w:color w:val="auto"/>
                      <w:sz w:val="21"/>
                      <w:szCs w:val="21"/>
                    </w:rPr>
                    <w:t>塑料制品</w:t>
                  </w:r>
                  <w:r>
                    <w:rPr>
                      <w:rFonts w:hint="eastAsia" w:cs="Times New Roman"/>
                      <w:color w:val="auto"/>
                      <w:sz w:val="21"/>
                      <w:szCs w:val="21"/>
                      <w:lang w:val="en-US" w:eastAsia="zh-CN"/>
                    </w:rPr>
                    <w:t>生产项目，位于</w:t>
                  </w:r>
                  <w:r>
                    <w:rPr>
                      <w:rFonts w:hint="default" w:ascii="Times New Roman" w:hAnsi="Times New Roman" w:cs="Times New Roman"/>
                      <w:color w:val="auto"/>
                      <w:sz w:val="21"/>
                      <w:szCs w:val="21"/>
                    </w:rPr>
                    <w:t>迁安市野鸡坨镇邵家营村南</w:t>
                  </w:r>
                  <w:r>
                    <w:rPr>
                      <w:rFonts w:hint="eastAsia" w:cs="Times New Roman"/>
                      <w:color w:val="auto"/>
                      <w:sz w:val="21"/>
                      <w:szCs w:val="21"/>
                      <w:lang w:eastAsia="zh-CN"/>
                    </w:rPr>
                    <w:t>。</w:t>
                  </w:r>
                </w:p>
              </w:tc>
              <w:tc>
                <w:tcPr>
                  <w:tcW w:w="265"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8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p>
              </w:tc>
              <w:tc>
                <w:tcPr>
                  <w:tcW w:w="496"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p>
              </w:tc>
              <w:tc>
                <w:tcPr>
                  <w:tcW w:w="26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污染物排放管控</w:t>
                  </w:r>
                </w:p>
              </w:tc>
              <w:tc>
                <w:tcPr>
                  <w:tcW w:w="2483"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right="0" w:right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1、加强涂料等行业 VOCs 治理力度。重点提高涉VOCs 排放主要工序密闭化水平，加强无组织排放收集，加大含VOCs 物料储存和装卸治理力度。2、涉VOCs排放工业企业污染物排行应达到《工业企业挥发性有机物排放控制标准》 （DB13/2322-2016）及《挥发性有机物无组织排放控制标准》（GB37822-2019）相关排放标准要求。</w:t>
                  </w:r>
                </w:p>
              </w:tc>
              <w:tc>
                <w:tcPr>
                  <w:tcW w:w="120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本项目</w:t>
                  </w:r>
                  <w:r>
                    <w:rPr>
                      <w:sz w:val="21"/>
                      <w:szCs w:val="21"/>
                    </w:rPr>
                    <w:t>废气采用“</w:t>
                  </w:r>
                  <w:r>
                    <w:rPr>
                      <w:rFonts w:hint="eastAsia"/>
                      <w:sz w:val="21"/>
                      <w:szCs w:val="21"/>
                      <w:lang w:eastAsia="zh-CN"/>
                    </w:rPr>
                    <w:t>过滤棉箱</w:t>
                  </w:r>
                  <w:r>
                    <w:rPr>
                      <w:sz w:val="21"/>
                      <w:szCs w:val="21"/>
                    </w:rPr>
                    <w:t>+ 活性炭吸附/脱附+催化燃烧装置”处理；本项目原料</w:t>
                  </w:r>
                  <w:r>
                    <w:rPr>
                      <w:rFonts w:hint="eastAsia"/>
                      <w:sz w:val="21"/>
                      <w:szCs w:val="21"/>
                      <w:lang w:val="en-US" w:eastAsia="zh-CN"/>
                    </w:rPr>
                    <w:t>使用时人工拆袋。生产过程在封闭生产车间内进行；废气排放满足相关标准要求</w:t>
                  </w:r>
                </w:p>
              </w:tc>
              <w:tc>
                <w:tcPr>
                  <w:tcW w:w="265"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8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p>
              </w:tc>
              <w:tc>
                <w:tcPr>
                  <w:tcW w:w="496"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p>
              </w:tc>
              <w:tc>
                <w:tcPr>
                  <w:tcW w:w="26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环境风险防控</w:t>
                  </w:r>
                </w:p>
              </w:tc>
              <w:tc>
                <w:tcPr>
                  <w:tcW w:w="2483" w:type="pct"/>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right="0" w:right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ascii="Times New Roman" w:hAnsi="Times New Roman" w:eastAsia="宋体" w:cs="Times New Roman"/>
                      <w:bCs/>
                      <w:color w:val="auto"/>
                      <w:kern w:val="0"/>
                      <w:sz w:val="21"/>
                      <w:szCs w:val="21"/>
                      <w:lang w:val="en-US" w:eastAsia="zh-CN" w:bidi="ar-SA"/>
                    </w:rPr>
                    <w:t>1、加强重污染天气应急联动。加强污染气象条件和空气污染监测、预报预警和评估能力建设，建设全市区域污染传输监控预警系统，提高重污染天气预报预警准确度。全市具备发布空气质量预报信息的能力。</w:t>
                  </w:r>
                  <w:r>
                    <w:rPr>
                      <w:rFonts w:hint="eastAsia" w:cs="Times New Roman"/>
                      <w:bCs/>
                      <w:color w:val="auto"/>
                      <w:kern w:val="0"/>
                      <w:sz w:val="21"/>
                      <w:szCs w:val="21"/>
                      <w:lang w:val="en-US" w:eastAsia="zh-CN" w:bidi="ar-SA"/>
                    </w:rPr>
                    <w:t>2、完善应急减排</w:t>
                  </w:r>
                  <w:r>
                    <w:rPr>
                      <w:rFonts w:hint="eastAsia" w:ascii="Times New Roman" w:hAnsi="Times New Roman" w:eastAsia="宋体" w:cs="Times New Roman"/>
                      <w:bCs/>
                      <w:color w:val="auto"/>
                      <w:kern w:val="0"/>
                      <w:sz w:val="21"/>
                      <w:szCs w:val="21"/>
                      <w:lang w:val="en-US" w:eastAsia="zh-CN" w:bidi="ar-SA"/>
                    </w:rPr>
                    <w:t>措施。</w:t>
                  </w:r>
                </w:p>
              </w:tc>
              <w:tc>
                <w:tcPr>
                  <w:tcW w:w="120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本项目完成后及时制定应急减排</w:t>
                  </w:r>
                  <w:r>
                    <w:rPr>
                      <w:rFonts w:hint="eastAsia" w:ascii="Times New Roman" w:hAnsi="Times New Roman" w:eastAsia="宋体" w:cs="Times New Roman"/>
                      <w:bCs/>
                      <w:color w:val="auto"/>
                      <w:kern w:val="0"/>
                      <w:sz w:val="21"/>
                      <w:szCs w:val="21"/>
                      <w:lang w:val="en-US" w:eastAsia="zh-CN" w:bidi="ar-SA"/>
                    </w:rPr>
                    <w:t>措施</w:t>
                  </w:r>
                </w:p>
              </w:tc>
              <w:tc>
                <w:tcPr>
                  <w:tcW w:w="265"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5" w:hRule="atLeast"/>
                <w:jc w:val="center"/>
              </w:trPr>
              <w:tc>
                <w:tcPr>
                  <w:tcW w:w="28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p>
              </w:tc>
              <w:tc>
                <w:tcPr>
                  <w:tcW w:w="496"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p>
              </w:tc>
              <w:tc>
                <w:tcPr>
                  <w:tcW w:w="26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center"/>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资源利用效率</w:t>
                  </w:r>
                </w:p>
              </w:tc>
              <w:tc>
                <w:tcPr>
                  <w:tcW w:w="2483" w:type="pct"/>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spacing w:line="240" w:lineRule="auto"/>
                    <w:ind w:leftChars="0" w:right="0" w:right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ascii="Times New Roman" w:hAnsi="Times New Roman" w:eastAsia="宋体" w:cs="Times New Roman"/>
                      <w:bCs/>
                      <w:color w:val="auto"/>
                      <w:kern w:val="0"/>
                      <w:sz w:val="21"/>
                      <w:szCs w:val="21"/>
                      <w:lang w:val="en-US" w:eastAsia="zh-CN" w:bidi="ar-SA"/>
                    </w:rPr>
                    <w:t>1、淘汰集中供热管网覆盖范围内的散煤。2、禁燃区内禁止新建、改建、扩建及使用高污染燃料的锅炉、炉窑、炉灶等燃烧设施（城市集中供热应急调峰锅炉除外）。</w:t>
                  </w:r>
                </w:p>
              </w:tc>
              <w:tc>
                <w:tcPr>
                  <w:tcW w:w="1204"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eastAsia" w:cs="Times New Roman"/>
                      <w:bCs/>
                      <w:color w:val="auto"/>
                      <w:kern w:val="0"/>
                      <w:sz w:val="21"/>
                      <w:szCs w:val="21"/>
                      <w:lang w:val="en-US" w:eastAsia="zh-CN" w:bidi="ar-SA"/>
                    </w:rPr>
                    <w:t>本项目采用电加热，不涉及</w:t>
                  </w:r>
                  <w:r>
                    <w:rPr>
                      <w:rFonts w:hint="eastAsia" w:ascii="Times New Roman" w:hAnsi="Times New Roman" w:eastAsia="宋体" w:cs="Times New Roman"/>
                      <w:bCs/>
                      <w:color w:val="auto"/>
                      <w:kern w:val="0"/>
                      <w:sz w:val="21"/>
                      <w:szCs w:val="21"/>
                      <w:lang w:val="en-US" w:eastAsia="zh-CN" w:bidi="ar-SA"/>
                    </w:rPr>
                    <w:t>锅炉、炉窑、炉灶</w:t>
                  </w:r>
                  <w:r>
                    <w:rPr>
                      <w:rFonts w:hint="eastAsia" w:cs="Times New Roman"/>
                      <w:bCs/>
                      <w:color w:val="auto"/>
                      <w:kern w:val="0"/>
                      <w:sz w:val="21"/>
                      <w:szCs w:val="21"/>
                      <w:lang w:val="en-US" w:eastAsia="zh-CN" w:bidi="ar-SA"/>
                    </w:rPr>
                    <w:t>。</w:t>
                  </w:r>
                </w:p>
              </w:tc>
              <w:tc>
                <w:tcPr>
                  <w:tcW w:w="265"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ind w:left="0" w:leftChars="0" w:right="0" w:rightChars="0" w:firstLine="0" w:firstLineChars="0"/>
                    <w:jc w:val="both"/>
                    <w:textAlignment w:val="auto"/>
                    <w:outlineLvl w:val="9"/>
                    <w:rPr>
                      <w:rFonts w:hint="default" w:ascii="Times New Roman" w:hAnsi="Times New Roman" w:eastAsia="宋体" w:cs="Times New Roman"/>
                      <w:bCs/>
                      <w:color w:val="auto"/>
                      <w:kern w:val="0"/>
                      <w:sz w:val="21"/>
                      <w:szCs w:val="21"/>
                      <w:lang w:val="en-US" w:eastAsia="zh-CN" w:bidi="ar-SA"/>
                    </w:rPr>
                  </w:pPr>
                  <w:r>
                    <w:rPr>
                      <w:rFonts w:hint="default" w:ascii="Times New Roman" w:hAnsi="Times New Roman" w:eastAsia="宋体" w:cs="Times New Roman"/>
                      <w:bCs/>
                      <w:color w:val="auto"/>
                      <w:kern w:val="0"/>
                      <w:sz w:val="21"/>
                      <w:szCs w:val="21"/>
                      <w:lang w:val="en-US" w:eastAsia="zh-CN" w:bidi="ar-SA"/>
                    </w:rPr>
                    <w:t>符合</w:t>
                  </w:r>
                </w:p>
              </w:tc>
            </w:tr>
          </w:tbl>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项目符合项目新水用量较小，实施污染物总量控制，对固体废物进行综合利用，落实排污许可证制度，符合唐山市生态环境准入清单管控要求。</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(1)生态保护红线</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根据《河北省人民政府关于发布&lt;河北省生态保护红线&gt;的通知》(冀政字[2018]23 号)，迁安市生态保护红线区面积为138.56km</w:t>
            </w:r>
            <w:r>
              <w:rPr>
                <w:rFonts w:hint="default" w:ascii="Times New Roman" w:hAnsi="Times New Roman" w:cs="Times New Roman"/>
                <w:color w:val="auto"/>
                <w:sz w:val="21"/>
                <w:szCs w:val="21"/>
                <w:vertAlign w:val="superscript"/>
              </w:rPr>
              <w:t>2</w:t>
            </w:r>
            <w:r>
              <w:rPr>
                <w:rFonts w:hint="default" w:ascii="Times New Roman" w:hAnsi="Times New Roman" w:cs="Times New Roman"/>
                <w:color w:val="auto"/>
                <w:sz w:val="21"/>
                <w:szCs w:val="21"/>
              </w:rPr>
              <w:t>，占迁安市国土面积的11.29%。共划分4个红线区：迁安市青山关水源涵养土壤保持功能红线区、迁安市青龙山水源涵养土壤保持功能红线区、迁安市滦河下游水源涵养功能红线区、迁安市沙河河滨岸带敏感红线区。主要为：北部长城沿线保护地带；西部迁安国家地质公园；山叶口省级森林公园；滦河河床，西沙河自大庄户至出县边界间的河床；此外，在三岔峪、佛峪院、田庄营和杨纪庄各村间山野地带及太平庄乡京哈高速南侧的山野地带也划定为生态保护红线范围。</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拟建项目位于迁安市野鸡坨镇邵家营村南，距离项目最近的生态保护红线位于项目东北侧约</w:t>
            </w:r>
            <w:r>
              <w:rPr>
                <w:rFonts w:hint="eastAsia" w:ascii="Times New Roman" w:hAnsi="Times New Roman" w:cs="Times New Roman"/>
                <w:color w:val="auto"/>
                <w:sz w:val="21"/>
                <w:szCs w:val="21"/>
                <w:lang w:val="en-US" w:eastAsia="zh-CN"/>
              </w:rPr>
              <w:t>50</w:t>
            </w:r>
            <w:r>
              <w:rPr>
                <w:rFonts w:hint="default" w:ascii="Times New Roman" w:hAnsi="Times New Roman" w:cs="Times New Roman"/>
                <w:color w:val="auto"/>
                <w:sz w:val="21"/>
                <w:szCs w:val="21"/>
              </w:rPr>
              <w:t>00m，</w:t>
            </w:r>
            <w:r>
              <w:rPr>
                <w:rFonts w:hint="eastAsia" w:cs="Times New Roman"/>
                <w:color w:val="auto"/>
                <w:sz w:val="21"/>
                <w:szCs w:val="21"/>
                <w:lang w:val="en-US" w:eastAsia="zh-CN"/>
              </w:rPr>
              <w:t>本</w:t>
            </w:r>
            <w:r>
              <w:rPr>
                <w:rFonts w:hint="default" w:ascii="Times New Roman" w:hAnsi="Times New Roman" w:cs="Times New Roman"/>
                <w:color w:val="auto"/>
                <w:sz w:val="21"/>
                <w:szCs w:val="21"/>
              </w:rPr>
              <w:t>项目不在迁安市生态保护红线区范围内。</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(2)环境质量底线</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选址区域为环境空气功能区二类区，执行《环境空气质量标准》(GB3095-2012)及其修改单二级标准，根据唐山市环境保护局网站公布的《2021年唐山市环境状况公报》中环境空气质量数据，项目选址区域环境空气属不达标区。项目产生的废气经有效处理后均可达标排放，对周围环境影响较小。</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项目均选用低噪声设备，根据产噪机理，分别采取厂房隔声、基础减振、消声器等降噪措施，经预测，厂界噪声排放满足《工业企业厂界环境噪声排放标准》(GB12348-2008)中的</w:t>
            </w:r>
            <w:r>
              <w:rPr>
                <w:rFonts w:hint="eastAsia"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rPr>
              <w:t>类标准。</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项目建成后，生活污水</w:t>
            </w:r>
            <w:r>
              <w:rPr>
                <w:rFonts w:hint="eastAsia" w:ascii="Times New Roman" w:hAnsi="Times New Roman" w:cs="Times New Roman"/>
                <w:color w:val="auto"/>
                <w:sz w:val="21"/>
                <w:szCs w:val="21"/>
                <w:lang w:val="en-US" w:eastAsia="zh-CN"/>
              </w:rPr>
              <w:t>泼洒抑尘，</w:t>
            </w:r>
            <w:r>
              <w:rPr>
                <w:rFonts w:hint="default" w:ascii="Times New Roman" w:hAnsi="Times New Roman" w:cs="Times New Roman"/>
                <w:color w:val="auto"/>
                <w:sz w:val="21"/>
                <w:szCs w:val="21"/>
              </w:rPr>
              <w:t>不外排。</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综上，本项目建设符合环境质量底线要求。</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(3)资源利用上线</w:t>
            </w:r>
          </w:p>
          <w:p>
            <w:pPr>
              <w:autoSpaceDE w:val="0"/>
              <w:autoSpaceDN w:val="0"/>
              <w:adjustRightInd w:val="0"/>
              <w:snapToGrid w:val="0"/>
              <w:spacing w:line="360" w:lineRule="auto"/>
              <w:ind w:firstLine="420"/>
              <w:rPr>
                <w:rFonts w:hint="eastAsia"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拟建项目位于迁安市野鸡坨镇邵家营村南。项目用水由</w:t>
            </w:r>
            <w:r>
              <w:rPr>
                <w:rFonts w:hint="eastAsia" w:ascii="Times New Roman" w:hAnsi="Times New Roman" w:cs="Times New Roman"/>
                <w:color w:val="auto"/>
                <w:sz w:val="21"/>
                <w:szCs w:val="21"/>
                <w:lang w:val="en-US" w:eastAsia="zh-CN"/>
              </w:rPr>
              <w:t>自来</w:t>
            </w:r>
            <w:r>
              <w:rPr>
                <w:rFonts w:hint="default" w:ascii="Times New Roman" w:hAnsi="Times New Roman" w:cs="Times New Roman"/>
                <w:color w:val="auto"/>
                <w:sz w:val="21"/>
                <w:szCs w:val="21"/>
              </w:rPr>
              <w:t>水管网供给，</w:t>
            </w:r>
            <w:r>
              <w:rPr>
                <w:rFonts w:hint="eastAsia" w:ascii="Times New Roman" w:hAnsi="Times New Roman" w:cs="Times New Roman"/>
                <w:color w:val="auto"/>
                <w:sz w:val="21"/>
                <w:szCs w:val="21"/>
                <w:lang w:val="en-US" w:eastAsia="zh-CN"/>
              </w:rPr>
              <w:t>无</w:t>
            </w:r>
            <w:r>
              <w:rPr>
                <w:rFonts w:hint="default" w:ascii="Times New Roman" w:hAnsi="Times New Roman" w:cs="Times New Roman"/>
                <w:color w:val="auto"/>
                <w:sz w:val="21"/>
                <w:szCs w:val="21"/>
              </w:rPr>
              <w:t>生产</w:t>
            </w:r>
            <w:r>
              <w:rPr>
                <w:rFonts w:hint="eastAsia" w:ascii="Times New Roman" w:hAnsi="Times New Roman" w:cs="Times New Roman"/>
                <w:color w:val="auto"/>
                <w:sz w:val="21"/>
                <w:szCs w:val="21"/>
                <w:lang w:val="en-US" w:eastAsia="zh-CN"/>
              </w:rPr>
              <w:t>废水外排</w:t>
            </w:r>
            <w:r>
              <w:rPr>
                <w:rFonts w:hint="default" w:ascii="Times New Roman" w:hAnsi="Times New Roman" w:cs="Times New Roman"/>
                <w:color w:val="auto"/>
                <w:sz w:val="21"/>
                <w:szCs w:val="21"/>
              </w:rPr>
              <w:t>；用电由</w:t>
            </w:r>
            <w:r>
              <w:rPr>
                <w:rFonts w:hint="eastAsia" w:ascii="Times New Roman" w:hAnsi="Times New Roman" w:cs="Times New Roman"/>
                <w:color w:val="auto"/>
                <w:sz w:val="21"/>
                <w:szCs w:val="21"/>
                <w:lang w:val="en-US" w:eastAsia="zh-CN"/>
              </w:rPr>
              <w:t>当地电网供给</w:t>
            </w:r>
            <w:r>
              <w:rPr>
                <w:rFonts w:hint="default" w:ascii="Times New Roman" w:hAnsi="Times New Roman" w:cs="Times New Roman"/>
                <w:color w:val="auto"/>
                <w:sz w:val="21"/>
                <w:szCs w:val="21"/>
              </w:rPr>
              <w:t xml:space="preserve">，消耗资源量较少，符合资源利用上线的要求。 </w:t>
            </w:r>
            <w:r>
              <w:rPr>
                <w:rFonts w:hint="eastAsia" w:cs="Times New Roman"/>
                <w:color w:val="auto"/>
                <w:sz w:val="21"/>
                <w:szCs w:val="21"/>
                <w:lang w:val="en-US" w:eastAsia="zh-CN"/>
              </w:rPr>
              <w:t xml:space="preserve"> </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 xml:space="preserve">①产业政策准入要求 </w:t>
            </w:r>
          </w:p>
          <w:p>
            <w:pPr>
              <w:autoSpaceDE w:val="0"/>
              <w:autoSpaceDN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产业结构调整指导目录（2019年本）》，该项目不属于鼓励类、限制类和淘汰类建设项目，为允许类，不属于《河北省新增限制和淘汰类产业目录(2015年版)》中的产业类别，本项目已经由迁安市行政审批局备案，备案编号为：迁行审投资备字[2022]169号。项目建设符合国家及地方产业政策。</w:t>
            </w:r>
          </w:p>
          <w:p>
            <w:pPr>
              <w:autoSpaceDE w:val="0"/>
              <w:autoSpaceDN w:val="0"/>
              <w:adjustRightInd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rPr>
              <w:t>项目新水用量较小，实施污染物总量控制，对固体废物进行综合利用，落实排污许可证制度，符合唐山市生态环境准</w:t>
            </w:r>
            <w:r>
              <w:rPr>
                <w:rFonts w:hint="default" w:ascii="Times New Roman" w:hAnsi="Times New Roman" w:eastAsia="宋体" w:cs="Times New Roman"/>
                <w:color w:val="auto"/>
                <w:sz w:val="21"/>
                <w:szCs w:val="21"/>
              </w:rPr>
              <w:t>入清单管控要求。</w:t>
            </w:r>
          </w:p>
          <w:p>
            <w:pPr>
              <w:autoSpaceDE w:val="0"/>
              <w:autoSpaceDN w:val="0"/>
              <w:adjustRightInd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综上所述，项目符合“三线一单”要求。</w:t>
            </w:r>
          </w:p>
          <w:p>
            <w:pPr>
              <w:autoSpaceDE w:val="0"/>
              <w:autoSpaceDN w:val="0"/>
              <w:adjustRightInd w:val="0"/>
              <w:snapToGrid w:val="0"/>
              <w:spacing w:line="360" w:lineRule="auto"/>
              <w:ind w:firstLine="420"/>
              <w:rPr>
                <w:rFonts w:hint="eastAsia" w:ascii="Times New Roman" w:hAnsi="Times New Roman" w:eastAsia="宋体" w:cs="Times New Roman"/>
                <w:b/>
                <w:bCs/>
                <w:color w:val="auto"/>
                <w:sz w:val="21"/>
                <w:szCs w:val="21"/>
              </w:rPr>
            </w:pPr>
            <w:r>
              <w:rPr>
                <w:rFonts w:hint="eastAsia" w:ascii="Times New Roman" w:hAnsi="Times New Roman" w:eastAsia="宋体" w:cs="Times New Roman"/>
                <w:b/>
                <w:bCs/>
                <w:color w:val="auto"/>
                <w:sz w:val="21"/>
                <w:szCs w:val="21"/>
                <w:lang w:val="en-US" w:eastAsia="zh-CN"/>
              </w:rPr>
              <w:t>4</w:t>
            </w:r>
            <w:r>
              <w:rPr>
                <w:rFonts w:hint="eastAsia" w:ascii="Times New Roman" w:hAnsi="Times New Roman" w:eastAsia="宋体" w:cs="Times New Roman"/>
                <w:b/>
                <w:bCs/>
                <w:color w:val="auto"/>
                <w:sz w:val="21"/>
                <w:szCs w:val="21"/>
              </w:rPr>
              <w:t>、</w:t>
            </w:r>
            <w:r>
              <w:rPr>
                <w:rFonts w:hint="default" w:ascii="Times New Roman" w:hAnsi="Times New Roman" w:eastAsia="宋体" w:cs="Times New Roman"/>
                <w:b/>
                <w:bCs/>
                <w:color w:val="auto"/>
                <w:sz w:val="21"/>
                <w:szCs w:val="21"/>
              </w:rPr>
              <w:t xml:space="preserve">VOCS </w:t>
            </w:r>
            <w:r>
              <w:rPr>
                <w:rFonts w:hint="eastAsia" w:ascii="Times New Roman" w:hAnsi="Times New Roman" w:eastAsia="宋体" w:cs="Times New Roman"/>
                <w:b/>
                <w:bCs/>
                <w:color w:val="auto"/>
                <w:sz w:val="21"/>
                <w:szCs w:val="21"/>
              </w:rPr>
              <w:t>污染防治政策可行性分析</w:t>
            </w:r>
          </w:p>
          <w:p>
            <w:pPr>
              <w:autoSpaceDE w:val="0"/>
              <w:autoSpaceDN w:val="0"/>
              <w:adjustRightInd w:val="0"/>
              <w:snapToGrid w:val="0"/>
              <w:spacing w:line="240" w:lineRule="auto"/>
              <w:jc w:val="center"/>
              <w:rPr>
                <w:rFonts w:hint="eastAsia" w:ascii="Times New Roman" w:hAnsi="Times New Roman" w:eastAsia="宋体" w:cs="Times New Roman"/>
                <w:b/>
                <w:bCs/>
                <w:color w:val="auto"/>
                <w:sz w:val="21"/>
                <w:szCs w:val="21"/>
              </w:rPr>
            </w:pPr>
            <w:r>
              <w:rPr>
                <w:rFonts w:hint="eastAsia" w:ascii="Times New Roman" w:hAnsi="Times New Roman" w:eastAsia="宋体" w:cs="Times New Roman"/>
                <w:b/>
                <w:bCs/>
                <w:color w:val="auto"/>
                <w:sz w:val="21"/>
                <w:szCs w:val="21"/>
                <w:lang w:val="en-US" w:eastAsia="zh-CN"/>
              </w:rPr>
              <w:t>表</w:t>
            </w:r>
            <w:r>
              <w:rPr>
                <w:rFonts w:hint="eastAsia" w:cs="Times New Roman"/>
                <w:b/>
                <w:bCs/>
                <w:color w:val="auto"/>
                <w:sz w:val="21"/>
                <w:szCs w:val="21"/>
                <w:lang w:val="en-US" w:eastAsia="zh-CN"/>
              </w:rPr>
              <w:t>3</w:t>
            </w:r>
            <w:r>
              <w:rPr>
                <w:rFonts w:hint="eastAsia" w:ascii="Times New Roman" w:hAnsi="Times New Roman" w:eastAsia="宋体" w:cs="Times New Roman"/>
                <w:b/>
                <w:bCs/>
                <w:color w:val="auto"/>
                <w:sz w:val="21"/>
                <w:szCs w:val="21"/>
                <w:lang w:val="en-US" w:eastAsia="zh-CN"/>
              </w:rPr>
              <w:t>《河北省重点行业挥发性有机物</w:t>
            </w:r>
            <w:r>
              <w:rPr>
                <w:rFonts w:hint="eastAsia" w:ascii="Times New Roman" w:hAnsi="Times New Roman" w:eastAsia="宋体" w:cs="Times New Roman"/>
                <w:b/>
                <w:bCs/>
                <w:color w:val="auto"/>
                <w:sz w:val="21"/>
                <w:szCs w:val="21"/>
              </w:rPr>
              <w:t>污染控制技术指引》</w:t>
            </w:r>
          </w:p>
          <w:p>
            <w:pPr>
              <w:autoSpaceDE w:val="0"/>
              <w:autoSpaceDN w:val="0"/>
              <w:adjustRightInd w:val="0"/>
              <w:snapToGrid w:val="0"/>
              <w:spacing w:line="240" w:lineRule="auto"/>
              <w:jc w:val="center"/>
              <w:rPr>
                <w:rFonts w:hint="eastAsia" w:ascii="Times New Roman" w:hAnsi="Times New Roman" w:eastAsia="宋体" w:cs="Times New Roman"/>
                <w:b/>
                <w:bCs/>
                <w:color w:val="auto"/>
                <w:sz w:val="21"/>
                <w:szCs w:val="21"/>
              </w:rPr>
            </w:pPr>
            <w:r>
              <w:rPr>
                <w:rFonts w:hint="eastAsia" w:ascii="Times New Roman" w:hAnsi="Times New Roman" w:eastAsia="宋体" w:cs="Times New Roman"/>
                <w:b/>
                <w:bCs/>
                <w:color w:val="auto"/>
                <w:sz w:val="21"/>
                <w:szCs w:val="21"/>
              </w:rPr>
              <w:t>（冀环大气</w:t>
            </w:r>
            <w:r>
              <w:rPr>
                <w:rFonts w:hint="default" w:ascii="Times New Roman" w:hAnsi="Times New Roman" w:eastAsia="宋体" w:cs="Times New Roman"/>
                <w:b/>
                <w:bCs/>
                <w:color w:val="auto"/>
                <w:sz w:val="21"/>
                <w:szCs w:val="21"/>
              </w:rPr>
              <w:t xml:space="preserve">[2019]501 </w:t>
            </w:r>
            <w:r>
              <w:rPr>
                <w:rFonts w:hint="eastAsia" w:ascii="Times New Roman" w:hAnsi="Times New Roman" w:eastAsia="宋体" w:cs="Times New Roman"/>
                <w:b/>
                <w:bCs/>
                <w:color w:val="auto"/>
                <w:sz w:val="21"/>
                <w:szCs w:val="21"/>
              </w:rPr>
              <w:t>号）</w:t>
            </w:r>
          </w:p>
          <w:tbl>
            <w:tblPr>
              <w:tblStyle w:val="20"/>
              <w:tblW w:w="7138"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53"/>
              <w:gridCol w:w="3795"/>
              <w:gridCol w:w="2106"/>
              <w:gridCol w:w="6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eastAsia"/>
                      <w:sz w:val="21"/>
                      <w:szCs w:val="21"/>
                      <w:lang w:val="en-US" w:eastAsia="zh-CN"/>
                    </w:rPr>
                  </w:pPr>
                  <w:r>
                    <w:rPr>
                      <w:rFonts w:hint="eastAsia"/>
                      <w:sz w:val="21"/>
                      <w:szCs w:val="21"/>
                      <w:lang w:val="en-US" w:eastAsia="zh-CN"/>
                    </w:rPr>
                    <w:t>序号</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要求</w:t>
                  </w:r>
                </w:p>
              </w:tc>
              <w:tc>
                <w:tcPr>
                  <w:tcW w:w="2106"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本项目</w:t>
                  </w:r>
                </w:p>
              </w:tc>
              <w:tc>
                <w:tcPr>
                  <w:tcW w:w="684"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可行性</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default"/>
                      <w:sz w:val="21"/>
                      <w:szCs w:val="21"/>
                      <w:lang w:val="en-US" w:eastAsia="zh-CN"/>
                    </w:rPr>
                  </w:pPr>
                  <w:r>
                    <w:rPr>
                      <w:rFonts w:hint="default"/>
                      <w:sz w:val="21"/>
                      <w:szCs w:val="21"/>
                      <w:lang w:val="en-US" w:eastAsia="zh-CN"/>
                    </w:rPr>
                    <w:t>1</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 xml:space="preserve">对于低浓度、大风量 </w:t>
                  </w:r>
                  <w:r>
                    <w:rPr>
                      <w:rFonts w:hint="default"/>
                      <w:sz w:val="21"/>
                      <w:szCs w:val="21"/>
                      <w:lang w:val="en-US" w:eastAsia="zh-CN"/>
                    </w:rPr>
                    <w:t xml:space="preserve">VOCs </w:t>
                  </w:r>
                  <w:r>
                    <w:rPr>
                      <w:rFonts w:hint="eastAsia"/>
                      <w:sz w:val="21"/>
                      <w:szCs w:val="21"/>
                      <w:lang w:val="en-US" w:eastAsia="zh-CN"/>
                    </w:rPr>
                    <w:t>废气，宜采用沸石转轮吸附、活性炭吸附、减风增浓等浓缩技术，提高</w:t>
                  </w:r>
                  <w:r>
                    <w:rPr>
                      <w:rFonts w:hint="default"/>
                      <w:sz w:val="21"/>
                      <w:szCs w:val="21"/>
                      <w:lang w:val="en-US" w:eastAsia="zh-CN"/>
                    </w:rPr>
                    <w:t xml:space="preserve">VOCs </w:t>
                  </w:r>
                  <w:r>
                    <w:rPr>
                      <w:rFonts w:hint="eastAsia"/>
                      <w:sz w:val="21"/>
                      <w:szCs w:val="21"/>
                      <w:lang w:val="en-US" w:eastAsia="zh-CN"/>
                    </w:rPr>
                    <w:t>浓度后净化处理。低温等离子、光催化、光氧化技术主要适用于恶臭异味等治理。</w:t>
                  </w:r>
                </w:p>
              </w:tc>
              <w:tc>
                <w:tcPr>
                  <w:tcW w:w="2106"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本项目产生的有机废气经过滤棉箱</w:t>
                  </w:r>
                  <w:r>
                    <w:rPr>
                      <w:rFonts w:hint="default"/>
                      <w:sz w:val="21"/>
                      <w:szCs w:val="21"/>
                      <w:lang w:val="en-US" w:eastAsia="zh-CN"/>
                    </w:rPr>
                    <w:t>+</w:t>
                  </w:r>
                  <w:r>
                    <w:rPr>
                      <w:rFonts w:hint="eastAsia"/>
                      <w:sz w:val="21"/>
                      <w:szCs w:val="21"/>
                      <w:lang w:val="en-US" w:eastAsia="zh-CN"/>
                    </w:rPr>
                    <w:t>活性炭吸附</w:t>
                  </w:r>
                  <w:r>
                    <w:rPr>
                      <w:rFonts w:hint="default"/>
                      <w:sz w:val="21"/>
                      <w:szCs w:val="21"/>
                      <w:lang w:val="en-US" w:eastAsia="zh-CN"/>
                    </w:rPr>
                    <w:t>/</w:t>
                  </w:r>
                  <w:r>
                    <w:rPr>
                      <w:rFonts w:hint="eastAsia"/>
                      <w:sz w:val="21"/>
                      <w:szCs w:val="21"/>
                      <w:lang w:val="en-US" w:eastAsia="zh-CN"/>
                    </w:rPr>
                    <w:t>脱附</w:t>
                  </w:r>
                  <w:r>
                    <w:rPr>
                      <w:rFonts w:hint="default"/>
                      <w:sz w:val="21"/>
                      <w:szCs w:val="21"/>
                      <w:lang w:val="en-US" w:eastAsia="zh-CN"/>
                    </w:rPr>
                    <w:t>+</w:t>
                  </w:r>
                  <w:r>
                    <w:rPr>
                      <w:rFonts w:hint="eastAsia"/>
                      <w:sz w:val="21"/>
                      <w:szCs w:val="21"/>
                      <w:lang w:val="en-US" w:eastAsia="zh-CN"/>
                    </w:rPr>
                    <w:t>催化燃烧装置处理</w:t>
                  </w:r>
                </w:p>
              </w:tc>
              <w:tc>
                <w:tcPr>
                  <w:tcW w:w="684"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default"/>
                      <w:sz w:val="21"/>
                      <w:szCs w:val="21"/>
                      <w:lang w:val="en-US" w:eastAsia="zh-CN"/>
                    </w:rPr>
                  </w:pPr>
                  <w:r>
                    <w:rPr>
                      <w:rFonts w:hint="default"/>
                      <w:sz w:val="21"/>
                      <w:szCs w:val="21"/>
                      <w:lang w:val="en-US" w:eastAsia="zh-CN"/>
                    </w:rPr>
                    <w:t>2</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优先采用可再生的活性炭吸附技术，并定期对动态吸附量进行检测，当动态吸附量低于设计值的</w:t>
                  </w:r>
                  <w:r>
                    <w:rPr>
                      <w:rFonts w:hint="default"/>
                      <w:sz w:val="21"/>
                      <w:szCs w:val="21"/>
                      <w:lang w:val="en-US" w:eastAsia="zh-CN"/>
                    </w:rPr>
                    <w:t>80%</w:t>
                  </w:r>
                  <w:r>
                    <w:rPr>
                      <w:rFonts w:hint="eastAsia"/>
                      <w:sz w:val="21"/>
                      <w:szCs w:val="21"/>
                      <w:lang w:val="en-US" w:eastAsia="zh-CN"/>
                    </w:rPr>
                    <w:t>时宜更换；采用无再生活性炭吸附技术的，应严格按照《吸附法工业有机废气治理工程技术规范》（</w:t>
                  </w:r>
                  <w:r>
                    <w:rPr>
                      <w:rFonts w:hint="default"/>
                      <w:sz w:val="21"/>
                      <w:szCs w:val="21"/>
                      <w:lang w:val="en-US" w:eastAsia="zh-CN"/>
                    </w:rPr>
                    <w:t>HI2026-2013</w:t>
                  </w:r>
                  <w:r>
                    <w:rPr>
                      <w:rFonts w:hint="eastAsia"/>
                      <w:sz w:val="21"/>
                      <w:szCs w:val="21"/>
                      <w:lang w:val="en-US" w:eastAsia="zh-CN"/>
                    </w:rPr>
                    <w:t>）要求，当排气浓度不满足设计或排放要求是应更换活性炭。</w:t>
                  </w:r>
                </w:p>
              </w:tc>
              <w:tc>
                <w:tcPr>
                  <w:tcW w:w="2106"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本项目活性炭定期更换，按危险废物处置。</w:t>
                  </w:r>
                </w:p>
              </w:tc>
              <w:tc>
                <w:tcPr>
                  <w:tcW w:w="684"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default"/>
                      <w:sz w:val="21"/>
                      <w:szCs w:val="21"/>
                      <w:lang w:val="en-US" w:eastAsia="zh-CN"/>
                    </w:rPr>
                  </w:pPr>
                  <w:r>
                    <w:rPr>
                      <w:rFonts w:hint="default"/>
                      <w:sz w:val="21"/>
                      <w:szCs w:val="21"/>
                      <w:lang w:val="en-US" w:eastAsia="zh-CN"/>
                    </w:rPr>
                    <w:t>3</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塑料制品业：优先采用环保型原辅料，禁止使用附带污染、有毒有害物质的废塑料作为 生产原辅料。限制使用加工过程中产生较大臭味的原料（如聚甲醛等</w:t>
                  </w:r>
                  <w:r>
                    <w:rPr>
                      <w:rFonts w:hint="default"/>
                      <w:sz w:val="21"/>
                      <w:szCs w:val="21"/>
                      <w:lang w:val="en-US" w:eastAsia="zh-CN"/>
                    </w:rPr>
                    <w:t>)</w:t>
                  </w:r>
                  <w:r>
                    <w:rPr>
                      <w:rFonts w:hint="eastAsia"/>
                      <w:sz w:val="21"/>
                      <w:szCs w:val="21"/>
                      <w:lang w:val="en-US" w:eastAsia="zh-CN"/>
                    </w:rPr>
                    <w:t>。</w:t>
                  </w:r>
                </w:p>
              </w:tc>
              <w:tc>
                <w:tcPr>
                  <w:tcW w:w="2106"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本项目原料为聚丙烯原包料颗粒,不含废塑料。</w:t>
                  </w:r>
                </w:p>
              </w:tc>
              <w:tc>
                <w:tcPr>
                  <w:tcW w:w="684"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default"/>
                      <w:sz w:val="21"/>
                      <w:szCs w:val="21"/>
                      <w:lang w:val="en-US" w:eastAsia="zh-CN"/>
                    </w:rPr>
                  </w:pPr>
                  <w:r>
                    <w:rPr>
                      <w:rFonts w:hint="default"/>
                      <w:sz w:val="21"/>
                      <w:szCs w:val="21"/>
                      <w:lang w:val="en-US" w:eastAsia="zh-CN"/>
                    </w:rPr>
                    <w:t>4</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塑料制品业：增塑剂等含有</w:t>
                  </w:r>
                  <w:r>
                    <w:rPr>
                      <w:rFonts w:hint="default"/>
                      <w:sz w:val="21"/>
                      <w:szCs w:val="21"/>
                      <w:lang w:val="en-US" w:eastAsia="zh-CN"/>
                    </w:rPr>
                    <w:t xml:space="preserve">VOCs </w:t>
                  </w:r>
                  <w:r>
                    <w:rPr>
                      <w:rFonts w:hint="eastAsia"/>
                      <w:sz w:val="21"/>
                      <w:szCs w:val="21"/>
                      <w:lang w:val="en-US" w:eastAsia="zh-CN"/>
                    </w:rPr>
                    <w:t>组分的物料应密闭储存；涉及大宗有机物料使用的应采用储罐储存，并优先采用管道输送。</w:t>
                  </w:r>
                </w:p>
              </w:tc>
              <w:tc>
                <w:tcPr>
                  <w:tcW w:w="2106"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本项目原料为聚丙烯原包料颗粒，使用时在生产车间拆包。</w:t>
                  </w:r>
                </w:p>
              </w:tc>
              <w:tc>
                <w:tcPr>
                  <w:tcW w:w="684"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53" w:type="dxa"/>
                  <w:tcBorders>
                    <w:tl2br w:val="nil"/>
                    <w:tr2bl w:val="nil"/>
                  </w:tcBorders>
                  <w:noWrap w:val="0"/>
                  <w:vAlign w:val="center"/>
                </w:tcPr>
                <w:p>
                  <w:pPr>
                    <w:bidi w:val="0"/>
                    <w:spacing w:line="240" w:lineRule="auto"/>
                    <w:jc w:val="both"/>
                    <w:rPr>
                      <w:rFonts w:hint="default"/>
                      <w:sz w:val="21"/>
                      <w:szCs w:val="21"/>
                      <w:lang w:val="en-US" w:eastAsia="zh-CN"/>
                    </w:rPr>
                  </w:pPr>
                  <w:r>
                    <w:rPr>
                      <w:rFonts w:hint="default"/>
                      <w:sz w:val="21"/>
                      <w:szCs w:val="21"/>
                      <w:lang w:val="en-US" w:eastAsia="zh-CN"/>
                    </w:rPr>
                    <w:t>5</w:t>
                  </w:r>
                </w:p>
              </w:tc>
              <w:tc>
                <w:tcPr>
                  <w:tcW w:w="3795"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塑料制品业：熔融、塑化挤出工序（包括注塑、挤塑、吸塑、吹塑、滚塑、发泡等）应设置废气收集系统，经降温、除油、除尘等预处理措施后，可采用活性炭吸附、“吸附浓缩</w:t>
                  </w:r>
                  <w:r>
                    <w:rPr>
                      <w:rFonts w:hint="default"/>
                      <w:sz w:val="21"/>
                      <w:szCs w:val="21"/>
                      <w:lang w:val="en-US" w:eastAsia="zh-CN"/>
                    </w:rPr>
                    <w:t>+</w:t>
                  </w:r>
                  <w:r>
                    <w:rPr>
                      <w:rFonts w:hint="eastAsia"/>
                      <w:sz w:val="21"/>
                      <w:szCs w:val="21"/>
                      <w:lang w:val="en-US" w:eastAsia="zh-CN"/>
                    </w:rPr>
                    <w:t>燃烧”、催化燃烧等适用技术。</w:t>
                  </w:r>
                </w:p>
              </w:tc>
              <w:tc>
                <w:tcPr>
                  <w:tcW w:w="2106" w:type="dxa"/>
                  <w:tcBorders>
                    <w:tl2br w:val="nil"/>
                    <w:tr2bl w:val="nil"/>
                  </w:tcBorders>
                  <w:noWrap w:val="0"/>
                  <w:vAlign w:val="top"/>
                </w:tcPr>
                <w:p>
                  <w:pPr>
                    <w:bidi w:val="0"/>
                    <w:spacing w:line="240" w:lineRule="auto"/>
                    <w:rPr>
                      <w:rFonts w:hint="eastAsia"/>
                      <w:sz w:val="21"/>
                      <w:szCs w:val="21"/>
                      <w:lang w:val="en-US" w:eastAsia="zh-CN"/>
                    </w:rPr>
                  </w:pPr>
                  <w:r>
                    <w:rPr>
                      <w:rFonts w:hint="eastAsia"/>
                      <w:sz w:val="21"/>
                      <w:szCs w:val="21"/>
                      <w:lang w:val="en-US" w:eastAsia="zh-CN"/>
                    </w:rPr>
                    <w:t>本项目注塑工序设置集气罩，废气经“过滤棉箱</w:t>
                  </w:r>
                  <w:r>
                    <w:rPr>
                      <w:rFonts w:hint="default"/>
                      <w:sz w:val="21"/>
                      <w:szCs w:val="21"/>
                      <w:lang w:val="en-US" w:eastAsia="zh-CN"/>
                    </w:rPr>
                    <w:t>+</w:t>
                  </w:r>
                  <w:r>
                    <w:rPr>
                      <w:rFonts w:hint="eastAsia"/>
                      <w:sz w:val="21"/>
                      <w:szCs w:val="21"/>
                      <w:lang w:val="en-US" w:eastAsia="zh-CN"/>
                    </w:rPr>
                    <w:t>活性炭吸附</w:t>
                  </w:r>
                  <w:r>
                    <w:rPr>
                      <w:rFonts w:hint="default"/>
                      <w:sz w:val="21"/>
                      <w:szCs w:val="21"/>
                      <w:lang w:val="en-US" w:eastAsia="zh-CN"/>
                    </w:rPr>
                    <w:t>/</w:t>
                  </w:r>
                  <w:r>
                    <w:rPr>
                      <w:rFonts w:hint="eastAsia"/>
                      <w:sz w:val="21"/>
                      <w:szCs w:val="21"/>
                      <w:lang w:val="en-US" w:eastAsia="zh-CN"/>
                    </w:rPr>
                    <w:t>脱附</w:t>
                  </w:r>
                  <w:r>
                    <w:rPr>
                      <w:rFonts w:hint="default"/>
                      <w:sz w:val="21"/>
                      <w:szCs w:val="21"/>
                      <w:lang w:val="en-US" w:eastAsia="zh-CN"/>
                    </w:rPr>
                    <w:t>+</w:t>
                  </w:r>
                  <w:r>
                    <w:rPr>
                      <w:rFonts w:hint="eastAsia"/>
                      <w:sz w:val="21"/>
                      <w:szCs w:val="21"/>
                      <w:lang w:val="en-US" w:eastAsia="zh-CN"/>
                    </w:rPr>
                    <w:t>催化燃烧装置”处理后排放。</w:t>
                  </w:r>
                </w:p>
              </w:tc>
              <w:tc>
                <w:tcPr>
                  <w:tcW w:w="684" w:type="dxa"/>
                  <w:tcBorders>
                    <w:tl2br w:val="nil"/>
                    <w:tr2bl w:val="nil"/>
                  </w:tcBorders>
                  <w:noWrap w:val="0"/>
                  <w:vAlign w:val="top"/>
                </w:tcPr>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p>
                <w:p>
                  <w:pPr>
                    <w:bidi w:val="0"/>
                    <w:spacing w:line="240" w:lineRule="auto"/>
                    <w:rPr>
                      <w:rFonts w:hint="eastAsia"/>
                      <w:sz w:val="21"/>
                      <w:szCs w:val="21"/>
                      <w:lang w:val="en-US" w:eastAsia="zh-CN"/>
                    </w:rPr>
                  </w:pPr>
                  <w:r>
                    <w:rPr>
                      <w:rFonts w:hint="eastAsia"/>
                      <w:sz w:val="21"/>
                      <w:szCs w:val="21"/>
                      <w:lang w:val="en-US" w:eastAsia="zh-CN"/>
                    </w:rPr>
                    <w:t>可行</w:t>
                  </w:r>
                </w:p>
              </w:tc>
            </w:tr>
          </w:tbl>
          <w:p>
            <w:pPr>
              <w:autoSpaceDE w:val="0"/>
              <w:autoSpaceDN w:val="0"/>
              <w:adjustRightInd w:val="0"/>
              <w:snapToGrid w:val="0"/>
              <w:spacing w:line="240" w:lineRule="auto"/>
              <w:ind w:firstLine="0"/>
              <w:jc w:val="center"/>
              <w:rPr>
                <w:rFonts w:hint="eastAsia" w:ascii="Times New Roman" w:hAnsi="Times New Roman" w:eastAsia="宋体" w:cs="Times New Roman"/>
                <w:b/>
                <w:bCs/>
                <w:color w:val="auto"/>
                <w:sz w:val="21"/>
                <w:szCs w:val="21"/>
                <w:lang w:val="en-US" w:eastAsia="zh-CN"/>
              </w:rPr>
            </w:pPr>
            <w:r>
              <w:rPr>
                <w:rFonts w:hint="eastAsia" w:ascii="Times New Roman" w:hAnsi="Times New Roman" w:eastAsia="宋体" w:cs="Times New Roman"/>
                <w:b/>
                <w:bCs/>
                <w:color w:val="auto"/>
                <w:sz w:val="21"/>
                <w:szCs w:val="21"/>
                <w:lang w:val="en-US" w:eastAsia="zh-CN"/>
              </w:rPr>
              <w:t>表</w:t>
            </w:r>
            <w:r>
              <w:rPr>
                <w:rFonts w:hint="eastAsia" w:cs="Times New Roman"/>
                <w:b/>
                <w:bCs/>
                <w:color w:val="auto"/>
                <w:sz w:val="21"/>
                <w:szCs w:val="21"/>
                <w:lang w:val="en-US" w:eastAsia="zh-CN"/>
              </w:rPr>
              <w:t>4</w:t>
            </w:r>
            <w:r>
              <w:rPr>
                <w:rFonts w:hint="eastAsia" w:ascii="Times New Roman" w:hAnsi="Times New Roman" w:eastAsia="宋体" w:cs="Times New Roman"/>
                <w:b/>
                <w:bCs/>
                <w:color w:val="auto"/>
                <w:sz w:val="21"/>
                <w:szCs w:val="21"/>
                <w:lang w:val="en-US" w:eastAsia="zh-CN"/>
              </w:rPr>
              <w:t>《重点行业挥发性有机物综合治理方案》环大气[2019]53 号</w:t>
            </w:r>
          </w:p>
          <w:tbl>
            <w:tblPr>
              <w:tblStyle w:val="20"/>
              <w:tblW w:w="714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19"/>
              <w:gridCol w:w="4102"/>
              <w:gridCol w:w="1865"/>
              <w:gridCol w:w="66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19" w:type="dxa"/>
                  <w:tcBorders>
                    <w:tl2br w:val="nil"/>
                    <w:tr2bl w:val="nil"/>
                  </w:tcBorders>
                  <w:vAlign w:val="top"/>
                </w:tcPr>
                <w:p>
                  <w:pPr>
                    <w:bidi w:val="0"/>
                    <w:spacing w:line="240" w:lineRule="auto"/>
                    <w:jc w:val="center"/>
                    <w:rPr>
                      <w:sz w:val="21"/>
                      <w:szCs w:val="21"/>
                    </w:rPr>
                  </w:pPr>
                  <w:r>
                    <w:rPr>
                      <w:sz w:val="21"/>
                      <w:szCs w:val="21"/>
                    </w:rPr>
                    <w:t>序号</w:t>
                  </w:r>
                </w:p>
              </w:tc>
              <w:tc>
                <w:tcPr>
                  <w:tcW w:w="4102" w:type="dxa"/>
                  <w:tcBorders>
                    <w:tl2br w:val="nil"/>
                    <w:tr2bl w:val="nil"/>
                  </w:tcBorders>
                  <w:vAlign w:val="top"/>
                </w:tcPr>
                <w:p>
                  <w:pPr>
                    <w:bidi w:val="0"/>
                    <w:spacing w:line="240" w:lineRule="auto"/>
                    <w:jc w:val="center"/>
                    <w:rPr>
                      <w:sz w:val="21"/>
                      <w:szCs w:val="21"/>
                    </w:rPr>
                  </w:pPr>
                  <w:r>
                    <w:rPr>
                      <w:sz w:val="21"/>
                      <w:szCs w:val="21"/>
                    </w:rPr>
                    <w:t>要求</w:t>
                  </w:r>
                </w:p>
              </w:tc>
              <w:tc>
                <w:tcPr>
                  <w:tcW w:w="1865" w:type="dxa"/>
                  <w:tcBorders>
                    <w:tl2br w:val="nil"/>
                    <w:tr2bl w:val="nil"/>
                  </w:tcBorders>
                  <w:vAlign w:val="top"/>
                </w:tcPr>
                <w:p>
                  <w:pPr>
                    <w:bidi w:val="0"/>
                    <w:spacing w:line="240" w:lineRule="auto"/>
                    <w:jc w:val="center"/>
                    <w:rPr>
                      <w:sz w:val="21"/>
                      <w:szCs w:val="21"/>
                    </w:rPr>
                  </w:pPr>
                  <w:r>
                    <w:rPr>
                      <w:sz w:val="21"/>
                      <w:szCs w:val="21"/>
                    </w:rPr>
                    <w:t>本项目</w:t>
                  </w:r>
                </w:p>
              </w:tc>
              <w:tc>
                <w:tcPr>
                  <w:tcW w:w="663" w:type="dxa"/>
                  <w:tcBorders>
                    <w:tl2br w:val="nil"/>
                    <w:tr2bl w:val="nil"/>
                  </w:tcBorders>
                  <w:vAlign w:val="top"/>
                </w:tcPr>
                <w:p>
                  <w:pPr>
                    <w:bidi w:val="0"/>
                    <w:spacing w:line="240" w:lineRule="auto"/>
                    <w:jc w:val="center"/>
                    <w:rPr>
                      <w:sz w:val="21"/>
                      <w:szCs w:val="21"/>
                    </w:rPr>
                  </w:pPr>
                  <w:r>
                    <w:rPr>
                      <w:sz w:val="21"/>
                      <w:szCs w:val="21"/>
                    </w:rPr>
                    <w:t>可行性</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19" w:type="dxa"/>
                  <w:tcBorders>
                    <w:tl2br w:val="nil"/>
                    <w:tr2bl w:val="nil"/>
                  </w:tcBorders>
                  <w:vAlign w:val="top"/>
                </w:tcPr>
                <w:p>
                  <w:pPr>
                    <w:bidi w:val="0"/>
                    <w:spacing w:line="240" w:lineRule="auto"/>
                    <w:rPr>
                      <w:sz w:val="21"/>
                      <w:szCs w:val="21"/>
                    </w:rPr>
                  </w:pPr>
                  <w:r>
                    <w:rPr>
                      <w:sz w:val="21"/>
                      <w:szCs w:val="21"/>
                    </w:rPr>
                    <w:t>1</w:t>
                  </w:r>
                </w:p>
              </w:tc>
              <w:tc>
                <w:tcPr>
                  <w:tcW w:w="4102" w:type="dxa"/>
                  <w:tcBorders>
                    <w:tl2br w:val="nil"/>
                    <w:tr2bl w:val="nil"/>
                  </w:tcBorders>
                  <w:vAlign w:val="top"/>
                </w:tcPr>
                <w:p>
                  <w:pPr>
                    <w:bidi w:val="0"/>
                    <w:spacing w:line="240" w:lineRule="auto"/>
                    <w:rPr>
                      <w:sz w:val="21"/>
                      <w:szCs w:val="21"/>
                    </w:rPr>
                  </w:pPr>
                  <w:r>
                    <w:rPr>
                      <w:sz w:val="21"/>
                      <w:szCs w:val="21"/>
                    </w:rPr>
                    <w:t>实行重点排放源排放浓度与去除效率双重控制。车间或生产设施收集排放的废气，VOCs 初始排放速率大于等于3千克/小时、重点区域大于等于2千克/小时的， 应加大控制力度，除确保排放浓度稳定达标外，还应实行去除效率控制，去除效率不低于80%；采用的原辅材料符合国家有关低VOCs含量产品规定的除外，有行业排放标准的按其相关规定执行。</w:t>
                  </w:r>
                </w:p>
              </w:tc>
              <w:tc>
                <w:tcPr>
                  <w:tcW w:w="1865" w:type="dxa"/>
                  <w:tcBorders>
                    <w:tl2br w:val="nil"/>
                    <w:tr2bl w:val="nil"/>
                  </w:tcBorders>
                  <w:vAlign w:val="top"/>
                </w:tcPr>
                <w:p>
                  <w:pPr>
                    <w:bidi w:val="0"/>
                    <w:spacing w:line="240" w:lineRule="auto"/>
                    <w:rPr>
                      <w:sz w:val="21"/>
                      <w:szCs w:val="21"/>
                    </w:rPr>
                  </w:pPr>
                  <w:r>
                    <w:rPr>
                      <w:sz w:val="21"/>
                      <w:szCs w:val="21"/>
                    </w:rPr>
                    <w:t>本项目</w:t>
                  </w:r>
                  <w:r>
                    <w:rPr>
                      <w:rFonts w:hint="default" w:ascii="Times New Roman" w:hAnsi="Times New Roman" w:cs="Times New Roman"/>
                      <w:sz w:val="21"/>
                      <w:szCs w:val="21"/>
                    </w:rPr>
                    <w:t>VOCs 初始排放速率＜2kg/h，本项目加大控制力度，</w:t>
                  </w:r>
                  <w:r>
                    <w:rPr>
                      <w:sz w:val="21"/>
                      <w:szCs w:val="21"/>
                    </w:rPr>
                    <w:t>废气采用“</w:t>
                  </w:r>
                  <w:r>
                    <w:rPr>
                      <w:rFonts w:hint="eastAsia"/>
                      <w:sz w:val="21"/>
                      <w:szCs w:val="21"/>
                      <w:lang w:eastAsia="zh-CN"/>
                    </w:rPr>
                    <w:t>过滤棉箱</w:t>
                  </w:r>
                  <w:r>
                    <w:rPr>
                      <w:sz w:val="21"/>
                      <w:szCs w:val="21"/>
                    </w:rPr>
                    <w:t>+ 活性炭吸附/脱附+催化燃烧装置”处理；去除效率不低于80%；本项目原料为聚丙烯原包料颗粒。</w:t>
                  </w:r>
                </w:p>
              </w:tc>
              <w:tc>
                <w:tcPr>
                  <w:tcW w:w="663" w:type="dxa"/>
                  <w:tcBorders>
                    <w:tl2br w:val="nil"/>
                    <w:tr2bl w:val="nil"/>
                  </w:tcBorders>
                  <w:vAlign w:val="top"/>
                </w:tcPr>
                <w:p>
                  <w:pPr>
                    <w:bidi w:val="0"/>
                    <w:spacing w:line="240" w:lineRule="auto"/>
                    <w:rPr>
                      <w:sz w:val="21"/>
                      <w:szCs w:val="21"/>
                    </w:rPr>
                  </w:pPr>
                  <w:r>
                    <w:rPr>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519" w:type="dxa"/>
                  <w:tcBorders>
                    <w:tl2br w:val="nil"/>
                    <w:tr2bl w:val="nil"/>
                  </w:tcBorders>
                  <w:vAlign w:val="top"/>
                </w:tcPr>
                <w:p>
                  <w:pPr>
                    <w:bidi w:val="0"/>
                    <w:spacing w:line="240" w:lineRule="auto"/>
                    <w:rPr>
                      <w:sz w:val="21"/>
                      <w:szCs w:val="21"/>
                    </w:rPr>
                  </w:pPr>
                  <w:r>
                    <w:rPr>
                      <w:sz w:val="21"/>
                      <w:szCs w:val="21"/>
                    </w:rPr>
                    <w:t>2</w:t>
                  </w:r>
                </w:p>
              </w:tc>
              <w:tc>
                <w:tcPr>
                  <w:tcW w:w="4102" w:type="dxa"/>
                  <w:tcBorders>
                    <w:tl2br w:val="nil"/>
                    <w:tr2bl w:val="nil"/>
                  </w:tcBorders>
                  <w:vAlign w:val="top"/>
                </w:tcPr>
                <w:p>
                  <w:pPr>
                    <w:bidi w:val="0"/>
                    <w:spacing w:line="240" w:lineRule="auto"/>
                    <w:rPr>
                      <w:sz w:val="21"/>
                      <w:szCs w:val="21"/>
                    </w:rPr>
                  </w:pPr>
                  <w:r>
                    <w:rPr>
                      <w:sz w:val="21"/>
                      <w:szCs w:val="21"/>
                    </w:rPr>
                    <w:t>鼓励企业采用多种技术的组合工艺，提高 VOCs治理效率。低浓度、大风量废气，宜采用沸石转轮吸附、活性炭吸附、减风增浓等浓缩技术，提高 VOCs 浓度后净化处理；采用一次性活性炭吸附技术的，应定期更换活性炭，废旧活性炭应再生或处理处置。</w:t>
                  </w:r>
                </w:p>
              </w:tc>
              <w:tc>
                <w:tcPr>
                  <w:tcW w:w="1865" w:type="dxa"/>
                  <w:tcBorders>
                    <w:tl2br w:val="nil"/>
                    <w:tr2bl w:val="nil"/>
                  </w:tcBorders>
                  <w:vAlign w:val="top"/>
                </w:tcPr>
                <w:p>
                  <w:pPr>
                    <w:bidi w:val="0"/>
                    <w:spacing w:line="240" w:lineRule="auto"/>
                    <w:rPr>
                      <w:sz w:val="21"/>
                      <w:szCs w:val="21"/>
                    </w:rPr>
                  </w:pPr>
                  <w:r>
                    <w:rPr>
                      <w:sz w:val="21"/>
                      <w:szCs w:val="21"/>
                    </w:rPr>
                    <w:t>本项目产生的有机废气属于低浓度有机废气，拟采用活性炭吸附处理；活性炭定期更换，按危险废物处置。</w:t>
                  </w:r>
                </w:p>
              </w:tc>
              <w:tc>
                <w:tcPr>
                  <w:tcW w:w="663" w:type="dxa"/>
                  <w:tcBorders>
                    <w:tl2br w:val="nil"/>
                    <w:tr2bl w:val="nil"/>
                  </w:tcBorders>
                  <w:vAlign w:val="top"/>
                </w:tcPr>
                <w:p>
                  <w:pPr>
                    <w:bidi w:val="0"/>
                    <w:spacing w:line="240" w:lineRule="auto"/>
                    <w:rPr>
                      <w:sz w:val="21"/>
                      <w:szCs w:val="21"/>
                    </w:rPr>
                  </w:pPr>
                  <w:r>
                    <w:rPr>
                      <w:sz w:val="21"/>
                      <w:szCs w:val="21"/>
                    </w:rPr>
                    <w:t>可行</w:t>
                  </w:r>
                </w:p>
              </w:tc>
            </w:tr>
          </w:tbl>
          <w:p>
            <w:pPr>
              <w:autoSpaceDE w:val="0"/>
              <w:autoSpaceDN w:val="0"/>
              <w:adjustRightInd w:val="0"/>
              <w:snapToGrid w:val="0"/>
              <w:spacing w:line="240" w:lineRule="auto"/>
              <w:ind w:firstLine="0"/>
              <w:jc w:val="center"/>
              <w:rPr>
                <w:rFonts w:hint="eastAsia" w:ascii="Times New Roman" w:hAnsi="Times New Roman" w:eastAsia="宋体" w:cs="Times New Roman"/>
                <w:b/>
                <w:bCs/>
                <w:color w:val="auto"/>
                <w:sz w:val="21"/>
                <w:szCs w:val="21"/>
                <w:lang w:val="en-US" w:eastAsia="zh-CN"/>
              </w:rPr>
            </w:pPr>
            <w:r>
              <w:rPr>
                <w:rFonts w:hint="eastAsia" w:ascii="Times New Roman" w:hAnsi="Times New Roman" w:eastAsia="宋体" w:cs="Times New Roman"/>
                <w:b/>
                <w:bCs/>
                <w:color w:val="auto"/>
                <w:sz w:val="21"/>
                <w:szCs w:val="21"/>
                <w:lang w:val="en-US" w:eastAsia="zh-CN"/>
              </w:rPr>
              <w:t>表5</w:t>
            </w:r>
            <w:r>
              <w:rPr>
                <w:rFonts w:hint="eastAsia" w:ascii="Times New Roman" w:hAnsi="Times New Roman" w:eastAsia="宋体" w:cs="Times New Roman"/>
                <w:b/>
                <w:bCs/>
                <w:color w:val="auto"/>
                <w:sz w:val="21"/>
                <w:szCs w:val="21"/>
                <w:lang w:val="en-US" w:eastAsia="zh-CN"/>
              </w:rPr>
              <w:tab/>
            </w:r>
            <w:r>
              <w:rPr>
                <w:rFonts w:hint="eastAsia" w:ascii="Times New Roman" w:hAnsi="Times New Roman" w:eastAsia="宋体" w:cs="Times New Roman"/>
                <w:b/>
                <w:bCs/>
                <w:color w:val="auto"/>
                <w:sz w:val="21"/>
                <w:szCs w:val="21"/>
                <w:lang w:val="en-US" w:eastAsia="zh-CN"/>
              </w:rPr>
              <w:t>《关于进一步做好涉 VOCs 行业环保监督管理的通知》</w:t>
            </w:r>
          </w:p>
          <w:p>
            <w:pPr>
              <w:autoSpaceDE w:val="0"/>
              <w:autoSpaceDN w:val="0"/>
              <w:adjustRightInd w:val="0"/>
              <w:snapToGrid w:val="0"/>
              <w:spacing w:line="240" w:lineRule="auto"/>
              <w:ind w:firstLine="0"/>
              <w:jc w:val="center"/>
              <w:rPr>
                <w:rFonts w:hint="eastAsia" w:ascii="Times New Roman" w:hAnsi="Times New Roman" w:eastAsia="宋体" w:cs="Times New Roman"/>
                <w:b/>
                <w:bCs/>
                <w:color w:val="auto"/>
                <w:sz w:val="21"/>
                <w:szCs w:val="21"/>
                <w:lang w:val="en-US" w:eastAsia="zh-CN"/>
              </w:rPr>
            </w:pPr>
            <w:r>
              <w:rPr>
                <w:rFonts w:hint="eastAsia" w:ascii="Times New Roman" w:hAnsi="Times New Roman" w:eastAsia="宋体" w:cs="Times New Roman"/>
                <w:b/>
                <w:bCs/>
                <w:color w:val="auto"/>
                <w:sz w:val="21"/>
                <w:szCs w:val="21"/>
                <w:lang w:val="en-US" w:eastAsia="zh-CN"/>
              </w:rPr>
              <w:t>（唐气领办[2019]16 号</w:t>
            </w:r>
          </w:p>
          <w:tbl>
            <w:tblPr>
              <w:tblStyle w:val="21"/>
              <w:tblW w:w="7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
              <w:gridCol w:w="4882"/>
              <w:gridCol w:w="1155"/>
              <w:gridCol w:w="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373" w:type="dxa"/>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序号</w:t>
                  </w:r>
                </w:p>
              </w:tc>
              <w:tc>
                <w:tcPr>
                  <w:tcW w:w="4882" w:type="dxa"/>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要求</w:t>
                  </w:r>
                </w:p>
              </w:tc>
              <w:tc>
                <w:tcPr>
                  <w:tcW w:w="1155" w:type="dxa"/>
                  <w:vAlign w:val="center"/>
                </w:tcPr>
                <w:p>
                  <w:pPr>
                    <w:bidi w:val="0"/>
                    <w:spacing w:line="240" w:lineRule="auto"/>
                    <w:rPr>
                      <w:rFonts w:hint="default"/>
                      <w:sz w:val="21"/>
                      <w:szCs w:val="21"/>
                      <w:lang w:val="en-US" w:eastAsia="zh-CN"/>
                    </w:rPr>
                  </w:pPr>
                  <w:r>
                    <w:rPr>
                      <w:rFonts w:hint="default"/>
                      <w:sz w:val="21"/>
                      <w:szCs w:val="21"/>
                      <w:lang w:val="en-US" w:eastAsia="zh-CN"/>
                    </w:rPr>
                    <w:t>本项目</w:t>
                  </w:r>
                </w:p>
              </w:tc>
              <w:tc>
                <w:tcPr>
                  <w:tcW w:w="687" w:type="dxa"/>
                  <w:vAlign w:val="center"/>
                </w:tcPr>
                <w:p>
                  <w:pPr>
                    <w:bidi w:val="0"/>
                    <w:spacing w:line="240" w:lineRule="auto"/>
                    <w:jc w:val="center"/>
                    <w:rPr>
                      <w:rFonts w:hint="default"/>
                      <w:sz w:val="21"/>
                      <w:szCs w:val="21"/>
                      <w:lang w:val="en-US" w:eastAsia="zh-CN"/>
                    </w:rPr>
                  </w:pPr>
                  <w:r>
                    <w:rPr>
                      <w:rFonts w:hint="default"/>
                      <w:sz w:val="21"/>
                      <w:szCs w:val="21"/>
                      <w:lang w:val="en-US" w:eastAsia="zh-CN"/>
                    </w:rPr>
                    <w:t>可行性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373" w:type="dxa"/>
                  <w:vAlign w:val="top"/>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1</w:t>
                  </w:r>
                </w:p>
              </w:tc>
              <w:tc>
                <w:tcPr>
                  <w:tcW w:w="4882" w:type="dxa"/>
                  <w:vAlign w:val="top"/>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橡胶和塑料制品行业：重点推进橡胶制品业、塑料制品业（不含塑料人造革、合成革制造）等VOCs排放控制。加强源头控制。橡胶行业推广使用新型偶联剂、黏合剂等产品，推广使用石蜡油等全面替代普通芳怪油、煤焦油等助剂。推广使用清洁生产技术和设备。选用自动化程度高、密闭性强、废气产生量少的生产成套设备；推广应用自动称量、配料、进料、出料的密闭炼胶生产线；推广采用串联法混炼、常压连续脱硫工艺；优先采用水冷工艺，普及低温一次法炼胶工艺；硫化装置设置负压抽气、常压开盖的自动化排气系统。溶剂储存、装卸参照石化行业要求开展 VOCs污染防治工作。加强废气收集与处理。在密炼机进、出口安装集气罩局部抽风，硫化机上方安装大围罩引风装置，打浆、浸胶、涂布工序应安装密闭集气装置，加强废气收集，有机废气收集率达到70%以上。炼胶废气建设除尘、吸附浓缩与焚烧组合的治理设施，其他废气建设吸附燃烧等高效治理设施，实现达标排放。</w:t>
                  </w:r>
                </w:p>
              </w:tc>
              <w:tc>
                <w:tcPr>
                  <w:tcW w:w="1155" w:type="dxa"/>
                  <w:vAlign w:val="top"/>
                </w:tcPr>
                <w:p>
                  <w:pPr>
                    <w:bidi w:val="0"/>
                    <w:spacing w:line="240" w:lineRule="auto"/>
                    <w:rPr>
                      <w:rFonts w:hint="default"/>
                      <w:sz w:val="21"/>
                      <w:szCs w:val="21"/>
                      <w:lang w:val="en-US" w:eastAsia="zh-CN"/>
                    </w:rPr>
                  </w:pPr>
                  <w:r>
                    <w:rPr>
                      <w:rFonts w:hint="default"/>
                      <w:sz w:val="21"/>
                      <w:szCs w:val="21"/>
                      <w:lang w:val="en-US" w:eastAsia="zh-CN"/>
                    </w:rPr>
                    <w:t>本项目为塑料制品行业，原料为聚丙烯原包料颗粒；项目加强废气收集与处理，废气采用“</w:t>
                  </w:r>
                  <w:r>
                    <w:rPr>
                      <w:rFonts w:hint="eastAsia"/>
                      <w:sz w:val="21"/>
                      <w:szCs w:val="21"/>
                      <w:lang w:val="en-US" w:eastAsia="zh-CN"/>
                    </w:rPr>
                    <w:t>过滤棉箱</w:t>
                  </w:r>
                  <w:r>
                    <w:rPr>
                      <w:rFonts w:hint="default"/>
                      <w:sz w:val="21"/>
                      <w:szCs w:val="21"/>
                      <w:lang w:val="en-US" w:eastAsia="zh-CN"/>
                    </w:rPr>
                    <w:t>+活性炭吸附/脱附+催化燃烧装置”处理。</w:t>
                  </w:r>
                </w:p>
              </w:tc>
              <w:tc>
                <w:tcPr>
                  <w:tcW w:w="687" w:type="dxa"/>
                  <w:vAlign w:val="top"/>
                </w:tcPr>
                <w:p>
                  <w:pPr>
                    <w:bidi w:val="0"/>
                    <w:spacing w:line="240" w:lineRule="auto"/>
                    <w:jc w:val="center"/>
                    <w:rPr>
                      <w:rFonts w:hint="default"/>
                      <w:sz w:val="21"/>
                      <w:szCs w:val="21"/>
                      <w:lang w:val="en-US" w:eastAsia="zh-CN"/>
                    </w:rPr>
                  </w:pPr>
                  <w:r>
                    <w:rPr>
                      <w:rFonts w:hint="default"/>
                      <w:sz w:val="21"/>
                      <w:szCs w:val="21"/>
                      <w:lang w:val="en-US" w:eastAsia="zh-CN"/>
                    </w:rPr>
                    <w:t>可行</w:t>
                  </w:r>
                </w:p>
              </w:tc>
            </w:tr>
          </w:tbl>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sz w:val="21"/>
                <w:szCs w:val="21"/>
                <w:lang w:val="en-US" w:eastAsia="zh-CN"/>
              </w:rPr>
            </w:pPr>
            <w:r>
              <w:rPr>
                <w:rFonts w:hint="default" w:ascii="Times New Roman" w:hAnsi="Times New Roman" w:eastAsia="宋体" w:cs="Times New Roman"/>
                <w:b/>
                <w:bCs/>
                <w:color w:val="auto"/>
                <w:sz w:val="21"/>
                <w:szCs w:val="21"/>
                <w:lang w:val="en-US" w:eastAsia="zh-CN"/>
              </w:rPr>
              <w:t>表</w:t>
            </w:r>
            <w:r>
              <w:rPr>
                <w:rFonts w:hint="eastAsia" w:ascii="Times New Roman" w:hAnsi="Times New Roman" w:eastAsia="宋体" w:cs="Times New Roman"/>
                <w:b/>
                <w:bCs/>
                <w:color w:val="auto"/>
                <w:sz w:val="21"/>
                <w:szCs w:val="21"/>
                <w:lang w:val="en-US" w:eastAsia="zh-CN"/>
              </w:rPr>
              <w:t>6</w:t>
            </w:r>
            <w:r>
              <w:rPr>
                <w:rFonts w:hint="default" w:ascii="Times New Roman" w:hAnsi="Times New Roman" w:eastAsia="宋体" w:cs="Times New Roman"/>
                <w:b/>
                <w:bCs/>
                <w:color w:val="auto"/>
                <w:sz w:val="21"/>
                <w:szCs w:val="21"/>
                <w:lang w:val="en-US" w:eastAsia="zh-CN"/>
              </w:rPr>
              <w:tab/>
            </w:r>
            <w:r>
              <w:rPr>
                <w:rFonts w:hint="default" w:ascii="Times New Roman" w:hAnsi="Times New Roman" w:eastAsia="宋体" w:cs="Times New Roman"/>
                <w:b/>
                <w:bCs/>
                <w:color w:val="auto"/>
                <w:sz w:val="21"/>
                <w:szCs w:val="21"/>
                <w:lang w:val="en-US" w:eastAsia="zh-CN"/>
              </w:rPr>
              <w:t>《唐山市 2021 年挥发性有机物综合治理工作方案》</w:t>
            </w:r>
          </w:p>
          <w:tbl>
            <w:tblPr>
              <w:tblStyle w:val="20"/>
              <w:tblW w:w="7143"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55"/>
              <w:gridCol w:w="4335"/>
              <w:gridCol w:w="1645"/>
              <w:gridCol w:w="70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rFonts w:hint="default"/>
                      <w:sz w:val="21"/>
                      <w:szCs w:val="21"/>
                    </w:rPr>
                  </w:pPr>
                  <w:r>
                    <w:rPr>
                      <w:rFonts w:hint="default"/>
                      <w:sz w:val="21"/>
                      <w:szCs w:val="21"/>
                    </w:rPr>
                    <w:t>序号</w:t>
                  </w:r>
                </w:p>
              </w:tc>
              <w:tc>
                <w:tcPr>
                  <w:tcW w:w="4335" w:type="dxa"/>
                  <w:tcBorders>
                    <w:tl2br w:val="nil"/>
                    <w:tr2bl w:val="nil"/>
                  </w:tcBorders>
                  <w:noWrap w:val="0"/>
                  <w:vAlign w:val="top"/>
                </w:tcPr>
                <w:p>
                  <w:pPr>
                    <w:bidi w:val="0"/>
                    <w:spacing w:line="240" w:lineRule="auto"/>
                    <w:rPr>
                      <w:rFonts w:hint="default"/>
                      <w:sz w:val="21"/>
                      <w:szCs w:val="21"/>
                    </w:rPr>
                  </w:pPr>
                  <w:r>
                    <w:rPr>
                      <w:rFonts w:hint="default"/>
                      <w:sz w:val="21"/>
                      <w:szCs w:val="21"/>
                    </w:rPr>
                    <w:t>要求</w:t>
                  </w:r>
                </w:p>
              </w:tc>
              <w:tc>
                <w:tcPr>
                  <w:tcW w:w="1645" w:type="dxa"/>
                  <w:tcBorders>
                    <w:tl2br w:val="nil"/>
                    <w:tr2bl w:val="nil"/>
                  </w:tcBorders>
                  <w:noWrap w:val="0"/>
                  <w:vAlign w:val="top"/>
                </w:tcPr>
                <w:p>
                  <w:pPr>
                    <w:bidi w:val="0"/>
                    <w:spacing w:line="240" w:lineRule="auto"/>
                    <w:rPr>
                      <w:rFonts w:hint="default"/>
                      <w:sz w:val="21"/>
                      <w:szCs w:val="21"/>
                    </w:rPr>
                  </w:pPr>
                  <w:r>
                    <w:rPr>
                      <w:rFonts w:hint="default"/>
                      <w:sz w:val="21"/>
                      <w:szCs w:val="21"/>
                    </w:rPr>
                    <w:t>本项目</w:t>
                  </w:r>
                </w:p>
              </w:tc>
              <w:tc>
                <w:tcPr>
                  <w:tcW w:w="708" w:type="dxa"/>
                  <w:tcBorders>
                    <w:tl2br w:val="nil"/>
                    <w:tr2bl w:val="nil"/>
                  </w:tcBorders>
                  <w:noWrap w:val="0"/>
                  <w:vAlign w:val="top"/>
                </w:tcPr>
                <w:p>
                  <w:pPr>
                    <w:bidi w:val="0"/>
                    <w:spacing w:line="240" w:lineRule="auto"/>
                    <w:rPr>
                      <w:rFonts w:hint="default"/>
                      <w:sz w:val="21"/>
                      <w:szCs w:val="21"/>
                    </w:rPr>
                  </w:pPr>
                  <w:r>
                    <w:rPr>
                      <w:rFonts w:hint="default"/>
                      <w:sz w:val="21"/>
                      <w:szCs w:val="21"/>
                    </w:rPr>
                    <w:t>可行性</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r>
                    <w:rPr>
                      <w:rFonts w:hint="default"/>
                      <w:sz w:val="21"/>
                      <w:szCs w:val="21"/>
                    </w:rPr>
                    <w:t>1</w:t>
                  </w:r>
                </w:p>
              </w:tc>
              <w:tc>
                <w:tcPr>
                  <w:tcW w:w="4335" w:type="dxa"/>
                  <w:tcBorders>
                    <w:tl2br w:val="nil"/>
                    <w:tr2bl w:val="nil"/>
                  </w:tcBorders>
                  <w:noWrap w:val="0"/>
                  <w:vAlign w:val="top"/>
                </w:tcPr>
                <w:p>
                  <w:pPr>
                    <w:bidi w:val="0"/>
                    <w:spacing w:line="240" w:lineRule="auto"/>
                    <w:rPr>
                      <w:rFonts w:hint="default"/>
                      <w:sz w:val="21"/>
                      <w:szCs w:val="21"/>
                    </w:rPr>
                  </w:pPr>
                  <w:r>
                    <w:rPr>
                      <w:rFonts w:hint="default"/>
                      <w:sz w:val="21"/>
                      <w:szCs w:val="21"/>
                    </w:rPr>
                    <w:t>VOC 治理基本路线：对产生废气的行业（有机化工行业除外），应在有机废气处理设施前段加装高效除尘设施或油烟净化装置，确保废气中粉尘或油烟浓度满足VOCs治理设施要求，对于制鞋、塑料、橡胶等行业的挤出、硫化工序，需加装油烟净化装置，保证过滤单元后无可见油烟。</w:t>
                  </w:r>
                </w:p>
                <w:p>
                  <w:pPr>
                    <w:bidi w:val="0"/>
                    <w:spacing w:line="240" w:lineRule="auto"/>
                    <w:rPr>
                      <w:rFonts w:hint="default"/>
                      <w:sz w:val="21"/>
                      <w:szCs w:val="21"/>
                    </w:rPr>
                  </w:pPr>
                  <w:r>
                    <w:rPr>
                      <w:rFonts w:hint="default"/>
                      <w:sz w:val="21"/>
                      <w:szCs w:val="21"/>
                    </w:rPr>
                    <w:t>根据《2020年挥发性有机物治理攻坚方案》的要求，VOCs年产生量大于10吨的企业认定为重点管控企业（每天VOCs产生量大于30千克的工业企业）。 按照物料平衡计算，达到上述要求的企业须在主要污染物排放口安装VOCs在线监测设施；按照物料平衡计算，达到上述要求的企业须在主要污染物排放口安装 VOCs 在线监测设施（氢火焰离子化检测器，FID）；达不到上述要求的企业，安装超标报警装置，但需定期采用便携式氢火焰离子化检测仪（FID）进行比对并留存比对记录。</w:t>
                  </w:r>
                </w:p>
              </w:tc>
              <w:tc>
                <w:tcPr>
                  <w:tcW w:w="1645" w:type="dxa"/>
                  <w:tcBorders>
                    <w:tl2br w:val="nil"/>
                    <w:tr2bl w:val="nil"/>
                  </w:tcBorders>
                  <w:noWrap w:val="0"/>
                  <w:vAlign w:val="top"/>
                </w:tcPr>
                <w:p>
                  <w:pPr>
                    <w:bidi w:val="0"/>
                    <w:spacing w:line="240" w:lineRule="auto"/>
                    <w:rPr>
                      <w:rFonts w:hint="default"/>
                      <w:color w:val="auto"/>
                      <w:sz w:val="21"/>
                      <w:szCs w:val="21"/>
                    </w:rPr>
                  </w:pPr>
                  <w:r>
                    <w:rPr>
                      <w:rFonts w:hint="default"/>
                      <w:sz w:val="21"/>
                      <w:szCs w:val="21"/>
                    </w:rPr>
                    <w:t>本项目产生的有机废气经</w:t>
                  </w:r>
                  <w:r>
                    <w:rPr>
                      <w:rFonts w:hint="eastAsia"/>
                      <w:sz w:val="21"/>
                      <w:szCs w:val="21"/>
                      <w:lang w:eastAsia="zh-CN"/>
                    </w:rPr>
                    <w:t>过滤棉箱</w:t>
                  </w:r>
                  <w:r>
                    <w:rPr>
                      <w:rFonts w:hint="default"/>
                      <w:sz w:val="21"/>
                      <w:szCs w:val="21"/>
                    </w:rPr>
                    <w:t>+活性炭吸附/脱附+催化燃烧装置处理。</w:t>
                  </w:r>
                </w:p>
                <w:p>
                  <w:pPr>
                    <w:bidi w:val="0"/>
                    <w:spacing w:line="240" w:lineRule="auto"/>
                    <w:rPr>
                      <w:rFonts w:hint="default"/>
                      <w:sz w:val="21"/>
                      <w:szCs w:val="21"/>
                    </w:rPr>
                  </w:pPr>
                  <w:r>
                    <w:rPr>
                      <w:rFonts w:hint="default"/>
                      <w:color w:val="auto"/>
                      <w:sz w:val="21"/>
                      <w:szCs w:val="21"/>
                    </w:rPr>
                    <w:t>本项目挥发性有机物有组织预测排放量0.</w:t>
                  </w:r>
                  <w:r>
                    <w:rPr>
                      <w:rFonts w:hint="eastAsia"/>
                      <w:color w:val="auto"/>
                      <w:sz w:val="21"/>
                      <w:szCs w:val="21"/>
                      <w:lang w:val="en-US" w:eastAsia="zh-CN"/>
                    </w:rPr>
                    <w:t>129</w:t>
                  </w:r>
                  <w:r>
                    <w:rPr>
                      <w:rFonts w:hint="default"/>
                      <w:color w:val="auto"/>
                      <w:sz w:val="21"/>
                      <w:szCs w:val="21"/>
                    </w:rPr>
                    <w:t>t/a。</w:t>
                  </w:r>
                  <w:r>
                    <w:rPr>
                      <w:rFonts w:hint="default" w:ascii="Times New Roman" w:hAnsi="Times New Roman" w:eastAsia="宋体" w:cs="Times New Roman"/>
                      <w:color w:val="auto"/>
                      <w:sz w:val="21"/>
                      <w:szCs w:val="21"/>
                    </w:rPr>
                    <w:t>本项目无需安装VOCs在线监测设施（FID）并联网。</w:t>
                  </w:r>
                </w:p>
              </w:tc>
              <w:tc>
                <w:tcPr>
                  <w:tcW w:w="708" w:type="dxa"/>
                  <w:tcBorders>
                    <w:tl2br w:val="nil"/>
                    <w:tr2bl w:val="nil"/>
                  </w:tcBorders>
                  <w:noWrap w:val="0"/>
                  <w:vAlign w:val="top"/>
                </w:tcPr>
                <w:p>
                  <w:pPr>
                    <w:bidi w:val="0"/>
                    <w:spacing w:line="240" w:lineRule="auto"/>
                    <w:rPr>
                      <w:rFonts w:hint="default"/>
                      <w:sz w:val="21"/>
                      <w:szCs w:val="21"/>
                    </w:rPr>
                  </w:pPr>
                  <w:r>
                    <w:rPr>
                      <w:rFonts w:hint="default"/>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r>
                    <w:rPr>
                      <w:rFonts w:hint="default"/>
                      <w:sz w:val="21"/>
                      <w:szCs w:val="21"/>
                    </w:rPr>
                    <w:t>2</w:t>
                  </w:r>
                </w:p>
              </w:tc>
              <w:tc>
                <w:tcPr>
                  <w:tcW w:w="4335" w:type="dxa"/>
                  <w:tcBorders>
                    <w:tl2br w:val="nil"/>
                    <w:tr2bl w:val="nil"/>
                  </w:tcBorders>
                  <w:noWrap w:val="0"/>
                  <w:vAlign w:val="top"/>
                </w:tcPr>
                <w:p>
                  <w:pPr>
                    <w:bidi w:val="0"/>
                    <w:spacing w:line="240" w:lineRule="auto"/>
                    <w:rPr>
                      <w:rFonts w:hint="default"/>
                      <w:sz w:val="21"/>
                      <w:szCs w:val="21"/>
                    </w:rPr>
                  </w:pPr>
                  <w:r>
                    <w:rPr>
                      <w:rFonts w:hint="default"/>
                      <w:sz w:val="21"/>
                      <w:szCs w:val="21"/>
                    </w:rPr>
                    <w:t>VOC末端治理原则：低浓度废气（通常为小于1000ppm），可选择吸附浓缩后处理技术、吸收技术、生物技术等，目前大 多数情况采取组合技术进行净化。</w:t>
                  </w:r>
                </w:p>
              </w:tc>
              <w:tc>
                <w:tcPr>
                  <w:tcW w:w="1645" w:type="dxa"/>
                  <w:tcBorders>
                    <w:tl2br w:val="nil"/>
                    <w:tr2bl w:val="nil"/>
                  </w:tcBorders>
                  <w:noWrap w:val="0"/>
                  <w:vAlign w:val="top"/>
                </w:tcPr>
                <w:p>
                  <w:pPr>
                    <w:bidi w:val="0"/>
                    <w:spacing w:line="240" w:lineRule="auto"/>
                    <w:rPr>
                      <w:rFonts w:hint="default"/>
                      <w:sz w:val="21"/>
                      <w:szCs w:val="21"/>
                    </w:rPr>
                  </w:pPr>
                  <w:r>
                    <w:rPr>
                      <w:rFonts w:hint="default"/>
                      <w:sz w:val="21"/>
                      <w:szCs w:val="21"/>
                    </w:rPr>
                    <w:t>本项目产生的有机废气经</w:t>
                  </w:r>
                  <w:r>
                    <w:rPr>
                      <w:rFonts w:hint="eastAsia"/>
                      <w:sz w:val="21"/>
                      <w:szCs w:val="21"/>
                      <w:lang w:eastAsia="zh-CN"/>
                    </w:rPr>
                    <w:t>过滤棉箱</w:t>
                  </w:r>
                  <w:r>
                    <w:rPr>
                      <w:rFonts w:hint="default"/>
                      <w:sz w:val="21"/>
                      <w:szCs w:val="21"/>
                    </w:rPr>
                    <w:t>+活性炭吸附/脱附+催化燃烧装置处理。</w:t>
                  </w:r>
                </w:p>
              </w:tc>
              <w:tc>
                <w:tcPr>
                  <w:tcW w:w="708" w:type="dxa"/>
                  <w:tcBorders>
                    <w:tl2br w:val="nil"/>
                    <w:tr2bl w:val="nil"/>
                  </w:tcBorders>
                  <w:noWrap w:val="0"/>
                  <w:vAlign w:val="top"/>
                </w:tcPr>
                <w:p>
                  <w:pPr>
                    <w:bidi w:val="0"/>
                    <w:spacing w:line="240" w:lineRule="auto"/>
                    <w:rPr>
                      <w:rFonts w:hint="default"/>
                      <w:sz w:val="21"/>
                      <w:szCs w:val="21"/>
                    </w:rPr>
                  </w:pPr>
                  <w:r>
                    <w:rPr>
                      <w:rFonts w:hint="default"/>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p>
                <w:p>
                  <w:pPr>
                    <w:bidi w:val="0"/>
                    <w:spacing w:line="240" w:lineRule="auto"/>
                    <w:rPr>
                      <w:rFonts w:hint="default"/>
                      <w:sz w:val="21"/>
                      <w:szCs w:val="21"/>
                    </w:rPr>
                  </w:pPr>
                  <w:r>
                    <w:rPr>
                      <w:rFonts w:hint="default"/>
                      <w:sz w:val="21"/>
                      <w:szCs w:val="21"/>
                    </w:rPr>
                    <w:t>3</w:t>
                  </w:r>
                </w:p>
              </w:tc>
              <w:tc>
                <w:tcPr>
                  <w:tcW w:w="4335" w:type="dxa"/>
                  <w:tcBorders>
                    <w:tl2br w:val="nil"/>
                    <w:tr2bl w:val="nil"/>
                  </w:tcBorders>
                  <w:noWrap w:val="0"/>
                  <w:vAlign w:val="top"/>
                </w:tcPr>
                <w:p>
                  <w:pPr>
                    <w:bidi w:val="0"/>
                    <w:spacing w:line="240" w:lineRule="auto"/>
                    <w:rPr>
                      <w:rFonts w:hint="default"/>
                      <w:sz w:val="21"/>
                      <w:szCs w:val="21"/>
                    </w:rPr>
                  </w:pPr>
                  <w:r>
                    <w:rPr>
                      <w:rFonts w:hint="default"/>
                      <w:sz w:val="21"/>
                      <w:szCs w:val="21"/>
                    </w:rPr>
                    <w:t>源头控制：采用环保型原辅料，禁止使用附带生物 污染、有毒有害物质的废物料作为生产原料。进口废塑料 作为生产原料的企业应具有固体废物进口许可证，进口的废塑料应符合《进口可用作原料的固体废物环境保护控制标准废塑料》（GB16487.12-2005）要求。应选择先进、稳定、无二次污染的生产工艺，优先使用自动化程度高、密闭性强、废气产生量少的生产工艺和装备，鼓励企业选用密闭自动配套装置和生产线。为防止热熔过程温度过高发生分解，在热熔过程中可对造粒机加热温度进行监控；为控制含氯塑料热熔过程释放含氯气体，其加热过程应低于 185℃；定型工序优先采用水冷工艺。</w:t>
                  </w:r>
                </w:p>
              </w:tc>
              <w:tc>
                <w:tcPr>
                  <w:tcW w:w="1645" w:type="dxa"/>
                  <w:tcBorders>
                    <w:tl2br w:val="nil"/>
                    <w:tr2bl w:val="nil"/>
                  </w:tcBorders>
                  <w:noWrap w:val="0"/>
                  <w:vAlign w:val="top"/>
                </w:tcPr>
                <w:p>
                  <w:pPr>
                    <w:bidi w:val="0"/>
                    <w:spacing w:line="240" w:lineRule="auto"/>
                    <w:rPr>
                      <w:rFonts w:hint="default"/>
                      <w:sz w:val="21"/>
                      <w:szCs w:val="21"/>
                    </w:rPr>
                  </w:pPr>
                  <w:r>
                    <w:rPr>
                      <w:rFonts w:hint="default"/>
                      <w:sz w:val="21"/>
                      <w:szCs w:val="21"/>
                    </w:rPr>
                    <w:t>本项目原料为聚丙烯原包料颗粒。选择自动化程度高、密闭性强、废气产生量少的生产工艺和装备。</w:t>
                  </w:r>
                </w:p>
              </w:tc>
              <w:tc>
                <w:tcPr>
                  <w:tcW w:w="708" w:type="dxa"/>
                  <w:tcBorders>
                    <w:tl2br w:val="nil"/>
                    <w:tr2bl w:val="nil"/>
                  </w:tcBorders>
                  <w:noWrap w:val="0"/>
                  <w:vAlign w:val="top"/>
                </w:tcPr>
                <w:p>
                  <w:pPr>
                    <w:bidi w:val="0"/>
                    <w:spacing w:line="240" w:lineRule="auto"/>
                    <w:rPr>
                      <w:rFonts w:hint="default"/>
                      <w:sz w:val="21"/>
                      <w:szCs w:val="21"/>
                    </w:rPr>
                  </w:pPr>
                  <w:r>
                    <w:rPr>
                      <w:rFonts w:hint="default"/>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rFonts w:hint="default"/>
                      <w:sz w:val="21"/>
                      <w:szCs w:val="21"/>
                      <w:lang w:val="en-US" w:eastAsia="zh-CN"/>
                    </w:rPr>
                  </w:pPr>
                  <w:r>
                    <w:rPr>
                      <w:sz w:val="21"/>
                      <w:szCs w:val="21"/>
                    </w:rPr>
                    <w:t>4</w:t>
                  </w:r>
                </w:p>
              </w:tc>
              <w:tc>
                <w:tcPr>
                  <w:tcW w:w="4335" w:type="dxa"/>
                  <w:tcBorders>
                    <w:tl2br w:val="nil"/>
                    <w:tr2bl w:val="nil"/>
                  </w:tcBorders>
                  <w:noWrap w:val="0"/>
                  <w:vAlign w:val="top"/>
                </w:tcPr>
                <w:p>
                  <w:pPr>
                    <w:bidi w:val="0"/>
                    <w:spacing w:line="240" w:lineRule="auto"/>
                    <w:rPr>
                      <w:rFonts w:hint="default"/>
                      <w:sz w:val="21"/>
                      <w:szCs w:val="21"/>
                      <w:lang w:val="en-US" w:eastAsia="zh-CN"/>
                    </w:rPr>
                  </w:pPr>
                  <w:r>
                    <w:rPr>
                      <w:sz w:val="21"/>
                      <w:szCs w:val="21"/>
                    </w:rPr>
                    <w:t>过程控制：①VOCs 原料存储于密闭的容器、包装袋、储罐、储库、料仓中；盛装VOCs原料的容器或包装袋存放于室内；盛装VOCs物料的容器或包装袋在 非取用状态时应加盖、封口，保持密闭；②颗粒状、粉状 VOCs 物料采用气力输送设备、管状带式输送机、螺旋输送机等密闭输送，或采用密闭的包装袋、容器或罐车进行物料转移。无法密闭投加的，应在密闭空间内操作，或进行局部气体收集，废气应排至除尘设施、VOCs 废气收集处理系统。液态VOCs物料采用密闭管道输送，或者采用密闭容器或罐车输送；③塑料制品行业产生的VOCs工段应在密闭空间内操作，无法密闭的应采取局部气体收集措 施。废气应排至除尘设施和废气收集系统。其 中，采用全密闭集气罩或密闭空间的，除行业 有特殊要求外，应保持微负压状态，并根据相 关规范合理设置通风量。采用局部集气罩的，距集气罩开口面最远处的 VOCs 无组织排放位置，控制风速应不低于0.3米/秒，有行业要求的按相关规定执行。④废吸附剂应采用密闭的包装袋或容器储存、转运，并建立储存、处置台账。</w:t>
                  </w:r>
                </w:p>
              </w:tc>
              <w:tc>
                <w:tcPr>
                  <w:tcW w:w="1645" w:type="dxa"/>
                  <w:tcBorders>
                    <w:tl2br w:val="nil"/>
                    <w:tr2bl w:val="nil"/>
                  </w:tcBorders>
                  <w:noWrap w:val="0"/>
                  <w:vAlign w:val="top"/>
                </w:tcPr>
                <w:p>
                  <w:pPr>
                    <w:bidi w:val="0"/>
                    <w:spacing w:line="240" w:lineRule="auto"/>
                    <w:rPr>
                      <w:rFonts w:hint="default"/>
                      <w:sz w:val="21"/>
                      <w:szCs w:val="21"/>
                      <w:lang w:val="en-US" w:eastAsia="zh-CN"/>
                    </w:rPr>
                  </w:pPr>
                  <w:r>
                    <w:rPr>
                      <w:sz w:val="21"/>
                      <w:szCs w:val="21"/>
                    </w:rPr>
                    <w:t>原料包装袋进厂， 进厂后存于原料</w:t>
                  </w:r>
                  <w:r>
                    <w:rPr>
                      <w:rFonts w:hint="eastAsia"/>
                      <w:sz w:val="21"/>
                      <w:szCs w:val="21"/>
                      <w:lang w:val="en-US" w:eastAsia="zh-CN"/>
                    </w:rPr>
                    <w:t>区</w:t>
                  </w:r>
                  <w:r>
                    <w:rPr>
                      <w:sz w:val="21"/>
                      <w:szCs w:val="21"/>
                    </w:rPr>
                    <w:t>，在生产车间内拆包。本项目产生的有机废气经</w:t>
                  </w:r>
                  <w:r>
                    <w:rPr>
                      <w:rFonts w:hint="eastAsia"/>
                      <w:sz w:val="21"/>
                      <w:szCs w:val="21"/>
                      <w:lang w:eastAsia="zh-CN"/>
                    </w:rPr>
                    <w:t>过滤棉箱</w:t>
                  </w:r>
                  <w:r>
                    <w:rPr>
                      <w:sz w:val="21"/>
                      <w:szCs w:val="21"/>
                    </w:rPr>
                    <w:t>+活性炭吸附/脱附+催化燃烧装置处理。本项目采取局部气体收集，有机废气产生环节设置集气罩，收集的废气经</w:t>
                  </w:r>
                  <w:r>
                    <w:rPr>
                      <w:rFonts w:hint="eastAsia"/>
                      <w:sz w:val="21"/>
                      <w:szCs w:val="21"/>
                      <w:lang w:eastAsia="zh-CN"/>
                    </w:rPr>
                    <w:t>过滤棉箱</w:t>
                  </w:r>
                  <w:r>
                    <w:rPr>
                      <w:sz w:val="21"/>
                      <w:szCs w:val="21"/>
                    </w:rPr>
                    <w:t>+活性炭吸附/脱附+催化燃烧装置处理。入口设计风速0.8 米/秒。有机废气处理装置产生的废过滤棉、废活性炭采用封闭存储，并建立储存、处置台账。</w:t>
                  </w:r>
                </w:p>
              </w:tc>
              <w:tc>
                <w:tcPr>
                  <w:tcW w:w="708" w:type="dxa"/>
                  <w:tcBorders>
                    <w:tl2br w:val="nil"/>
                    <w:tr2bl w:val="nil"/>
                  </w:tcBorders>
                  <w:noWrap w:val="0"/>
                  <w:vAlign w:val="top"/>
                </w:tcPr>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rFonts w:hint="default"/>
                      <w:sz w:val="21"/>
                      <w:szCs w:val="21"/>
                      <w:lang w:val="en-US" w:eastAsia="zh-CN"/>
                    </w:rPr>
                  </w:pPr>
                  <w:r>
                    <w:rPr>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55" w:type="dxa"/>
                  <w:tcBorders>
                    <w:tl2br w:val="nil"/>
                    <w:tr2bl w:val="nil"/>
                  </w:tcBorders>
                  <w:noWrap w:val="0"/>
                  <w:vAlign w:val="top"/>
                </w:tcPr>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lang w:val="en-US" w:eastAsia="zh-CN"/>
                    </w:rPr>
                  </w:pPr>
                  <w:r>
                    <w:rPr>
                      <w:sz w:val="21"/>
                      <w:szCs w:val="21"/>
                    </w:rPr>
                    <w:t>5</w:t>
                  </w:r>
                </w:p>
              </w:tc>
              <w:tc>
                <w:tcPr>
                  <w:tcW w:w="4335" w:type="dxa"/>
                  <w:tcBorders>
                    <w:tl2br w:val="nil"/>
                    <w:tr2bl w:val="nil"/>
                  </w:tcBorders>
                  <w:noWrap w:val="0"/>
                  <w:vAlign w:val="top"/>
                </w:tcPr>
                <w:p>
                  <w:pPr>
                    <w:bidi w:val="0"/>
                    <w:spacing w:line="240" w:lineRule="auto"/>
                    <w:rPr>
                      <w:sz w:val="21"/>
                      <w:szCs w:val="21"/>
                    </w:rPr>
                  </w:pPr>
                  <w:r>
                    <w:rPr>
                      <w:sz w:val="21"/>
                      <w:szCs w:val="21"/>
                    </w:rPr>
                    <w:t>末端治理：①生产工艺产生的VOC，通过高效袋式除尘或其他高效过滤式除尘设施后，采用 燃烧方式或喷淋、吸附、低温等离子、生物法等二级及以上组合工艺处理。过滤、压延、粘合等尾气可采用静电除雾器对有机物进行回收 处理，发泡废气优先采用高温焚烧技术处理。使用原包料且VOCs产生量较小（&lt;3kg/d）的企业，如采用UV光解、活性炭吸附或低温等离子等技术处理废气时，应在前端设置降温、除湿、除尘等预处理措施；</w:t>
                  </w:r>
                </w:p>
                <w:p>
                  <w:pPr>
                    <w:bidi w:val="0"/>
                    <w:spacing w:line="240" w:lineRule="auto"/>
                    <w:rPr>
                      <w:sz w:val="21"/>
                      <w:szCs w:val="21"/>
                      <w:lang w:val="en-US" w:eastAsia="zh-CN"/>
                    </w:rPr>
                  </w:pPr>
                  <w:r>
                    <w:rPr>
                      <w:sz w:val="21"/>
                      <w:szCs w:val="21"/>
                    </w:rPr>
                    <w:t>②治理设施应与其对应的生产工艺设备同步运 转。应保证在生产工艺设备运行波动情况下净 化设施仍能正常运转，实现达标排放。治理设 施应 有详细的设计方案、工艺参数等。因治理设施故障造成非正常排放，应停止运转对应的 生产工艺设备，待检修完毕后共同投入使用。应严格控制 VOCs 处理过程中产生的二次污染。催化燃烧和热力焚烧过程产生的废气（如氮氧化物、二氧化硫、卤化氢等），吸收、吸附、冷凝、生物处理过程中产生的废水、固体废物等应收集处理后回收利用或达标排放。</w:t>
                  </w:r>
                </w:p>
              </w:tc>
              <w:tc>
                <w:tcPr>
                  <w:tcW w:w="1645" w:type="dxa"/>
                  <w:tcBorders>
                    <w:tl2br w:val="nil"/>
                    <w:tr2bl w:val="nil"/>
                  </w:tcBorders>
                  <w:noWrap w:val="0"/>
                  <w:vAlign w:val="top"/>
                </w:tcPr>
                <w:p>
                  <w:pPr>
                    <w:bidi w:val="0"/>
                    <w:spacing w:line="240" w:lineRule="auto"/>
                    <w:rPr>
                      <w:sz w:val="21"/>
                      <w:szCs w:val="21"/>
                    </w:rPr>
                  </w:pPr>
                  <w:r>
                    <w:rPr>
                      <w:sz w:val="21"/>
                      <w:szCs w:val="21"/>
                    </w:rPr>
                    <w:t>项目产生的有机废气经</w:t>
                  </w:r>
                  <w:r>
                    <w:rPr>
                      <w:rFonts w:hint="eastAsia"/>
                      <w:sz w:val="21"/>
                      <w:szCs w:val="21"/>
                      <w:lang w:eastAsia="zh-CN"/>
                    </w:rPr>
                    <w:t>过滤棉箱</w:t>
                  </w:r>
                  <w:r>
                    <w:rPr>
                      <w:sz w:val="21"/>
                      <w:szCs w:val="21"/>
                    </w:rPr>
                    <w:t>+活性炭吸附/脱附+催化燃烧装置处理。</w:t>
                  </w:r>
                </w:p>
                <w:p>
                  <w:pPr>
                    <w:bidi w:val="0"/>
                    <w:spacing w:line="240" w:lineRule="auto"/>
                    <w:rPr>
                      <w:sz w:val="21"/>
                      <w:szCs w:val="21"/>
                      <w:lang w:val="en-US" w:eastAsia="zh-CN"/>
                    </w:rPr>
                  </w:pPr>
                  <w:r>
                    <w:rPr>
                      <w:sz w:val="21"/>
                      <w:szCs w:val="21"/>
                    </w:rPr>
                    <w:t>治理设施与其对应的生产工艺设备同步运转。治理设施有详细的设计方案、工艺参数等。因治理设施故障造成非正常排放，停止运转对应的生产工艺设备，待检修完毕后共同投入使用。有机废气处理装置产生的废过滤棉、废活性炭、废催化剂作为危险废物处理。</w:t>
                  </w:r>
                </w:p>
              </w:tc>
              <w:tc>
                <w:tcPr>
                  <w:tcW w:w="708" w:type="dxa"/>
                  <w:tcBorders>
                    <w:tl2br w:val="nil"/>
                    <w:tr2bl w:val="nil"/>
                  </w:tcBorders>
                  <w:noWrap w:val="0"/>
                  <w:vAlign w:val="top"/>
                </w:tcPr>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rPr>
                  </w:pPr>
                </w:p>
                <w:p>
                  <w:pPr>
                    <w:bidi w:val="0"/>
                    <w:spacing w:line="240" w:lineRule="auto"/>
                    <w:rPr>
                      <w:sz w:val="21"/>
                      <w:szCs w:val="21"/>
                      <w:lang w:val="en-US" w:eastAsia="zh-CN"/>
                    </w:rPr>
                  </w:pPr>
                  <w:r>
                    <w:rPr>
                      <w:sz w:val="21"/>
                      <w:szCs w:val="21"/>
                    </w:rPr>
                    <w:t>可行</w:t>
                  </w:r>
                </w:p>
              </w:tc>
            </w:tr>
          </w:tbl>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spacing w:line="240" w:lineRule="auto"/>
              <w:jc w:val="center"/>
              <w:rPr>
                <w:rFonts w:hint="eastAsia" w:eastAsia="宋体" w:cs="Times New Roman"/>
                <w:b/>
                <w:bCs/>
                <w:color w:val="auto"/>
                <w:kern w:val="0"/>
                <w:sz w:val="21"/>
                <w:szCs w:val="21"/>
                <w:highlight w:val="none"/>
                <w:lang w:val="en-US" w:eastAsia="zh-CN"/>
              </w:rPr>
            </w:pPr>
          </w:p>
          <w:p>
            <w:pPr>
              <w:pStyle w:val="32"/>
              <w:numPr>
                <w:ilvl w:val="0"/>
                <w:numId w:val="0"/>
              </w:numPr>
              <w:spacing w:before="114" w:line="343" w:lineRule="auto"/>
              <w:ind w:right="96" w:rightChars="0"/>
              <w:jc w:val="both"/>
              <w:rPr>
                <w:rFonts w:hint="eastAsia" w:ascii="Times New Roman" w:hAnsi="Times New Roman" w:eastAsia="宋体" w:cs="Times New Roman"/>
                <w:b/>
                <w:bCs/>
                <w:color w:val="auto"/>
                <w:kern w:val="2"/>
                <w:sz w:val="21"/>
                <w:szCs w:val="21"/>
                <w:lang w:val="en-US" w:eastAsia="zh-CN" w:bidi="ar-SA"/>
              </w:rPr>
            </w:pPr>
            <w:r>
              <w:rPr>
                <w:rFonts w:hint="eastAsia" w:ascii="Times New Roman" w:hAnsi="Times New Roman" w:cs="Times New Roman"/>
                <w:b/>
                <w:bCs/>
                <w:color w:val="auto"/>
                <w:kern w:val="2"/>
                <w:sz w:val="21"/>
                <w:szCs w:val="21"/>
                <w:lang w:val="en-US" w:eastAsia="zh-CN" w:bidi="ar-SA"/>
              </w:rPr>
              <w:t>5、</w:t>
            </w:r>
            <w:r>
              <w:rPr>
                <w:rFonts w:hint="default" w:ascii="Times New Roman" w:hAnsi="Times New Roman" w:eastAsia="宋体" w:cs="Times New Roman"/>
                <w:b/>
                <w:bCs/>
                <w:color w:val="auto"/>
                <w:kern w:val="2"/>
                <w:sz w:val="21"/>
                <w:szCs w:val="21"/>
                <w:lang w:val="en-US" w:eastAsia="zh-CN" w:bidi="ar-SA"/>
              </w:rPr>
              <w:t>与《关于做好2021年重点行业绩效分级和应急减排清单修订工作的通知》（冀气领办[2021]92 号）附件-《河北省十一个行业重污染天气应急减排措施制定技术指南（试行）》“塑料制品行业绩效分级指标”符合性分析</w:t>
            </w:r>
            <w:r>
              <w:rPr>
                <w:rFonts w:hint="eastAsia" w:ascii="Times New Roman" w:hAnsi="Times New Roman" w:eastAsia="宋体" w:cs="Times New Roman"/>
                <w:b/>
                <w:bCs/>
                <w:color w:val="auto"/>
                <w:kern w:val="2"/>
                <w:sz w:val="21"/>
                <w:szCs w:val="21"/>
                <w:lang w:val="en-US" w:eastAsia="zh-CN" w:bidi="ar-SA"/>
              </w:rPr>
              <w:t xml:space="preserve">：    </w:t>
            </w:r>
          </w:p>
          <w:p>
            <w:pPr>
              <w:pStyle w:val="32"/>
              <w:numPr>
                <w:ilvl w:val="0"/>
                <w:numId w:val="0"/>
              </w:numPr>
              <w:spacing w:before="114" w:line="343" w:lineRule="auto"/>
              <w:ind w:right="96" w:rightChars="0" w:firstLine="420" w:firstLineChars="200"/>
              <w:jc w:val="both"/>
              <w:rPr>
                <w:sz w:val="21"/>
                <w:szCs w:val="21"/>
              </w:rPr>
            </w:pPr>
            <w:r>
              <w:rPr>
                <w:sz w:val="21"/>
                <w:szCs w:val="21"/>
              </w:rPr>
              <w:t xml:space="preserve">根据《河北省 </w:t>
            </w:r>
            <w:r>
              <w:rPr>
                <w:rFonts w:ascii="Times New Roman" w:hAnsi="Times New Roman" w:eastAsia="Times New Roman"/>
                <w:sz w:val="21"/>
                <w:szCs w:val="21"/>
              </w:rPr>
              <w:t>2021</w:t>
            </w:r>
            <w:r>
              <w:rPr>
                <w:rFonts w:ascii="Times New Roman" w:hAnsi="Times New Roman" w:eastAsia="Times New Roman"/>
                <w:spacing w:val="9"/>
                <w:sz w:val="21"/>
                <w:szCs w:val="21"/>
              </w:rPr>
              <w:t xml:space="preserve"> </w:t>
            </w:r>
            <w:r>
              <w:rPr>
                <w:sz w:val="21"/>
                <w:szCs w:val="21"/>
              </w:rPr>
              <w:t>年大气污染综合治理工作方案》，重点任务要求，新上涉气建设项目绩效评价达到</w:t>
            </w:r>
            <w:r>
              <w:rPr>
                <w:rFonts w:ascii="Times New Roman" w:eastAsia="Times New Roman"/>
                <w:sz w:val="21"/>
                <w:szCs w:val="21"/>
              </w:rPr>
              <w:t>B</w:t>
            </w:r>
            <w:r>
              <w:rPr>
                <w:sz w:val="21"/>
                <w:szCs w:val="21"/>
              </w:rPr>
              <w:t>级及以上水平。</w:t>
            </w:r>
          </w:p>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sz w:val="21"/>
                <w:szCs w:val="21"/>
                <w:lang w:val="en-US" w:eastAsia="zh-CN"/>
              </w:rPr>
            </w:pPr>
            <w:r>
              <w:rPr>
                <w:rFonts w:hint="default" w:ascii="Times New Roman" w:hAnsi="Times New Roman" w:eastAsia="宋体" w:cs="Times New Roman"/>
                <w:b/>
                <w:bCs/>
                <w:color w:val="auto"/>
                <w:sz w:val="21"/>
                <w:szCs w:val="21"/>
                <w:lang w:val="en-US" w:eastAsia="zh-CN"/>
              </w:rPr>
              <w:t>表</w:t>
            </w:r>
            <w:r>
              <w:rPr>
                <w:rFonts w:hint="eastAsia" w:cs="Times New Roman"/>
                <w:b/>
                <w:bCs/>
                <w:color w:val="auto"/>
                <w:sz w:val="21"/>
                <w:szCs w:val="21"/>
                <w:lang w:val="en-US" w:eastAsia="zh-CN"/>
              </w:rPr>
              <w:t>7</w:t>
            </w:r>
            <w:r>
              <w:rPr>
                <w:rFonts w:hint="eastAsia" w:ascii="Times New Roman" w:hAnsi="Times New Roman" w:eastAsia="宋体" w:cs="Times New Roman"/>
                <w:b/>
                <w:bCs/>
                <w:color w:val="auto"/>
                <w:sz w:val="21"/>
                <w:szCs w:val="21"/>
                <w:lang w:val="en-US" w:eastAsia="zh-CN"/>
              </w:rPr>
              <w:t xml:space="preserve">   与</w:t>
            </w:r>
            <w:r>
              <w:rPr>
                <w:rFonts w:hint="default" w:ascii="Times New Roman" w:hAnsi="Times New Roman" w:eastAsia="宋体" w:cs="Times New Roman"/>
                <w:b/>
                <w:bCs/>
                <w:color w:val="auto"/>
                <w:kern w:val="2"/>
                <w:sz w:val="21"/>
                <w:szCs w:val="21"/>
                <w:lang w:val="en-US" w:eastAsia="zh-CN" w:bidi="ar-SA"/>
              </w:rPr>
              <w:t>塑料制品行业绩效分级指标符合性分析</w:t>
            </w:r>
          </w:p>
          <w:tbl>
            <w:tblPr>
              <w:tblStyle w:val="20"/>
              <w:tblW w:w="723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671"/>
              <w:gridCol w:w="3981"/>
              <w:gridCol w:w="2076"/>
              <w:gridCol w:w="505"/>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差异化指标</w:t>
                  </w:r>
                </w:p>
              </w:tc>
              <w:tc>
                <w:tcPr>
                  <w:tcW w:w="3981"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B 级企业</w:t>
                  </w:r>
                </w:p>
              </w:tc>
              <w:tc>
                <w:tcPr>
                  <w:tcW w:w="207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本项目</w:t>
                  </w:r>
                </w:p>
              </w:tc>
              <w:tc>
                <w:tcPr>
                  <w:tcW w:w="50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性</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原料、能源类型</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原料非再生料使用比例≥80%</w:t>
                  </w:r>
                </w:p>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能源使用电、天然气、液化石油气等能源</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本项目原料为聚丙烯原包料颗粒，不使用再生料；能源使用电。</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污染治理技术</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1.投料、挤塑、注塑、滚塑、吹塑、压延、挤出、热定型、冷却、发泡、熟化、干燥等产生的VOCs环节有效收集，废气排至 VOCs废气收集处理系统；距集气罩开口面最远处的VOCs无组织排放位置，控制风速不低于0.3米/秒； 生产工艺产生的VOCs 采用燃烧方式或喷淋、吸附、生物法等二级及以上组合工艺处理，采用活性炭吸附的，按照生态环境部《挥发性有机物治理突出问题排查整治工作要求》中碘值的相关要求执行，且按活性炭最大吸附量的90%计算更换周期。废气中含有油烟或颗粒物的，应在 VOCs治理设施前端加装高效除尘设施或油烟净化装置；2.粉状、粒状物料采用自动投料器投加和配混，投加和混配工序在封闭车间内进行，颗粒物有效收集，采用布袋、滤筒等高效除尘技术；3.NOx治理采用低氮燃烧、SNCR/SCR等适宜技术；4.废吸附剂应在密闭的包装袋或容器储存、转运，并建立储存、处置台账</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本项目</w:t>
                  </w:r>
                  <w:r>
                    <w:rPr>
                      <w:rFonts w:hint="eastAsia" w:cs="Times New Roman"/>
                      <w:sz w:val="21"/>
                      <w:szCs w:val="21"/>
                      <w:lang w:val="en-US" w:eastAsia="zh-CN"/>
                    </w:rPr>
                    <w:t>注塑</w:t>
                  </w:r>
                  <w:r>
                    <w:rPr>
                      <w:rFonts w:hint="default" w:ascii="Times New Roman" w:hAnsi="Times New Roman" w:eastAsia="宋体" w:cs="Times New Roman"/>
                      <w:sz w:val="21"/>
                      <w:szCs w:val="21"/>
                      <w:lang w:val="en-US" w:eastAsia="zh-CN"/>
                    </w:rPr>
                    <w:t>工序设置集气罩收集产生的有机废气，集气罩开口面控制风速取0.8m/s，本项目有机废气采用“</w:t>
                  </w:r>
                  <w:r>
                    <w:rPr>
                      <w:rFonts w:hint="eastAsia" w:cs="Times New Roman"/>
                      <w:sz w:val="21"/>
                      <w:szCs w:val="21"/>
                      <w:lang w:val="en-US" w:eastAsia="zh-CN"/>
                    </w:rPr>
                    <w:t>过滤棉箱</w:t>
                  </w:r>
                  <w:r>
                    <w:rPr>
                      <w:rFonts w:hint="default" w:ascii="Times New Roman" w:hAnsi="Times New Roman" w:eastAsia="宋体" w:cs="Times New Roman"/>
                      <w:sz w:val="21"/>
                      <w:szCs w:val="21"/>
                      <w:lang w:val="en-US" w:eastAsia="zh-CN"/>
                    </w:rPr>
                    <w:t>+活性炭吸附/脱附+催化燃烧装置”，产生的废过滤棉、废活性炭、废催化剂采用密闭桶装，暂存于危废暂存间，设置危废台账，委托有资质单位处</w:t>
                  </w:r>
                  <w:r>
                    <w:rPr>
                      <w:rFonts w:hint="eastAsia" w:cs="Times New Roman"/>
                      <w:sz w:val="21"/>
                      <w:szCs w:val="21"/>
                      <w:lang w:val="en-US" w:eastAsia="zh-CN"/>
                    </w:rPr>
                    <w:t>处理</w:t>
                  </w:r>
                  <w:r>
                    <w:rPr>
                      <w:rFonts w:hint="default" w:ascii="Times New Roman" w:hAnsi="Times New Roman" w:eastAsia="宋体" w:cs="Times New Roman"/>
                      <w:sz w:val="21"/>
                      <w:szCs w:val="21"/>
                      <w:lang w:val="en-US" w:eastAsia="zh-CN"/>
                    </w:rPr>
                    <w:t>。活性炭碘值 800mg/g，符合相关要求，废活性炭定期更换；本项目均为颗粒状物料，无粉状物料。</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排放限值</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1.车间或生产设施排气筒非甲烷总烃浓度低于30mg/m³；2.VOCs 治理设施去除效率需达到80%，若去除效率达不到相应规定，生产车间或生产设备的无组织排放监控点非甲烷总烃浓度低于4mg/m³，企业边界1h非甲烷总烃平均浓度低于2mg/m³；3.颗粒物排放浓度不高于15mg/m³。</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经预测，本项目吸附状态下有组织排放浓度</w:t>
                  </w:r>
                  <w:r>
                    <w:rPr>
                      <w:rFonts w:hint="default" w:ascii="Times New Roman" w:hAnsi="Times New Roman" w:eastAsia="宋体" w:cs="Times New Roman"/>
                      <w:color w:val="auto"/>
                      <w:sz w:val="21"/>
                      <w:szCs w:val="21"/>
                      <w:lang w:val="en-US" w:eastAsia="zh-CN"/>
                    </w:rPr>
                    <w:t>为</w:t>
                  </w:r>
                  <w:r>
                    <w:rPr>
                      <w:rFonts w:hint="eastAsia" w:cs="Times New Roman"/>
                      <w:color w:val="auto"/>
                      <w:sz w:val="21"/>
                      <w:szCs w:val="21"/>
                      <w:lang w:val="en-US" w:eastAsia="zh-CN"/>
                    </w:rPr>
                    <w:t>23.8</w:t>
                  </w:r>
                  <w:r>
                    <w:rPr>
                      <w:rFonts w:hint="default" w:ascii="Times New Roman" w:hAnsi="Times New Roman" w:eastAsia="宋体" w:cs="Times New Roman"/>
                      <w:color w:val="auto"/>
                      <w:sz w:val="21"/>
                      <w:szCs w:val="21"/>
                      <w:lang w:val="en-US" w:eastAsia="zh-CN"/>
                    </w:rPr>
                    <w:t>mg/m</w:t>
                  </w:r>
                  <w:r>
                    <w:rPr>
                      <w:rFonts w:hint="default" w:ascii="Times New Roman" w:hAnsi="Times New Roman" w:eastAsia="宋体" w:cs="Times New Roman"/>
                      <w:color w:val="auto"/>
                      <w:sz w:val="21"/>
                      <w:szCs w:val="21"/>
                      <w:vertAlign w:val="superscript"/>
                      <w:lang w:val="en-US" w:eastAsia="zh-CN"/>
                    </w:rPr>
                    <w:t>3</w:t>
                  </w:r>
                  <w:r>
                    <w:rPr>
                      <w:rFonts w:hint="default" w:ascii="Times New Roman" w:hAnsi="Times New Roman" w:eastAsia="宋体" w:cs="Times New Roman"/>
                      <w:color w:val="auto"/>
                      <w:sz w:val="21"/>
                      <w:szCs w:val="21"/>
                      <w:lang w:val="en-US" w:eastAsia="zh-CN"/>
                    </w:rPr>
                    <w:t>；处理效率吸附90%，催化燃烧98%。</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p>
                <w:p>
                  <w:pPr>
                    <w:bidi w:val="0"/>
                    <w:spacing w:line="240" w:lineRule="auto"/>
                    <w:rPr>
                      <w:rFonts w:hint="default" w:ascii="Times New Roman" w:hAnsi="Times New Roman" w:eastAsia="宋体" w:cs="Times New Roman"/>
                      <w:sz w:val="21"/>
                      <w:szCs w:val="21"/>
                      <w:lang w:val="en-US" w:eastAsia="zh-CN"/>
                    </w:rPr>
                  </w:pPr>
                </w:p>
                <w:p>
                  <w:pPr>
                    <w:bidi w:val="0"/>
                    <w:spacing w:line="240" w:lineRule="auto"/>
                    <w:rPr>
                      <w:rFonts w:hint="default" w:ascii="Times New Roman" w:hAnsi="Times New Roman" w:eastAsia="宋体" w:cs="Times New Roman"/>
                      <w:sz w:val="21"/>
                      <w:szCs w:val="21"/>
                      <w:lang w:val="en-US" w:eastAsia="zh-CN"/>
                    </w:rPr>
                  </w:pPr>
                </w:p>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无组织管控要</w:t>
                  </w:r>
                </w:p>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求</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1.VOCs 物料存储于密闭的容器、包装袋、储罐、储库、料仓中；盛装 VOCs原料的容器或包装袋存放于室内；盛装VOCs 物料的容器或包装袋在非取用状态时应加盖、封口，保持密闭；2.颗粒状、粉状 VOCs 物料应采用气力输送设备、管状带式输送机、螺旋输送机等密闭输送，或采用密闭的包装袋、容器或罐车进行物料转移；3.液态VOCs 物料采用密闭管道输送，或者采用密闭容器或罐车输送；4.产生VOCs的生产工序和装置应设置集气装置并引至 VOCs 末端处理设施；5.厂区道路及车间地面硬化，车间地面、墙壁、设备顶部无明显积尘；车间、厂区无明显异味，厂容厂貌整洁有序。</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原料包装袋进厂，在生产车间内拆包，非取用时封口；本项目有机废气采用“</w:t>
                  </w:r>
                  <w:r>
                    <w:rPr>
                      <w:rFonts w:hint="eastAsia" w:cs="Times New Roman"/>
                      <w:sz w:val="21"/>
                      <w:szCs w:val="21"/>
                      <w:lang w:val="en-US" w:eastAsia="zh-CN"/>
                    </w:rPr>
                    <w:t>过滤棉箱</w:t>
                  </w:r>
                  <w:r>
                    <w:rPr>
                      <w:rFonts w:hint="default" w:ascii="Times New Roman" w:hAnsi="Times New Roman" w:eastAsia="宋体" w:cs="Times New Roman"/>
                      <w:sz w:val="21"/>
                      <w:szCs w:val="21"/>
                      <w:lang w:val="en-US" w:eastAsia="zh-CN"/>
                    </w:rPr>
                    <w:t>+活性炭吸附/脱附+催化燃烧装置”；厂区道路及车间地面硬化，车间地面、墙壁、设备顶部无明显积尘；车间、厂区无明显异味，厂容厂貌整洁有序。</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境管理水平</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1.环保档案：①环评批复文件和竣工环保验收文件或环境现状评估备案证明；②排污许可证及季度、年度执行报告；③环境管理制度（主要包括岗位责任制度、定期巡查维护制度、环保奖惩制度等）；④ 废气治理设施运行管理规程；⑤一年内废气监测报告（符合排污许可证监测项目及频次要求）。2.台账记录：（1）生产设施运行管理信息（生产时间、运行负荷、产品产量等）；（2）污染控制设备为冷凝装置，应每月记录冷凝剂液量；污染控制设备为吸附装置，应记录吸附剂种类、更换/再生周期、更换量；污染控制设备为催化燃烧装置，应记录催化燃烧剂、催化剂更换日期；其他污染控制设备，应记录保养维护事项；（3）主要原辅材料消耗记录；以上记录至少需保存一年。3. 配备专职环保人员，并具备相应的环境管理能力</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建成投产后环保档案应按B及要求进行保存；按要求进行台账记录；配备专职环保人员，并具备相应的环境管理能力。</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物料运输</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1.物料、产品全部使用国五及以上重型载货车辆或者其他清洁的运输方式；2.厂内3吨以下非道路移动机械全部使用纯电动，其他非道路移动机械达到国三及以上标准或使用新能源机械。</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本项目不新增重型载货车辆及厂内非道路移动机械。</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7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运输监管</w:t>
                  </w:r>
                </w:p>
              </w:tc>
              <w:tc>
                <w:tcPr>
                  <w:tcW w:w="3981"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参照《重污染天气重点行业移动源应急管理技术指南》建立门禁视频监控系统和电子台账。</w:t>
                  </w:r>
                </w:p>
              </w:tc>
              <w:tc>
                <w:tcPr>
                  <w:tcW w:w="2076"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建成投产后参照《重污染天气重点行业移动源应急管理技术指南》建立门禁视频监控系统和电子台账。</w:t>
                  </w:r>
                </w:p>
              </w:tc>
              <w:tc>
                <w:tcPr>
                  <w:tcW w:w="505" w:type="dxa"/>
                  <w:tcBorders>
                    <w:tl2br w:val="nil"/>
                    <w:tr2bl w:val="nil"/>
                  </w:tcBorders>
                  <w:vAlign w:val="center"/>
                </w:tcPr>
                <w:p>
                  <w:pPr>
                    <w:bidi w:val="0"/>
                    <w:spacing w:line="240" w:lineRule="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w:t>
                  </w:r>
                </w:p>
              </w:tc>
            </w:tr>
          </w:tbl>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kern w:val="2"/>
                <w:sz w:val="21"/>
                <w:szCs w:val="21"/>
                <w:lang w:val="en-US" w:eastAsia="zh-CN" w:bidi="ar-SA"/>
              </w:rPr>
            </w:pPr>
          </w:p>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kern w:val="2"/>
                <w:sz w:val="21"/>
                <w:szCs w:val="21"/>
                <w:lang w:val="en-US" w:eastAsia="zh-CN" w:bidi="ar-SA"/>
              </w:rPr>
            </w:pPr>
          </w:p>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kern w:val="2"/>
                <w:sz w:val="21"/>
                <w:szCs w:val="21"/>
                <w:lang w:val="en-US" w:eastAsia="zh-CN" w:bidi="ar-SA"/>
              </w:rPr>
            </w:pPr>
            <w:r>
              <w:rPr>
                <w:rFonts w:hint="default" w:ascii="Times New Roman" w:hAnsi="Times New Roman" w:eastAsia="宋体" w:cs="Times New Roman"/>
                <w:b/>
                <w:bCs/>
                <w:color w:val="auto"/>
                <w:kern w:val="2"/>
                <w:sz w:val="21"/>
                <w:szCs w:val="21"/>
                <w:lang w:val="en-US" w:eastAsia="zh-CN" w:bidi="ar-SA"/>
              </w:rPr>
              <w:t>表</w:t>
            </w:r>
            <w:r>
              <w:rPr>
                <w:rFonts w:hint="eastAsia" w:cs="Times New Roman"/>
                <w:b/>
                <w:bCs/>
                <w:color w:val="auto"/>
                <w:kern w:val="2"/>
                <w:sz w:val="21"/>
                <w:szCs w:val="21"/>
                <w:lang w:val="en-US" w:eastAsia="zh-CN" w:bidi="ar-SA"/>
              </w:rPr>
              <w:t>8</w:t>
            </w:r>
            <w:r>
              <w:rPr>
                <w:rFonts w:hint="eastAsia" w:ascii="Times New Roman" w:hAnsi="Times New Roman" w:eastAsia="宋体" w:cs="Times New Roman"/>
                <w:b/>
                <w:bCs/>
                <w:color w:val="auto"/>
                <w:kern w:val="2"/>
                <w:sz w:val="21"/>
                <w:szCs w:val="21"/>
                <w:lang w:val="en-US" w:eastAsia="zh-CN" w:bidi="ar-SA"/>
              </w:rPr>
              <w:t xml:space="preserve"> </w:t>
            </w:r>
            <w:r>
              <w:rPr>
                <w:rFonts w:hint="default" w:ascii="Times New Roman" w:hAnsi="Times New Roman" w:eastAsia="宋体" w:cs="Times New Roman"/>
                <w:b/>
                <w:bCs/>
                <w:color w:val="auto"/>
                <w:kern w:val="2"/>
                <w:sz w:val="21"/>
                <w:szCs w:val="21"/>
                <w:lang w:val="en-US" w:eastAsia="zh-CN" w:bidi="ar-SA"/>
              </w:rPr>
              <w:t>《唐山市生态环境局关于开展涉挥发性有机物企业提标改造的通知》</w:t>
            </w:r>
          </w:p>
          <w:p>
            <w:pPr>
              <w:autoSpaceDE w:val="0"/>
              <w:autoSpaceDN w:val="0"/>
              <w:adjustRightInd w:val="0"/>
              <w:snapToGrid w:val="0"/>
              <w:spacing w:line="240" w:lineRule="auto"/>
              <w:ind w:firstLine="0"/>
              <w:jc w:val="center"/>
              <w:rPr>
                <w:rFonts w:hint="default" w:ascii="Times New Roman" w:hAnsi="Times New Roman" w:eastAsia="宋体" w:cs="Times New Roman"/>
                <w:b/>
                <w:bCs/>
                <w:color w:val="auto"/>
                <w:kern w:val="2"/>
                <w:sz w:val="21"/>
                <w:szCs w:val="21"/>
                <w:lang w:val="en-US" w:eastAsia="zh-CN" w:bidi="ar-SA"/>
              </w:rPr>
            </w:pPr>
            <w:r>
              <w:rPr>
                <w:rFonts w:hint="default" w:ascii="Times New Roman" w:hAnsi="Times New Roman" w:eastAsia="宋体" w:cs="Times New Roman"/>
                <w:b/>
                <w:bCs/>
                <w:color w:val="auto"/>
                <w:kern w:val="2"/>
                <w:sz w:val="21"/>
                <w:szCs w:val="21"/>
                <w:lang w:val="en-US" w:eastAsia="zh-CN" w:bidi="ar-SA"/>
              </w:rPr>
              <w:t>（唐环气〔2022〕1 号）</w:t>
            </w:r>
          </w:p>
          <w:tbl>
            <w:tblPr>
              <w:tblStyle w:val="20"/>
              <w:tblW w:w="721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430"/>
              <w:gridCol w:w="2253"/>
              <w:gridCol w:w="532"/>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43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要求</w:t>
                  </w:r>
                </w:p>
              </w:tc>
              <w:tc>
                <w:tcPr>
                  <w:tcW w:w="225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本项目</w:t>
                  </w:r>
                </w:p>
              </w:tc>
              <w:tc>
                <w:tcPr>
                  <w:tcW w:w="53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可行</w:t>
                  </w:r>
                </w:p>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性</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430"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源头控制：塑料制品采用环保型原辅料，禁止使用附带生物污染、有毒有害物质的废物料作为生产原料。①要使用自动化程度高、密闭性强、废气产生量少的生产工艺和装备，鼓励选用密闭自动配套装置和生产线。②为防止热熔过程温度过高发生分解，在热熔过程中可对造粒机加热温度进行监控。③为控制含氯塑料热熔过程释放含氯气体，其加热过程应低于185℃。④定型工序优先采用水冷工艺。</w:t>
                  </w:r>
                </w:p>
              </w:tc>
              <w:tc>
                <w:tcPr>
                  <w:tcW w:w="2253"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本项目原料为聚丙烯原包料颗粒。本项目注塑使用自动化设备，密闭性强。本项目不涉及造粒工序，注塑工序加热温度为1</w:t>
                  </w:r>
                  <w:r>
                    <w:rPr>
                      <w:rFonts w:hint="eastAsia" w:cs="Times New Roman"/>
                      <w:sz w:val="21"/>
                      <w:szCs w:val="21"/>
                      <w:lang w:val="en-US" w:eastAsia="zh-CN"/>
                    </w:rPr>
                    <w:t>5</w:t>
                  </w:r>
                  <w:r>
                    <w:rPr>
                      <w:rFonts w:hint="default" w:ascii="Times New Roman" w:hAnsi="Times New Roman" w:eastAsia="宋体" w:cs="Times New Roman"/>
                      <w:sz w:val="21"/>
                      <w:szCs w:val="21"/>
                    </w:rPr>
                    <w:t>0℃。定性工序采用循环水冷却工艺。</w:t>
                  </w:r>
                </w:p>
              </w:tc>
              <w:tc>
                <w:tcPr>
                  <w:tcW w:w="532"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430"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过程控制：加强原辅料输运过程VOCs 排放控制。①颗粒状、粉状VOCs物料应采用气力输送设备、管状带式输送机、螺旋输送机等密闭输送，或采用密闭的包装袋、容器或罐车进行物料转移。②无法密闭投加的，必须在密闭空间内操作，或进行局部气体全部收集措施，收集废气排至除尘设施、VOCs 废气收集处理系统高效处理。</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加强塑料制品行业生产工艺过程VOCs 排放控制①塑料制品行业产生VOCs的工段，应在密闭空间内操作，废气排至除尘设施和废气收集系统（无法密闭的必须采取局部气体全部收集高效处理 措施）。②采用全密闭集气罩或密闭空间的，除行业有特殊要求外，应保持微负压状态，并根据相关规范合理设置通风量。③采用局部集气罩的，集气罩开口面控制风速应不小于0.8m/s，同时，满足距集气罩开口面最远处的VOCs排放位置控制风速应保证不小于0.4m/s，确保有机废气收集率达到90%以上。废吸附剂应采用密闭的包装袋或容器储存、转运，并建立储存、处置台账。</w:t>
                  </w:r>
                </w:p>
              </w:tc>
              <w:tc>
                <w:tcPr>
                  <w:tcW w:w="2253"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原料聚丙烯原包料颗粒采用密闭包装袋转移。</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本项目注塑工序设置集气罩收集产生的有机废气，集气罩开口面控制风速取0.8m/s，废气收集效率可达到90%以上。本项目有机废气采用“</w:t>
                  </w:r>
                  <w:r>
                    <w:rPr>
                      <w:rFonts w:hint="eastAsia" w:cs="Times New Roman"/>
                      <w:sz w:val="21"/>
                      <w:szCs w:val="21"/>
                      <w:lang w:eastAsia="zh-CN"/>
                    </w:rPr>
                    <w:t>过滤棉箱</w:t>
                  </w:r>
                  <w:r>
                    <w:rPr>
                      <w:rFonts w:hint="default" w:ascii="Times New Roman" w:hAnsi="Times New Roman" w:eastAsia="宋体" w:cs="Times New Roman"/>
                      <w:sz w:val="21"/>
                      <w:szCs w:val="21"/>
                    </w:rPr>
                    <w:t>+活性炭吸附/脱附+催化燃烧装置”，产生的废过滤棉、废活性炭、废催化剂采用密闭桶装，暂存于危废暂存间，设置危废台账，委托有资质单位处理。</w:t>
                  </w:r>
                </w:p>
              </w:tc>
              <w:tc>
                <w:tcPr>
                  <w:tcW w:w="532"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可行</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4430"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加强末端治理、监测及治理设施运行管理：塑料制品行业产生的 VOCs 废气采用燃烧方式或喷淋、吸附、低温等离子、生物法等二级及以上组合工艺处理。过滤、压延、粘合等尾气可采用静电除雾器对有机物进行回收处理，发泡废气优先采用高温焚烧技术处理。使用原包料且VOCs产生量较小（&lt;3kg/d）的企业，如采用UV光解、活性炭吸附或低温等离子等技术处理废气时，应在前端设置降温、除湿、除尘等预处理措施。</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确保废气处理设施处理能力。对因实施封闭改造，增加废气收集点和收集风量的，可在现有废气治理设施基础上，根据废气量的增加，进行科学设计，可并联增设新的 VOCs 废气处理设施，确保满足《工业企业挥发性有机物排放控制标准》（DB13/ 2322—2016）控制要求。严禁废气治理设施以“小马拉大车”等敷衍应付。</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治理设施应与其对应的生产工艺设备同步 运转。治理设施应有详细的设计方案、工艺参数等。因治理设施故障造成非正常排放，应停止运转对应的生产工艺设备，待检修完毕后共同投入使用。</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监测要求</w:t>
                  </w:r>
                  <w:r>
                    <w:rPr>
                      <w:rFonts w:hint="eastAsia" w:cs="Times New Roman"/>
                      <w:sz w:val="21"/>
                      <w:szCs w:val="21"/>
                      <w:lang w:eastAsia="zh-CN"/>
                    </w:rPr>
                    <w:t>：</w:t>
                  </w:r>
                  <w:r>
                    <w:rPr>
                      <w:rFonts w:hint="default" w:ascii="Times New Roman" w:hAnsi="Times New Roman" w:eastAsia="宋体" w:cs="Times New Roman"/>
                      <w:sz w:val="21"/>
                      <w:szCs w:val="21"/>
                    </w:rPr>
                    <w:t>企业按照环境监测管理规定和技术规范要求，设计、建设、维护永久性采样口、采样测试平台和排污口标志。VOCs 排放速率（包括等效排气筒等效排放速率）大于2.5kg/h 或排气量大于40000m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/h 的重点工业固定排放源，安装VOCs在线监测设施（FID）并联网，推进VOCs在线监测设施安装联网情况纳入排污许可管理。</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治理管控效果</w:t>
                  </w:r>
                  <w:r>
                    <w:rPr>
                      <w:rFonts w:hint="eastAsia" w:cs="Times New Roman"/>
                      <w:sz w:val="21"/>
                      <w:szCs w:val="21"/>
                      <w:lang w:val="en-US" w:eastAsia="zh-CN"/>
                    </w:rPr>
                    <w:t>：</w:t>
                  </w:r>
                  <w:r>
                    <w:rPr>
                      <w:rFonts w:hint="default" w:ascii="Times New Roman" w:hAnsi="Times New Roman" w:eastAsia="宋体" w:cs="Times New Roman"/>
                      <w:sz w:val="21"/>
                      <w:szCs w:val="21"/>
                    </w:rPr>
                    <w:t>无组织VOCs 排放满足河北省《工业企业挥发性有机物排放控制标准》（DB13/2322-2016）排放限值要求。厂界：非甲烷总烃2 mg/m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加强VOCs污染控制及治理设施运行记录管理。应符合《工业企业挥发性有机污染物排放控制标准》（DB13/2322-2016）附录A有关要求，并明确专人负责。</w:t>
                  </w:r>
                </w:p>
              </w:tc>
              <w:tc>
                <w:tcPr>
                  <w:tcW w:w="2253"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本项目产生的有机废气经</w:t>
                  </w:r>
                  <w:r>
                    <w:rPr>
                      <w:rFonts w:hint="eastAsia" w:cs="Times New Roman"/>
                      <w:sz w:val="21"/>
                      <w:szCs w:val="21"/>
                      <w:lang w:eastAsia="zh-CN"/>
                    </w:rPr>
                    <w:t>过滤棉箱</w:t>
                  </w:r>
                  <w:r>
                    <w:rPr>
                      <w:rFonts w:hint="default" w:ascii="Times New Roman" w:hAnsi="Times New Roman" w:eastAsia="宋体" w:cs="Times New Roman"/>
                      <w:sz w:val="21"/>
                      <w:szCs w:val="21"/>
                    </w:rPr>
                    <w:t>+活性炭吸附/脱附+催化燃烧装置处理。</w:t>
                  </w:r>
                </w:p>
                <w:p>
                  <w:pPr>
                    <w:bidi w:val="0"/>
                    <w:spacing w:line="240" w:lineRule="auto"/>
                    <w:jc w:val="both"/>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本项目</w:t>
                  </w:r>
                  <w:r>
                    <w:rPr>
                      <w:rFonts w:hint="default" w:ascii="Times New Roman" w:hAnsi="Times New Roman" w:eastAsia="宋体" w:cs="Times New Roman"/>
                      <w:color w:val="auto"/>
                      <w:sz w:val="21"/>
                      <w:szCs w:val="21"/>
                    </w:rPr>
                    <w:t>有机废气处理能力为</w:t>
                  </w:r>
                  <w:r>
                    <w:rPr>
                      <w:rFonts w:hint="eastAsia" w:cs="Times New Roman"/>
                      <w:color w:val="auto"/>
                      <w:sz w:val="21"/>
                      <w:szCs w:val="21"/>
                      <w:lang w:val="en-US" w:eastAsia="zh-CN"/>
                    </w:rPr>
                    <w:t>8</w:t>
                  </w:r>
                  <w:r>
                    <w:rPr>
                      <w:rFonts w:hint="default" w:ascii="Times New Roman" w:hAnsi="Times New Roman" w:eastAsia="宋体" w:cs="Times New Roman"/>
                      <w:color w:val="auto"/>
                      <w:sz w:val="21"/>
                      <w:szCs w:val="21"/>
                    </w:rPr>
                    <w:t>000m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/h，满足生产需求。治理设施与其对应的生产工艺设备同步</w:t>
                  </w:r>
                  <w:r>
                    <w:rPr>
                      <w:rFonts w:hint="default" w:ascii="Times New Roman" w:hAnsi="Times New Roman" w:eastAsia="宋体" w:cs="Times New Roman"/>
                      <w:sz w:val="21"/>
                      <w:szCs w:val="21"/>
                    </w:rPr>
                    <w:t>运转。因治理设施故障造成非正常排放，停止运转对应的生产工艺设备，待检修完毕后共同投入使用。本项目按</w:t>
                  </w:r>
                  <w:r>
                    <w:rPr>
                      <w:rFonts w:hint="default" w:ascii="Times New Roman" w:hAnsi="Times New Roman" w:eastAsia="宋体" w:cs="Times New Roman"/>
                      <w:color w:val="auto"/>
                      <w:sz w:val="21"/>
                      <w:szCs w:val="21"/>
                    </w:rPr>
                    <w:t>照环保要求设置了采样口。本项目无需安装VOCs在线监测设施（FID）并联网。 无组织非甲烷</w:t>
                  </w:r>
                  <w:r>
                    <w:rPr>
                      <w:rFonts w:hint="default" w:ascii="Times New Roman" w:hAnsi="Times New Roman" w:eastAsia="宋体" w:cs="Times New Roman"/>
                      <w:sz w:val="21"/>
                      <w:szCs w:val="21"/>
                    </w:rPr>
                    <w:t>总烃厂界排放浓度预测值符合《工业企业挥发性有机物排放标准》表2中其他企业排放限值，2.0mg/m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；同时满足《挥发性有机物无组织排放控制标准》（GB37822-2019）表A.1厂区内VOCs 无组织排放限值要求（厂房外监控点处任意一次浓度限值20mg/m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，监控点处 1h 平均浓度限值6mg/m</w:t>
                  </w:r>
                  <w:r>
                    <w:rPr>
                      <w:rFonts w:hint="default" w:ascii="Times New Roman" w:hAnsi="Times New Roman" w:eastAsia="宋体" w:cs="Times New Roman"/>
                      <w:sz w:val="21"/>
                      <w:szCs w:val="21"/>
                      <w:vertAlign w:val="superscript"/>
                    </w:rPr>
                    <w:t>3</w:t>
                  </w:r>
                  <w:r>
                    <w:rPr>
                      <w:rFonts w:hint="default" w:ascii="Times New Roman" w:hAnsi="Times New Roman" w:eastAsia="宋体" w:cs="Times New Roman"/>
                      <w:sz w:val="21"/>
                      <w:szCs w:val="21"/>
                    </w:rPr>
                    <w:t>）。VOCs污染控制及治理设施运行记录管理。应符合《工业企业挥发性有机污染物排放控制标准》（DB13/2322-2016）附录A有关要求。</w:t>
                  </w:r>
                </w:p>
              </w:tc>
              <w:tc>
                <w:tcPr>
                  <w:tcW w:w="532" w:type="dxa"/>
                  <w:tcBorders>
                    <w:tl2br w:val="nil"/>
                    <w:tr2bl w:val="nil"/>
                  </w:tcBorders>
                  <w:vAlign w:val="center"/>
                </w:tcPr>
                <w:p>
                  <w:pPr>
                    <w:bidi w:val="0"/>
                    <w:spacing w:line="240" w:lineRule="auto"/>
                    <w:jc w:val="both"/>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可行</w:t>
                  </w:r>
                </w:p>
              </w:tc>
            </w:tr>
          </w:tbl>
          <w:p>
            <w:pPr>
              <w:widowControl/>
              <w:autoSpaceDE w:val="0"/>
              <w:spacing w:line="360" w:lineRule="auto"/>
              <w:ind w:firstLine="0" w:firstLineChars="0"/>
              <w:rPr>
                <w:rFonts w:hint="default" w:ascii="Times New Roman" w:hAnsi="Times New Roman" w:eastAsia="宋体" w:cs="Times New Roman"/>
                <w:color w:val="auto"/>
                <w:sz w:val="21"/>
                <w:szCs w:val="21"/>
                <w:lang w:val="en-US" w:eastAsia="zh-CN"/>
              </w:rPr>
            </w:pPr>
          </w:p>
        </w:tc>
      </w:tr>
    </w:tbl>
    <w:p>
      <w:pPr>
        <w:widowControl/>
        <w:spacing w:line="240" w:lineRule="auto"/>
        <w:ind w:firstLine="0" w:firstLineChars="0"/>
        <w:jc w:val="left"/>
        <w:rPr>
          <w:rFonts w:hint="default" w:ascii="Times New Roman" w:hAnsi="Times New Roman" w:eastAsia="黑体" w:cs="Times New Roman"/>
          <w:color w:val="auto"/>
          <w:sz w:val="30"/>
          <w:szCs w:val="30"/>
        </w:rPr>
        <w:sectPr>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type="lines" w:linePitch="312" w:charSpace="0"/>
        </w:sectPr>
      </w:pPr>
    </w:p>
    <w:p>
      <w:pPr>
        <w:spacing w:before="100" w:beforeAutospacing="1" w:after="100" w:afterAutospacing="1" w:line="240" w:lineRule="auto"/>
        <w:ind w:firstLine="0" w:firstLineChars="0"/>
        <w:jc w:val="center"/>
        <w:outlineLvl w:val="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二、建设项目工程分析</w:t>
      </w:r>
    </w:p>
    <w:tbl>
      <w:tblPr>
        <w:tblStyle w:val="20"/>
        <w:tblW w:w="5043"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26"/>
        <w:gridCol w:w="85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4" w:hRule="atLeast"/>
          <w:jc w:val="center"/>
        </w:trPr>
        <w:tc>
          <w:tcPr>
            <w:tcW w:w="342" w:type="pct"/>
            <w:tcBorders>
              <w:top w:val="single" w:color="auto" w:sz="8"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建设内容</w:t>
            </w:r>
          </w:p>
        </w:tc>
        <w:tc>
          <w:tcPr>
            <w:tcW w:w="4657" w:type="pct"/>
            <w:tcBorders>
              <w:top w:val="single" w:color="auto" w:sz="8" w:space="0"/>
              <w:left w:val="single" w:color="auto" w:sz="4" w:space="0"/>
              <w:bottom w:val="single" w:color="auto" w:sz="4" w:space="0"/>
              <w:right w:val="single" w:color="auto" w:sz="8" w:space="0"/>
            </w:tcBorders>
          </w:tcPr>
          <w:p>
            <w:pPr>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一、、基本情况</w:t>
            </w:r>
          </w:p>
          <w:p>
            <w:pPr>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1、项目概况</w:t>
            </w:r>
          </w:p>
          <w:p>
            <w:pPr>
              <w:spacing w:line="360" w:lineRule="auto"/>
              <w:ind w:firstLine="420"/>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项目名称：</w:t>
            </w:r>
            <w:r>
              <w:rPr>
                <w:rFonts w:hint="eastAsia" w:cs="Times New Roman"/>
                <w:color w:val="auto"/>
                <w:sz w:val="21"/>
                <w:szCs w:val="21"/>
                <w:lang w:eastAsia="zh-CN"/>
              </w:rPr>
              <w:t>外墙保温用锚栓生产项目</w:t>
            </w:r>
          </w:p>
          <w:p>
            <w:pPr>
              <w:spacing w:line="360" w:lineRule="auto"/>
              <w:ind w:firstLine="420"/>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建设单位：</w:t>
            </w:r>
            <w:r>
              <w:rPr>
                <w:rFonts w:hint="eastAsia" w:cs="Times New Roman"/>
                <w:color w:val="auto"/>
                <w:sz w:val="21"/>
                <w:szCs w:val="21"/>
                <w:lang w:eastAsia="zh-CN"/>
              </w:rPr>
              <w:t>河北聚砺新材料科技有限公司</w:t>
            </w:r>
          </w:p>
          <w:p>
            <w:pPr>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建设地点：迁安市野鸡坨镇邵家营村南</w:t>
            </w:r>
          </w:p>
          <w:p>
            <w:pPr>
              <w:autoSpaceDE w:val="0"/>
              <w:spacing w:line="360" w:lineRule="auto"/>
              <w:ind w:firstLine="420"/>
              <w:rPr>
                <w:rFonts w:hint="eastAsia" w:ascii="Times New Roman" w:hAnsi="Times New Roman" w:cs="Times New Roman"/>
                <w:color w:val="auto"/>
                <w:sz w:val="21"/>
                <w:szCs w:val="21"/>
                <w:lang w:eastAsia="zh-CN"/>
              </w:rPr>
            </w:pPr>
            <w:r>
              <w:rPr>
                <w:rFonts w:hint="default" w:ascii="Times New Roman" w:hAnsi="Times New Roman" w:cs="Times New Roman"/>
                <w:color w:val="auto"/>
                <w:sz w:val="21"/>
                <w:szCs w:val="21"/>
              </w:rPr>
              <w:t>项目投资：项目总投资</w:t>
            </w:r>
            <w:r>
              <w:rPr>
                <w:rFonts w:hint="eastAsia" w:ascii="Times New Roman" w:hAnsi="Times New Roman" w:cs="Times New Roman"/>
                <w:color w:val="auto"/>
                <w:sz w:val="21"/>
                <w:szCs w:val="21"/>
                <w:lang w:val="en-US" w:eastAsia="zh-CN"/>
              </w:rPr>
              <w:t>6000</w:t>
            </w:r>
            <w:r>
              <w:rPr>
                <w:rFonts w:hint="default" w:ascii="Times New Roman" w:hAnsi="Times New Roman" w:cs="Times New Roman"/>
                <w:color w:val="auto"/>
                <w:sz w:val="21"/>
                <w:szCs w:val="21"/>
              </w:rPr>
              <w:t>万元</w:t>
            </w:r>
            <w:r>
              <w:rPr>
                <w:rFonts w:hint="eastAsia" w:ascii="Times New Roman" w:hAnsi="Times New Roman" w:cs="Times New Roman"/>
                <w:color w:val="auto"/>
                <w:sz w:val="21"/>
                <w:szCs w:val="21"/>
                <w:lang w:eastAsia="zh-CN"/>
              </w:rPr>
              <w:t>。</w:t>
            </w:r>
          </w:p>
          <w:p>
            <w:pPr>
              <w:autoSpaceDE w:val="0"/>
              <w:spacing w:line="360" w:lineRule="auto"/>
              <w:ind w:firstLine="420"/>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主要建设内容及规模：</w:t>
            </w:r>
            <w:r>
              <w:rPr>
                <w:rFonts w:hint="eastAsia" w:ascii="Times New Roman" w:hAnsi="Times New Roman" w:cs="Times New Roman"/>
                <w:color w:val="auto"/>
                <w:sz w:val="21"/>
                <w:szCs w:val="21"/>
                <w:lang w:val="en-US" w:eastAsia="zh-CN"/>
              </w:rPr>
              <w:t>项目</w:t>
            </w:r>
            <w:r>
              <w:rPr>
                <w:rFonts w:hint="eastAsia" w:cs="Times New Roman"/>
                <w:color w:val="auto"/>
                <w:sz w:val="21"/>
                <w:szCs w:val="21"/>
                <w:lang w:val="en-US" w:eastAsia="zh-CN"/>
              </w:rPr>
              <w:t>租赁</w:t>
            </w:r>
            <w:r>
              <w:rPr>
                <w:rFonts w:hint="eastAsia" w:ascii="Times New Roman" w:hAnsi="Times New Roman" w:cs="Times New Roman"/>
                <w:color w:val="auto"/>
                <w:sz w:val="21"/>
                <w:szCs w:val="21"/>
                <w:lang w:val="en-US" w:eastAsia="zh-CN"/>
              </w:rPr>
              <w:t>现有厂房，建筑面积1000平方米，新建5条保温钉生产线，购置安装上料机、注塑机等设备及环保设施。项目建成后，年产保温钉5000万个。</w:t>
            </w:r>
          </w:p>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2、项目建设内容</w:t>
            </w:r>
          </w:p>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项目项目工程建设内容</w:t>
            </w:r>
            <w:r>
              <w:rPr>
                <w:rFonts w:hint="eastAsia" w:ascii="Times New Roman" w:hAnsi="Times New Roman" w:cs="Times New Roman"/>
                <w:color w:val="auto"/>
                <w:sz w:val="21"/>
                <w:szCs w:val="21"/>
                <w:lang w:val="en-US" w:eastAsia="zh-CN"/>
              </w:rPr>
              <w:t>见下表</w:t>
            </w:r>
            <w:r>
              <w:rPr>
                <w:rFonts w:hint="default" w:ascii="Times New Roman" w:hAnsi="Times New Roman" w:cs="Times New Roman"/>
                <w:color w:val="auto"/>
                <w:sz w:val="21"/>
                <w:szCs w:val="21"/>
              </w:rPr>
              <w:t>。</w:t>
            </w:r>
          </w:p>
          <w:p>
            <w:pPr>
              <w:autoSpaceDE w:val="0"/>
              <w:spacing w:line="240" w:lineRule="auto"/>
              <w:ind w:firstLine="0" w:firstLineChars="0"/>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w:t>
            </w:r>
            <w:r>
              <w:rPr>
                <w:rFonts w:hint="eastAsia" w:ascii="Times New Roman" w:hAnsi="Times New Roman" w:cs="Times New Roman"/>
                <w:b/>
                <w:bCs/>
                <w:color w:val="auto"/>
                <w:sz w:val="21"/>
                <w:szCs w:val="21"/>
                <w:lang w:val="en-US" w:eastAsia="zh-CN"/>
              </w:rPr>
              <w:t>9</w:t>
            </w:r>
            <w:r>
              <w:rPr>
                <w:rFonts w:hint="default" w:ascii="Times New Roman" w:hAnsi="Times New Roman" w:cs="Times New Roman"/>
                <w:b/>
                <w:bCs/>
                <w:color w:val="auto"/>
                <w:sz w:val="21"/>
                <w:szCs w:val="21"/>
              </w:rPr>
              <w:t xml:space="preserve"> 项目组成一览表</w:t>
            </w:r>
          </w:p>
          <w:tbl>
            <w:tblPr>
              <w:tblStyle w:val="20"/>
              <w:tblW w:w="83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767"/>
              <w:gridCol w:w="6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工程分类</w:t>
                  </w: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项目名称</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主体工程</w:t>
                  </w: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val="en-US" w:eastAsia="zh-CN"/>
                    </w:rPr>
                    <w:t>生产</w:t>
                  </w:r>
                  <w:r>
                    <w:rPr>
                      <w:rFonts w:hint="default" w:ascii="Times New Roman" w:hAnsi="Times New Roman" w:cs="Times New Roman"/>
                      <w:color w:val="auto"/>
                      <w:sz w:val="21"/>
                      <w:szCs w:val="21"/>
                    </w:rPr>
                    <w:t>车间</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共1座，</w:t>
                  </w:r>
                  <w:r>
                    <w:rPr>
                      <w:rFonts w:hint="eastAsia" w:cs="Times New Roman"/>
                      <w:color w:val="auto"/>
                      <w:sz w:val="21"/>
                      <w:szCs w:val="21"/>
                      <w:lang w:val="en-US" w:eastAsia="zh-CN"/>
                    </w:rPr>
                    <w:t>包括原料区、生产区、成品区，</w:t>
                  </w:r>
                  <w:r>
                    <w:rPr>
                      <w:rFonts w:hint="default" w:ascii="Times New Roman" w:hAnsi="Times New Roman" w:cs="Times New Roman"/>
                      <w:color w:val="auto"/>
                      <w:sz w:val="21"/>
                      <w:szCs w:val="21"/>
                    </w:rPr>
                    <w:t>建筑面积</w:t>
                  </w:r>
                  <w:r>
                    <w:rPr>
                      <w:rFonts w:hint="eastAsia" w:ascii="Times New Roman" w:hAnsi="Times New Roman" w:cs="Times New Roman"/>
                      <w:color w:val="auto"/>
                      <w:sz w:val="21"/>
                      <w:szCs w:val="21"/>
                      <w:lang w:val="en-US" w:eastAsia="zh-CN"/>
                    </w:rPr>
                    <w:t>1000</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2</w:t>
                  </w:r>
                  <w:r>
                    <w:rPr>
                      <w:rFonts w:hint="default" w:ascii="Times New Roman" w:hAnsi="Times New Roman" w:cs="Times New Roman"/>
                      <w:color w:val="auto"/>
                      <w:sz w:val="21"/>
                      <w:szCs w:val="21"/>
                    </w:rPr>
                    <w:t>，新建5条保温钉生产线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tcBorders>
                    <w:top w:val="nil"/>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辅助工程</w:t>
                  </w: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eastAsia"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val="en-US" w:eastAsia="zh-CN"/>
                    </w:rPr>
                    <w:t>危废间</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共1座，建筑面积</w:t>
                  </w:r>
                  <w:r>
                    <w:rPr>
                      <w:rFonts w:hint="eastAsia" w:ascii="Times New Roman" w:hAnsi="Times New Roman" w:cs="Times New Roman"/>
                      <w:color w:val="auto"/>
                      <w:sz w:val="21"/>
                      <w:szCs w:val="21"/>
                      <w:lang w:val="en-US" w:eastAsia="zh-CN"/>
                    </w:rPr>
                    <w:t>4</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2</w:t>
                  </w:r>
                  <w:r>
                    <w:rPr>
                      <w:rFonts w:hint="default" w:ascii="Times New Roman" w:hAnsi="Times New Roman" w:cs="Times New Roman"/>
                      <w:color w:val="auto"/>
                      <w:sz w:val="21"/>
                      <w:szCs w:val="21"/>
                    </w:rPr>
                    <w:t>，框架结构，</w:t>
                  </w:r>
                  <w:r>
                    <w:rPr>
                      <w:rFonts w:hint="eastAsia" w:ascii="Times New Roman" w:hAnsi="Times New Roman" w:cs="Times New Roman"/>
                      <w:color w:val="auto"/>
                      <w:sz w:val="21"/>
                      <w:szCs w:val="21"/>
                      <w:lang w:val="en-US" w:eastAsia="zh-CN"/>
                    </w:rPr>
                    <w:t>用于暂存危险废物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vMerge w:val="restart"/>
                  <w:tcBorders>
                    <w:top w:val="nil"/>
                    <w:left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公用工程</w:t>
                  </w: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供水</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eastAsia"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厂区供水由</w:t>
                  </w:r>
                  <w:r>
                    <w:rPr>
                      <w:rFonts w:hint="eastAsia" w:ascii="Times New Roman" w:hAnsi="Times New Roman" w:cs="Times New Roman"/>
                      <w:color w:val="auto"/>
                      <w:sz w:val="21"/>
                      <w:szCs w:val="21"/>
                      <w:lang w:val="en-US" w:eastAsia="zh-CN"/>
                    </w:rPr>
                    <w:t>自来水</w:t>
                  </w:r>
                  <w:r>
                    <w:rPr>
                      <w:rFonts w:hint="default" w:ascii="Times New Roman" w:hAnsi="Times New Roman" w:cs="Times New Roman"/>
                      <w:color w:val="auto"/>
                      <w:sz w:val="21"/>
                      <w:szCs w:val="21"/>
                    </w:rPr>
                    <w:t>管网</w:t>
                  </w:r>
                  <w:r>
                    <w:rPr>
                      <w:rFonts w:hint="eastAsia" w:ascii="Times New Roman" w:hAnsi="Times New Roman" w:cs="Times New Roman"/>
                      <w:color w:val="auto"/>
                      <w:sz w:val="21"/>
                      <w:szCs w:val="21"/>
                      <w:lang w:val="en-US" w:eastAsia="zh-CN"/>
                    </w:rPr>
                    <w:t>供给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vMerge w:val="continue"/>
                  <w:tcBorders>
                    <w:left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供电</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项目用电来自</w:t>
                  </w:r>
                  <w:r>
                    <w:rPr>
                      <w:rFonts w:hint="eastAsia" w:ascii="Times New Roman" w:hAnsi="Times New Roman" w:cs="Times New Roman"/>
                      <w:color w:val="auto"/>
                      <w:sz w:val="21"/>
                      <w:szCs w:val="21"/>
                      <w:lang w:val="en-US" w:eastAsia="zh-CN"/>
                    </w:rPr>
                    <w:t>当地</w:t>
                  </w:r>
                  <w:r>
                    <w:rPr>
                      <w:rFonts w:hint="default" w:ascii="Times New Roman" w:hAnsi="Times New Roman" w:cs="Times New Roman"/>
                      <w:color w:val="auto"/>
                      <w:sz w:val="21"/>
                      <w:szCs w:val="21"/>
                    </w:rPr>
                    <w:t>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vMerge w:val="continue"/>
                  <w:tcBorders>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供热</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项目车间不采暖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474" w:type="pct"/>
                  <w:vMerge w:val="restart"/>
                  <w:tcBorders>
                    <w:top w:val="nil"/>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环保工程</w:t>
                  </w:r>
                </w:p>
              </w:tc>
              <w:tc>
                <w:tcPr>
                  <w:tcW w:w="460" w:type="pct"/>
                  <w:tcBorders>
                    <w:top w:val="nil"/>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废气</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项目设计在每台注塑机上方设置集气罩（</w:t>
                  </w:r>
                  <w:r>
                    <w:rPr>
                      <w:rFonts w:hint="eastAsia" w:cs="Times New Roman"/>
                      <w:color w:val="auto"/>
                      <w:sz w:val="21"/>
                      <w:szCs w:val="21"/>
                      <w:lang w:eastAsia="zh-CN"/>
                    </w:rPr>
                    <w:t>0.6m×0.5m</w:t>
                  </w:r>
                  <w:r>
                    <w:rPr>
                      <w:rFonts w:hint="default" w:ascii="Times New Roman" w:hAnsi="Times New Roman" w:cs="Times New Roman"/>
                      <w:color w:val="auto"/>
                      <w:sz w:val="21"/>
                      <w:szCs w:val="21"/>
                    </w:rPr>
                    <w:t>）， 经管道引入1套有机废气处理装置处理，即“过滤棉箱+活性炭吸附/脱附+催化燃烧装置”， 处理后经 1 根 15m 高排气筒（DA001）排放（风机风量</w:t>
                  </w:r>
                  <w:r>
                    <w:rPr>
                      <w:rFonts w:hint="eastAsia" w:cs="Times New Roman"/>
                      <w:color w:val="auto"/>
                      <w:sz w:val="21"/>
                      <w:szCs w:val="21"/>
                      <w:lang w:val="en-US" w:eastAsia="zh-CN"/>
                    </w:rPr>
                    <w:t>8</w:t>
                  </w:r>
                  <w:r>
                    <w:rPr>
                      <w:rFonts w:hint="default" w:ascii="Times New Roman" w:hAnsi="Times New Roman" w:cs="Times New Roman"/>
                      <w:color w:val="auto"/>
                      <w:sz w:val="21"/>
                      <w:szCs w:val="21"/>
                    </w:rPr>
                    <w:t>000m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91" w:type="dxa"/>
                  <w:vMerge w:val="continue"/>
                  <w:tcBorders>
                    <w:top w:val="nil"/>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vMerge w:val="restart"/>
                  <w:tcBorders>
                    <w:top w:val="nil"/>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废水</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生活污水</w:t>
                  </w:r>
                  <w:r>
                    <w:rPr>
                      <w:rFonts w:hint="eastAsia" w:ascii="Times New Roman" w:hAnsi="Times New Roman" w:cs="Times New Roman"/>
                      <w:color w:val="auto"/>
                      <w:sz w:val="21"/>
                      <w:szCs w:val="21"/>
                      <w:lang w:val="en-US" w:eastAsia="zh-CN"/>
                    </w:rPr>
                    <w:t>泼洒抑尘，不外排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91" w:type="dxa"/>
                  <w:vMerge w:val="continue"/>
                  <w:tcBorders>
                    <w:top w:val="nil"/>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vMerge w:val="continue"/>
                  <w:tcBorders>
                    <w:top w:val="nil"/>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本项目生产废水循环使用，不外排。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91" w:type="dxa"/>
                  <w:vMerge w:val="continue"/>
                  <w:tcBorders>
                    <w:top w:val="nil"/>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噪声</w:t>
                  </w:r>
                </w:p>
              </w:tc>
              <w:tc>
                <w:tcPr>
                  <w:tcW w:w="4064"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选用低噪声设备、合理布局，采用厂房隔声、基础减振等措施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91" w:type="dxa"/>
                  <w:vMerge w:val="continue"/>
                  <w:tcBorders>
                    <w:top w:val="nil"/>
                    <w:left w:val="single" w:color="auto" w:sz="4"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460" w:type="pct"/>
                  <w:tcBorders>
                    <w:top w:val="nil"/>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固废</w:t>
                  </w:r>
                </w:p>
              </w:tc>
              <w:tc>
                <w:tcPr>
                  <w:tcW w:w="406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一般固废</w:t>
                  </w:r>
                  <w:r>
                    <w:rPr>
                      <w:rFonts w:hint="eastAsia" w:cs="Times New Roman"/>
                      <w:color w:val="auto"/>
                      <w:sz w:val="21"/>
                      <w:szCs w:val="21"/>
                      <w:lang w:val="en-US" w:eastAsia="zh-CN"/>
                    </w:rPr>
                    <w:t>集中收集后外售</w:t>
                  </w:r>
                  <w:r>
                    <w:rPr>
                      <w:rFonts w:hint="default" w:ascii="Times New Roman" w:hAnsi="Times New Roman" w:cs="Times New Roman"/>
                      <w:color w:val="auto"/>
                      <w:sz w:val="21"/>
                      <w:szCs w:val="21"/>
                    </w:rPr>
                    <w:t>；危险废物</w:t>
                  </w:r>
                  <w:r>
                    <w:rPr>
                      <w:rFonts w:hint="eastAsia" w:ascii="Times New Roman" w:hAnsi="Times New Roman" w:cs="Times New Roman"/>
                      <w:color w:val="auto"/>
                      <w:sz w:val="21"/>
                      <w:szCs w:val="21"/>
                      <w:lang w:val="en-US" w:eastAsia="zh-CN"/>
                    </w:rPr>
                    <w:t>暂存</w:t>
                  </w:r>
                  <w:r>
                    <w:rPr>
                      <w:rFonts w:hint="default" w:ascii="Times New Roman" w:hAnsi="Times New Roman" w:cs="Times New Roman"/>
                      <w:color w:val="auto"/>
                      <w:sz w:val="21"/>
                      <w:szCs w:val="21"/>
                    </w:rPr>
                    <w:t>危废间暂存后，委托有资质的单位处理。</w:t>
                  </w:r>
                </w:p>
              </w:tc>
            </w:tr>
          </w:tbl>
          <w:p>
            <w:pPr>
              <w:autoSpaceDE w:val="0"/>
              <w:spacing w:line="360" w:lineRule="auto"/>
              <w:ind w:firstLine="420"/>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3、主要产品及产能</w:t>
            </w:r>
          </w:p>
          <w:p>
            <w:pPr>
              <w:spacing w:line="240" w:lineRule="auto"/>
              <w:ind w:firstLine="0" w:firstLineChars="0"/>
              <w:jc w:val="center"/>
              <w:rPr>
                <w:rFonts w:hint="default" w:ascii="Times New Roman" w:hAnsi="Times New Roman" w:cs="Times New Roman"/>
                <w:b/>
                <w:bCs/>
                <w:color w:val="auto"/>
                <w:kern w:val="0"/>
                <w:sz w:val="21"/>
                <w:szCs w:val="21"/>
              </w:rPr>
            </w:pPr>
            <w:r>
              <w:rPr>
                <w:rFonts w:hint="default" w:ascii="Times New Roman" w:hAnsi="Times New Roman" w:cs="Times New Roman"/>
                <w:b/>
                <w:bCs/>
                <w:color w:val="auto"/>
                <w:kern w:val="0"/>
                <w:sz w:val="21"/>
                <w:szCs w:val="21"/>
              </w:rPr>
              <w:t>表</w:t>
            </w:r>
            <w:r>
              <w:rPr>
                <w:rFonts w:hint="eastAsia" w:ascii="Times New Roman" w:hAnsi="Times New Roman" w:cs="Times New Roman"/>
                <w:b/>
                <w:bCs/>
                <w:color w:val="auto"/>
                <w:kern w:val="0"/>
                <w:sz w:val="21"/>
                <w:szCs w:val="21"/>
                <w:lang w:val="en-US" w:eastAsia="zh-CN"/>
              </w:rPr>
              <w:t xml:space="preserve">10  </w:t>
            </w:r>
            <w:r>
              <w:rPr>
                <w:rFonts w:hint="default" w:ascii="Times New Roman" w:hAnsi="Times New Roman" w:cs="Times New Roman"/>
                <w:b/>
                <w:bCs/>
                <w:color w:val="auto"/>
                <w:kern w:val="0"/>
                <w:sz w:val="21"/>
                <w:szCs w:val="21"/>
              </w:rPr>
              <w:t>项目产品方案一览表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1197"/>
              <w:gridCol w:w="4520"/>
              <w:gridCol w:w="1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76"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序号</w:t>
                  </w:r>
                </w:p>
              </w:tc>
              <w:tc>
                <w:tcPr>
                  <w:tcW w:w="72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产品名称</w:t>
                  </w:r>
                </w:p>
              </w:tc>
              <w:tc>
                <w:tcPr>
                  <w:tcW w:w="2728"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产品规格</w:t>
                  </w:r>
                </w:p>
              </w:tc>
              <w:tc>
                <w:tcPr>
                  <w:tcW w:w="107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生产规模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76"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p>
              </w:tc>
              <w:tc>
                <w:tcPr>
                  <w:tcW w:w="722" w:type="pct"/>
                  <w:tcBorders>
                    <w:top w:val="nil"/>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保温钉</w:t>
                  </w:r>
                </w:p>
              </w:tc>
              <w:tc>
                <w:tcPr>
                  <w:tcW w:w="2728"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长度/个：200mm-550mm</w:t>
                  </w:r>
                </w:p>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0000FF"/>
                      <w:sz w:val="21"/>
                      <w:szCs w:val="21"/>
                      <w:lang w:val="en-US" w:eastAsia="zh-CN"/>
                    </w:rPr>
                    <w:t>重量/个：</w:t>
                  </w:r>
                  <w:r>
                    <w:rPr>
                      <w:rFonts w:hint="eastAsia" w:cs="Times New Roman"/>
                      <w:color w:val="0000FF"/>
                      <w:sz w:val="21"/>
                      <w:szCs w:val="21"/>
                      <w:lang w:val="en-US" w:eastAsia="zh-CN"/>
                    </w:rPr>
                    <w:t>9</w:t>
                  </w:r>
                  <w:r>
                    <w:rPr>
                      <w:rFonts w:hint="eastAsia" w:ascii="Times New Roman" w:hAnsi="Times New Roman" w:eastAsia="宋体" w:cs="Times New Roman"/>
                      <w:color w:val="0000FF"/>
                      <w:sz w:val="21"/>
                      <w:szCs w:val="21"/>
                      <w:lang w:val="en-US" w:eastAsia="zh-CN"/>
                    </w:rPr>
                    <w:t>g（不包含钢筋）</w:t>
                  </w:r>
                </w:p>
              </w:tc>
              <w:tc>
                <w:tcPr>
                  <w:tcW w:w="1072"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5000</w:t>
                  </w:r>
                  <w:r>
                    <w:rPr>
                      <w:rFonts w:hint="default" w:ascii="Times New Roman" w:hAnsi="Times New Roman" w:eastAsia="宋体" w:cs="Times New Roman"/>
                      <w:color w:val="auto"/>
                      <w:sz w:val="21"/>
                      <w:szCs w:val="21"/>
                      <w:lang w:val="en-US" w:eastAsia="zh-CN"/>
                    </w:rPr>
                    <w:t>万</w:t>
                  </w:r>
                  <w:r>
                    <w:rPr>
                      <w:rFonts w:hint="eastAsia" w:ascii="Times New Roman" w:hAnsi="Times New Roman" w:eastAsia="宋体" w:cs="Times New Roman"/>
                      <w:color w:val="auto"/>
                      <w:sz w:val="21"/>
                      <w:szCs w:val="21"/>
                      <w:lang w:val="en-US" w:eastAsia="zh-CN"/>
                    </w:rPr>
                    <w:t>个/a</w:t>
                  </w:r>
                </w:p>
              </w:tc>
            </w:tr>
          </w:tbl>
          <w:p>
            <w:pPr>
              <w:adjustRightInd w:val="0"/>
              <w:snapToGrid w:val="0"/>
              <w:spacing w:line="360" w:lineRule="auto"/>
              <w:ind w:firstLine="420" w:firstLineChars="200"/>
              <w:contextualSpacing/>
              <w:rPr>
                <w:rFonts w:hint="default" w:ascii="Times New Roman" w:hAnsi="Times New Roman" w:cs="Times New Roman"/>
                <w:color w:val="auto"/>
                <w:sz w:val="21"/>
                <w:szCs w:val="21"/>
              </w:rPr>
            </w:pPr>
          </w:p>
          <w:p>
            <w:pPr>
              <w:adjustRightInd w:val="0"/>
              <w:snapToGrid w:val="0"/>
              <w:spacing w:line="360" w:lineRule="auto"/>
              <w:ind w:firstLine="420" w:firstLineChars="200"/>
              <w:contextualSpacing/>
              <w:rPr>
                <w:rFonts w:hint="default" w:ascii="Times New Roman" w:hAnsi="Times New Roman" w:cs="Times New Roman"/>
                <w:color w:val="auto"/>
                <w:sz w:val="21"/>
                <w:szCs w:val="21"/>
              </w:rPr>
            </w:pPr>
            <w:r>
              <w:rPr>
                <w:rFonts w:hint="default" w:ascii="Times New Roman" w:hAnsi="Times New Roman" w:cs="Times New Roman"/>
                <w:color w:val="auto"/>
                <w:sz w:val="21"/>
                <w:szCs w:val="21"/>
              </w:rPr>
              <w:t>4、项目建构筑物</w:t>
            </w:r>
          </w:p>
          <w:p>
            <w:pPr>
              <w:spacing w:line="240" w:lineRule="auto"/>
              <w:ind w:firstLine="0" w:firstLineChars="0"/>
              <w:jc w:val="center"/>
              <w:rPr>
                <w:rFonts w:hint="default" w:ascii="Times New Roman" w:hAnsi="Times New Roman" w:cs="Times New Roman"/>
                <w:b/>
                <w:bCs/>
                <w:color w:val="auto"/>
                <w:kern w:val="0"/>
                <w:sz w:val="21"/>
                <w:szCs w:val="21"/>
              </w:rPr>
            </w:pPr>
            <w:r>
              <w:rPr>
                <w:rFonts w:hint="default" w:ascii="Times New Roman" w:hAnsi="Times New Roman" w:cs="Times New Roman"/>
                <w:b/>
                <w:bCs/>
                <w:color w:val="auto"/>
                <w:kern w:val="0"/>
                <w:sz w:val="21"/>
                <w:szCs w:val="21"/>
              </w:rPr>
              <w:t>表</w:t>
            </w:r>
            <w:r>
              <w:rPr>
                <w:rFonts w:hint="eastAsia" w:ascii="Times New Roman" w:hAnsi="Times New Roman" w:cs="Times New Roman"/>
                <w:b/>
                <w:bCs/>
                <w:color w:val="auto"/>
                <w:kern w:val="0"/>
                <w:sz w:val="21"/>
                <w:szCs w:val="21"/>
                <w:lang w:val="en-US" w:eastAsia="zh-CN"/>
              </w:rPr>
              <w:t xml:space="preserve">11   </w:t>
            </w:r>
            <w:r>
              <w:rPr>
                <w:rFonts w:hint="default" w:ascii="Times New Roman" w:hAnsi="Times New Roman" w:cs="Times New Roman"/>
                <w:b/>
                <w:bCs/>
                <w:color w:val="auto"/>
                <w:kern w:val="0"/>
                <w:sz w:val="21"/>
                <w:szCs w:val="21"/>
              </w:rPr>
              <w:t>项目建构筑物一览表</w:t>
            </w:r>
          </w:p>
          <w:tbl>
            <w:tblPr>
              <w:tblStyle w:val="20"/>
              <w:tblW w:w="8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
              <w:gridCol w:w="1199"/>
              <w:gridCol w:w="1499"/>
              <w:gridCol w:w="2096"/>
              <w:gridCol w:w="27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6"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序号</w:t>
                  </w:r>
                </w:p>
              </w:tc>
              <w:tc>
                <w:tcPr>
                  <w:tcW w:w="71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名称</w:t>
                  </w:r>
                </w:p>
              </w:tc>
              <w:tc>
                <w:tcPr>
                  <w:tcW w:w="889"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建筑面积(m</w:t>
                  </w:r>
                  <w:r>
                    <w:rPr>
                      <w:rFonts w:hint="default" w:ascii="Times New Roman" w:hAnsi="Times New Roman" w:cs="Times New Roman"/>
                      <w:bCs/>
                      <w:color w:val="auto"/>
                      <w:sz w:val="21"/>
                      <w:szCs w:val="21"/>
                      <w:vertAlign w:val="superscript"/>
                    </w:rPr>
                    <w:t>2</w:t>
                  </w:r>
                  <w:r>
                    <w:rPr>
                      <w:rFonts w:hint="default" w:ascii="Times New Roman" w:hAnsi="Times New Roman" w:cs="Times New Roman"/>
                      <w:bCs/>
                      <w:color w:val="auto"/>
                      <w:sz w:val="21"/>
                      <w:szCs w:val="21"/>
                    </w:rPr>
                    <w:t>)</w:t>
                  </w:r>
                </w:p>
              </w:tc>
              <w:tc>
                <w:tcPr>
                  <w:tcW w:w="124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高度(m)</w:t>
                  </w:r>
                </w:p>
              </w:tc>
              <w:tc>
                <w:tcPr>
                  <w:tcW w:w="1609"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6"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w:t>
                  </w:r>
                </w:p>
              </w:tc>
              <w:tc>
                <w:tcPr>
                  <w:tcW w:w="71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val="en-US" w:eastAsia="zh-CN"/>
                    </w:rPr>
                    <w:t>生产</w:t>
                  </w:r>
                  <w:r>
                    <w:rPr>
                      <w:rFonts w:hint="default" w:ascii="Times New Roman" w:hAnsi="Times New Roman" w:cs="Times New Roman"/>
                      <w:color w:val="auto"/>
                      <w:sz w:val="21"/>
                      <w:szCs w:val="21"/>
                    </w:rPr>
                    <w:t>车间</w:t>
                  </w:r>
                </w:p>
              </w:tc>
              <w:tc>
                <w:tcPr>
                  <w:tcW w:w="88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1000</w:t>
                  </w:r>
                </w:p>
              </w:tc>
              <w:tc>
                <w:tcPr>
                  <w:tcW w:w="124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20</w:t>
                  </w:r>
                  <w:r>
                    <w:rPr>
                      <w:rFonts w:hint="default" w:ascii="Times New Roman" w:hAnsi="Times New Roman" w:cs="Times New Roman"/>
                      <w:color w:val="auto"/>
                      <w:sz w:val="21"/>
                      <w:szCs w:val="21"/>
                      <w:lang w:val="en-US" w:eastAsia="zh-CN"/>
                    </w:rPr>
                    <w:t>m×</w:t>
                  </w:r>
                  <w:r>
                    <w:rPr>
                      <w:rFonts w:hint="eastAsia" w:cs="Times New Roman"/>
                      <w:color w:val="auto"/>
                      <w:sz w:val="21"/>
                      <w:szCs w:val="21"/>
                      <w:lang w:val="en-US" w:eastAsia="zh-CN"/>
                    </w:rPr>
                    <w:t>50</w:t>
                  </w:r>
                  <w:r>
                    <w:rPr>
                      <w:rFonts w:hint="default" w:ascii="Times New Roman" w:hAnsi="Times New Roman" w:cs="Times New Roman"/>
                      <w:color w:val="auto"/>
                      <w:sz w:val="21"/>
                      <w:szCs w:val="21"/>
                      <w:lang w:val="en-US" w:eastAsia="zh-CN"/>
                    </w:rPr>
                    <w:t>m×11m</w:t>
                  </w:r>
                </w:p>
              </w:tc>
              <w:tc>
                <w:tcPr>
                  <w:tcW w:w="1609"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eastAsia"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val="en-US" w:eastAsia="zh-CN"/>
                    </w:rPr>
                    <w:t>1m基础墙+双层彩钢结构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46"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eastAsia" w:ascii="Times New Roman" w:hAnsi="Times New Roman" w:eastAsia="宋体" w:cs="Times New Roman"/>
                      <w:bCs/>
                      <w:color w:val="auto"/>
                      <w:sz w:val="21"/>
                      <w:szCs w:val="21"/>
                      <w:lang w:eastAsia="zh-CN"/>
                    </w:rPr>
                  </w:pPr>
                  <w:r>
                    <w:rPr>
                      <w:rFonts w:hint="eastAsia" w:ascii="Times New Roman" w:hAnsi="Times New Roman" w:cs="Times New Roman"/>
                      <w:bCs/>
                      <w:color w:val="auto"/>
                      <w:sz w:val="21"/>
                      <w:szCs w:val="21"/>
                      <w:lang w:val="en-US" w:eastAsia="zh-CN"/>
                    </w:rPr>
                    <w:t>2</w:t>
                  </w:r>
                </w:p>
              </w:tc>
              <w:tc>
                <w:tcPr>
                  <w:tcW w:w="71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危废间</w:t>
                  </w:r>
                </w:p>
              </w:tc>
              <w:tc>
                <w:tcPr>
                  <w:tcW w:w="889"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eastAsia"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val="en-US" w:eastAsia="zh-CN"/>
                    </w:rPr>
                    <w:t>4</w:t>
                  </w:r>
                </w:p>
              </w:tc>
              <w:tc>
                <w:tcPr>
                  <w:tcW w:w="124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val="en-US" w:eastAsia="zh-CN"/>
                    </w:rPr>
                    <w:t>m×</w:t>
                  </w:r>
                  <w:r>
                    <w:rPr>
                      <w:rFonts w:hint="eastAsia" w:ascii="Times New Roman" w:hAnsi="Times New Roman" w:cs="Times New Roman"/>
                      <w:color w:val="auto"/>
                      <w:sz w:val="21"/>
                      <w:szCs w:val="21"/>
                      <w:lang w:val="en-US" w:eastAsia="zh-CN"/>
                    </w:rPr>
                    <w:t>2</w:t>
                  </w:r>
                  <w:r>
                    <w:rPr>
                      <w:rFonts w:hint="default" w:ascii="Times New Roman" w:hAnsi="Times New Roman" w:cs="Times New Roman"/>
                      <w:color w:val="auto"/>
                      <w:sz w:val="21"/>
                      <w:szCs w:val="21"/>
                      <w:lang w:val="en-US" w:eastAsia="zh-CN"/>
                    </w:rPr>
                    <w:t>m×</w:t>
                  </w:r>
                  <w:r>
                    <w:rPr>
                      <w:rFonts w:hint="eastAsia" w:ascii="Times New Roman" w:hAnsi="Times New Roman" w:cs="Times New Roman"/>
                      <w:color w:val="auto"/>
                      <w:sz w:val="21"/>
                      <w:szCs w:val="21"/>
                      <w:lang w:val="en-US" w:eastAsia="zh-CN"/>
                    </w:rPr>
                    <w:t>3</w:t>
                  </w:r>
                  <w:r>
                    <w:rPr>
                      <w:rFonts w:hint="default" w:ascii="Times New Roman" w:hAnsi="Times New Roman" w:cs="Times New Roman"/>
                      <w:color w:val="auto"/>
                      <w:sz w:val="21"/>
                      <w:szCs w:val="21"/>
                      <w:lang w:val="en-US" w:eastAsia="zh-CN"/>
                    </w:rPr>
                    <w:t>m</w:t>
                  </w:r>
                </w:p>
              </w:tc>
              <w:tc>
                <w:tcPr>
                  <w:tcW w:w="1609"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jc w:val="center"/>
                    <w:rPr>
                      <w:rFonts w:hint="default" w:ascii="Times New Roman" w:hAnsi="Times New Roman" w:cs="Times New Roman"/>
                      <w:color w:val="auto"/>
                      <w:sz w:val="21"/>
                      <w:szCs w:val="21"/>
                    </w:rPr>
                  </w:pPr>
                  <w:r>
                    <w:rPr>
                      <w:rFonts w:hint="eastAsia" w:ascii="Times New Roman" w:hAnsi="Times New Roman" w:cs="Times New Roman"/>
                      <w:color w:val="auto"/>
                      <w:sz w:val="21"/>
                      <w:szCs w:val="21"/>
                      <w:lang w:val="en-US" w:eastAsia="zh-CN"/>
                    </w:rPr>
                    <w:t>砖混结构</w:t>
                  </w:r>
                </w:p>
              </w:tc>
            </w:tr>
          </w:tbl>
          <w:p>
            <w:pPr>
              <w:autoSpaceDE w:val="0"/>
              <w:spacing w:line="360" w:lineRule="auto"/>
              <w:ind w:firstLine="420" w:firstLineChars="200"/>
              <w:rPr>
                <w:rFonts w:hint="default" w:ascii="Times New Roman" w:hAnsi="Times New Roman" w:cs="Times New Roman"/>
                <w:bCs/>
                <w:color w:val="auto"/>
                <w:sz w:val="21"/>
                <w:szCs w:val="21"/>
              </w:rPr>
            </w:pPr>
            <w:r>
              <w:rPr>
                <w:rFonts w:hint="eastAsia" w:ascii="Times New Roman" w:hAnsi="Times New Roman" w:cs="Times New Roman"/>
                <w:bCs/>
                <w:color w:val="auto"/>
                <w:sz w:val="21"/>
                <w:szCs w:val="21"/>
                <w:lang w:val="en-US" w:eastAsia="zh-CN"/>
              </w:rPr>
              <w:t>5</w:t>
            </w:r>
            <w:r>
              <w:rPr>
                <w:rFonts w:hint="default" w:ascii="Times New Roman" w:hAnsi="Times New Roman" w:cs="Times New Roman"/>
                <w:bCs/>
                <w:color w:val="auto"/>
                <w:sz w:val="21"/>
                <w:szCs w:val="21"/>
              </w:rPr>
              <w:t>、主要生产设备</w:t>
            </w:r>
          </w:p>
          <w:p>
            <w:pPr>
              <w:spacing w:line="240" w:lineRule="auto"/>
              <w:ind w:firstLine="0" w:firstLineChars="0"/>
              <w:jc w:val="center"/>
              <w:rPr>
                <w:rFonts w:hint="default" w:ascii="Times New Roman" w:hAnsi="Times New Roman" w:cs="Times New Roman"/>
                <w:b/>
                <w:bCs/>
                <w:color w:val="auto"/>
                <w:kern w:val="0"/>
                <w:sz w:val="21"/>
                <w:szCs w:val="21"/>
                <w:lang w:val="en-US" w:eastAsia="zh-CN"/>
              </w:rPr>
            </w:pPr>
            <w:r>
              <w:rPr>
                <w:rFonts w:hint="default" w:ascii="Times New Roman" w:hAnsi="Times New Roman" w:cs="Times New Roman"/>
                <w:b/>
                <w:bCs/>
                <w:color w:val="auto"/>
                <w:kern w:val="0"/>
                <w:sz w:val="21"/>
                <w:szCs w:val="21"/>
                <w:lang w:val="en-US" w:eastAsia="zh-CN"/>
              </w:rPr>
              <w:t>表</w:t>
            </w:r>
            <w:r>
              <w:rPr>
                <w:rFonts w:hint="eastAsia" w:cs="Times New Roman"/>
                <w:b/>
                <w:bCs/>
                <w:color w:val="auto"/>
                <w:kern w:val="0"/>
                <w:sz w:val="21"/>
                <w:szCs w:val="21"/>
                <w:lang w:val="en-US" w:eastAsia="zh-CN"/>
              </w:rPr>
              <w:t>12</w:t>
            </w:r>
            <w:r>
              <w:rPr>
                <w:rFonts w:hint="default" w:ascii="Times New Roman" w:hAnsi="Times New Roman" w:cs="Times New Roman"/>
                <w:b/>
                <w:bCs/>
                <w:color w:val="auto"/>
                <w:kern w:val="0"/>
                <w:sz w:val="21"/>
                <w:szCs w:val="21"/>
                <w:lang w:val="en-US" w:eastAsia="zh-CN"/>
              </w:rPr>
              <w:t>主要生产设备一览表</w:t>
            </w:r>
          </w:p>
          <w:tbl>
            <w:tblPr>
              <w:tblStyle w:val="20"/>
              <w:tblW w:w="49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1597"/>
              <w:gridCol w:w="1441"/>
              <w:gridCol w:w="1677"/>
              <w:gridCol w:w="2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25"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default" w:ascii="Times New Roman" w:hAnsi="Times New Roman" w:cs="Times New Roman"/>
                      <w:bCs/>
                      <w:color w:val="auto"/>
                      <w:sz w:val="21"/>
                      <w:szCs w:val="21"/>
                    </w:rPr>
                    <w:t>序号</w:t>
                  </w:r>
                </w:p>
              </w:tc>
              <w:tc>
                <w:tcPr>
                  <w:tcW w:w="972"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default" w:ascii="Times New Roman" w:hAnsi="Times New Roman" w:cs="Times New Roman"/>
                      <w:bCs/>
                      <w:color w:val="auto"/>
                      <w:sz w:val="21"/>
                      <w:szCs w:val="21"/>
                    </w:rPr>
                    <w:t>设备名称</w:t>
                  </w:r>
                </w:p>
              </w:tc>
              <w:tc>
                <w:tcPr>
                  <w:tcW w:w="877"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数量</w:t>
                  </w:r>
                  <w:r>
                    <w:rPr>
                      <w:rFonts w:hint="eastAsia" w:cs="Times New Roman"/>
                      <w:color w:val="auto"/>
                      <w:sz w:val="21"/>
                      <w:szCs w:val="21"/>
                      <w:lang w:val="en-US" w:eastAsia="zh-CN"/>
                    </w:rPr>
                    <w:t>（台）</w:t>
                  </w:r>
                </w:p>
              </w:tc>
              <w:tc>
                <w:tcPr>
                  <w:tcW w:w="102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型号</w:t>
                  </w:r>
                </w:p>
              </w:tc>
              <w:tc>
                <w:tcPr>
                  <w:tcW w:w="160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25"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w:t>
                  </w:r>
                </w:p>
              </w:tc>
              <w:tc>
                <w:tcPr>
                  <w:tcW w:w="972"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eastAsia" w:cs="Times New Roman"/>
                      <w:color w:val="auto"/>
                      <w:sz w:val="21"/>
                      <w:szCs w:val="21"/>
                      <w:lang w:val="en-US" w:eastAsia="zh-CN"/>
                    </w:rPr>
                    <w:t>上料</w:t>
                  </w:r>
                  <w:r>
                    <w:rPr>
                      <w:rFonts w:hint="default" w:ascii="Times New Roman" w:hAnsi="Times New Roman" w:cs="Times New Roman"/>
                      <w:color w:val="auto"/>
                      <w:sz w:val="21"/>
                      <w:szCs w:val="21"/>
                    </w:rPr>
                    <w:t>机</w:t>
                  </w:r>
                </w:p>
              </w:tc>
              <w:tc>
                <w:tcPr>
                  <w:tcW w:w="877"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5</w:t>
                  </w:r>
                </w:p>
              </w:tc>
              <w:tc>
                <w:tcPr>
                  <w:tcW w:w="102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cs="Times New Roman"/>
                      <w:color w:val="auto"/>
                      <w:sz w:val="21"/>
                      <w:szCs w:val="21"/>
                      <w:lang w:val="en-US" w:eastAsia="zh-CN"/>
                    </w:rPr>
                  </w:pPr>
                  <w:r>
                    <w:rPr>
                      <w:rFonts w:hint="default" w:ascii="Times New Roman" w:hAnsi="Times New Roman" w:eastAsia="宋体" w:cs="Times New Roman"/>
                      <w:bCs/>
                      <w:color w:val="auto"/>
                      <w:kern w:val="0"/>
                      <w:sz w:val="21"/>
                      <w:szCs w:val="21"/>
                      <w:lang w:val="en-US" w:eastAsia="zh-CN"/>
                    </w:rPr>
                    <w:t>300型</w:t>
                  </w:r>
                </w:p>
              </w:tc>
              <w:tc>
                <w:tcPr>
                  <w:tcW w:w="160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cs="Times New Roman"/>
                      <w:color w:val="auto"/>
                      <w:sz w:val="21"/>
                      <w:szCs w:val="21"/>
                      <w:lang w:val="en-US" w:eastAsia="zh-CN"/>
                    </w:rPr>
                  </w:pPr>
                  <w:r>
                    <w:rPr>
                      <w:sz w:val="21"/>
                    </w:rPr>
                    <w:t>单台处理能力：</w:t>
                  </w:r>
                  <w:r>
                    <w:rPr>
                      <w:rFonts w:hint="eastAsia"/>
                      <w:sz w:val="21"/>
                      <w:lang w:val="en-US" w:eastAsia="zh-CN"/>
                    </w:rPr>
                    <w:t>50</w:t>
                  </w:r>
                  <w:r>
                    <w:rPr>
                      <w:rFonts w:ascii="Times New Roman" w:eastAsia="Times New Roman"/>
                      <w:sz w:val="21"/>
                    </w:rPr>
                    <w:t>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25"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w:t>
                  </w:r>
                </w:p>
              </w:tc>
              <w:tc>
                <w:tcPr>
                  <w:tcW w:w="972"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注塑机</w:t>
                  </w:r>
                </w:p>
              </w:tc>
              <w:tc>
                <w:tcPr>
                  <w:tcW w:w="877"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5</w:t>
                  </w:r>
                </w:p>
              </w:tc>
              <w:tc>
                <w:tcPr>
                  <w:tcW w:w="102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auto"/>
                      <w:sz w:val="21"/>
                      <w:szCs w:val="21"/>
                      <w:lang w:val="en-US" w:eastAsia="zh-CN"/>
                    </w:rPr>
                    <w:t>65型</w:t>
                  </w:r>
                </w:p>
              </w:tc>
              <w:tc>
                <w:tcPr>
                  <w:tcW w:w="160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cs="Times New Roman"/>
                      <w:color w:val="auto"/>
                      <w:sz w:val="21"/>
                      <w:szCs w:val="21"/>
                      <w:lang w:val="en-US" w:eastAsia="zh-CN"/>
                    </w:rPr>
                  </w:pPr>
                  <w:r>
                    <w:rPr>
                      <w:sz w:val="21"/>
                    </w:rPr>
                    <w:t>单台处理能力：</w:t>
                  </w:r>
                  <w:r>
                    <w:rPr>
                      <w:rFonts w:hint="eastAsia"/>
                      <w:sz w:val="21"/>
                      <w:lang w:val="en-US" w:eastAsia="zh-CN"/>
                    </w:rPr>
                    <w:t>50</w:t>
                  </w:r>
                  <w:r>
                    <w:rPr>
                      <w:rFonts w:ascii="Times New Roman" w:eastAsia="Times New Roman"/>
                      <w:sz w:val="21"/>
                    </w:rPr>
                    <w:t>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25"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w:t>
                  </w:r>
                </w:p>
              </w:tc>
              <w:tc>
                <w:tcPr>
                  <w:tcW w:w="972"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ascii="Times New Roman" w:hAnsi="Times New Roman" w:cs="Times New Roman"/>
                      <w:color w:val="auto"/>
                      <w:sz w:val="21"/>
                      <w:szCs w:val="21"/>
                    </w:rPr>
                  </w:pPr>
                  <w:r>
                    <w:rPr>
                      <w:rFonts w:hint="eastAsia" w:cs="Times New Roman"/>
                      <w:color w:val="auto"/>
                      <w:sz w:val="21"/>
                      <w:szCs w:val="21"/>
                      <w:lang w:val="en-US" w:eastAsia="zh-CN"/>
                    </w:rPr>
                    <w:t>钢筋调直</w:t>
                  </w:r>
                  <w:r>
                    <w:rPr>
                      <w:rFonts w:hint="default" w:ascii="Times New Roman" w:hAnsi="Times New Roman" w:cs="Times New Roman"/>
                      <w:color w:val="auto"/>
                      <w:sz w:val="21"/>
                      <w:szCs w:val="21"/>
                    </w:rPr>
                    <w:t>机</w:t>
                  </w:r>
                </w:p>
              </w:tc>
              <w:tc>
                <w:tcPr>
                  <w:tcW w:w="877"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3</w:t>
                  </w:r>
                </w:p>
              </w:tc>
              <w:tc>
                <w:tcPr>
                  <w:tcW w:w="102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auto"/>
                      <w:sz w:val="21"/>
                      <w:szCs w:val="21"/>
                      <w:lang w:val="en-US" w:eastAsia="zh-CN"/>
                    </w:rPr>
                    <w:t>/</w:t>
                  </w:r>
                </w:p>
              </w:tc>
              <w:tc>
                <w:tcPr>
                  <w:tcW w:w="160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0000FF"/>
                      <w:sz w:val="21"/>
                      <w:szCs w:val="21"/>
                      <w:lang w:val="en-US" w:eastAsia="zh-CN"/>
                    </w:rPr>
                    <w:t>自带剪切功能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25"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w:t>
                  </w:r>
                </w:p>
              </w:tc>
              <w:tc>
                <w:tcPr>
                  <w:tcW w:w="972"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auto"/>
                      <w:sz w:val="21"/>
                      <w:szCs w:val="21"/>
                      <w:lang w:val="en-US" w:eastAsia="zh-CN"/>
                    </w:rPr>
                    <w:t>循环水池</w:t>
                  </w:r>
                </w:p>
              </w:tc>
              <w:tc>
                <w:tcPr>
                  <w:tcW w:w="877"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auto"/>
                      <w:sz w:val="21"/>
                      <w:szCs w:val="21"/>
                      <w:lang w:val="en-US" w:eastAsia="zh-CN"/>
                    </w:rPr>
                    <w:t>1</w:t>
                  </w:r>
                </w:p>
              </w:tc>
              <w:tc>
                <w:tcPr>
                  <w:tcW w:w="1021"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default" w:cs="Times New Roman"/>
                      <w:color w:val="auto"/>
                      <w:sz w:val="21"/>
                      <w:szCs w:val="21"/>
                      <w:lang w:val="en-US" w:eastAsia="zh-CN"/>
                    </w:rPr>
                  </w:pPr>
                  <w:r>
                    <w:rPr>
                      <w:rFonts w:hint="eastAsia" w:cs="Times New Roman"/>
                      <w:color w:val="auto"/>
                      <w:sz w:val="21"/>
                      <w:szCs w:val="21"/>
                      <w:lang w:val="en-US" w:eastAsia="zh-CN"/>
                    </w:rPr>
                    <w:t>/</w:t>
                  </w:r>
                </w:p>
              </w:tc>
              <w:tc>
                <w:tcPr>
                  <w:tcW w:w="1603" w:type="pct"/>
                  <w:tcBorders>
                    <w:top w:val="single" w:color="auto" w:sz="4" w:space="0"/>
                    <w:left w:val="single" w:color="auto" w:sz="4" w:space="0"/>
                    <w:bottom w:val="single" w:color="auto" w:sz="4" w:space="0"/>
                    <w:right w:val="single" w:color="auto" w:sz="4" w:space="0"/>
                  </w:tcBorders>
                  <w:vAlign w:val="center"/>
                </w:tcPr>
                <w:p>
                  <w:pPr>
                    <w:spacing w:line="280" w:lineRule="exact"/>
                    <w:ind w:firstLine="0" w:firstLineChars="0"/>
                    <w:contextualSpacing/>
                    <w:jc w:val="center"/>
                    <w:rPr>
                      <w:rFonts w:hint="eastAsia" w:cs="Times New Roman"/>
                      <w:color w:val="auto"/>
                      <w:sz w:val="21"/>
                      <w:szCs w:val="21"/>
                      <w:lang w:val="en-US" w:eastAsia="zh-CN"/>
                    </w:rPr>
                  </w:pPr>
                  <w:r>
                    <w:rPr>
                      <w:rFonts w:hint="eastAsia" w:cs="Times New Roman"/>
                      <w:color w:val="auto"/>
                      <w:sz w:val="21"/>
                      <w:szCs w:val="21"/>
                      <w:lang w:val="en-US" w:eastAsia="zh-CN"/>
                    </w:rPr>
                    <w:t>1.8*1.8*2m</w:t>
                  </w:r>
                </w:p>
              </w:tc>
            </w:tr>
          </w:tbl>
          <w:p>
            <w:pPr>
              <w:spacing w:line="360" w:lineRule="auto"/>
              <w:ind w:firstLine="420" w:firstLineChars="200"/>
              <w:rPr>
                <w:rFonts w:hint="default" w:ascii="Times New Roman" w:hAnsi="Times New Roman" w:cs="Times New Roman"/>
                <w:color w:val="auto"/>
                <w:sz w:val="21"/>
                <w:szCs w:val="21"/>
              </w:rPr>
            </w:pPr>
            <w:r>
              <w:rPr>
                <w:rFonts w:hint="eastAsia" w:cs="Times New Roman"/>
                <w:color w:val="auto"/>
                <w:sz w:val="21"/>
                <w:szCs w:val="21"/>
                <w:lang w:val="en-US" w:eastAsia="zh-CN"/>
              </w:rPr>
              <w:t>6</w:t>
            </w:r>
            <w:r>
              <w:rPr>
                <w:rFonts w:hint="default" w:ascii="Times New Roman" w:hAnsi="Times New Roman" w:cs="Times New Roman"/>
                <w:color w:val="auto"/>
                <w:sz w:val="21"/>
                <w:szCs w:val="21"/>
              </w:rPr>
              <w:t>、原辅材料消耗</w:t>
            </w:r>
          </w:p>
          <w:p>
            <w:pPr>
              <w:spacing w:line="240" w:lineRule="auto"/>
              <w:ind w:firstLine="0" w:firstLineChars="0"/>
              <w:jc w:val="center"/>
              <w:rPr>
                <w:rFonts w:hint="default" w:ascii="Times New Roman" w:hAnsi="Times New Roman" w:cs="Times New Roman"/>
                <w:b/>
                <w:bCs/>
                <w:color w:val="auto"/>
                <w:kern w:val="0"/>
                <w:sz w:val="21"/>
                <w:szCs w:val="21"/>
                <w:lang w:val="en-US" w:eastAsia="zh-CN"/>
              </w:rPr>
            </w:pPr>
            <w:r>
              <w:rPr>
                <w:rFonts w:hint="default" w:ascii="Times New Roman" w:hAnsi="Times New Roman" w:cs="Times New Roman"/>
                <w:b/>
                <w:bCs/>
                <w:color w:val="auto"/>
                <w:kern w:val="0"/>
                <w:sz w:val="21"/>
                <w:szCs w:val="21"/>
                <w:lang w:val="en-US" w:eastAsia="zh-CN"/>
              </w:rPr>
              <w:t>表</w:t>
            </w:r>
            <w:r>
              <w:rPr>
                <w:rFonts w:hint="eastAsia" w:cs="Times New Roman"/>
                <w:b/>
                <w:bCs/>
                <w:color w:val="auto"/>
                <w:kern w:val="0"/>
                <w:sz w:val="21"/>
                <w:szCs w:val="21"/>
                <w:lang w:val="en-US" w:eastAsia="zh-CN"/>
              </w:rPr>
              <w:t xml:space="preserve">13 </w:t>
            </w:r>
            <w:r>
              <w:rPr>
                <w:rFonts w:hint="default" w:ascii="Times New Roman" w:hAnsi="Times New Roman" w:cs="Times New Roman"/>
                <w:b/>
                <w:bCs/>
                <w:color w:val="auto"/>
                <w:kern w:val="0"/>
                <w:sz w:val="21"/>
                <w:szCs w:val="21"/>
                <w:lang w:val="en-US" w:eastAsia="zh-CN"/>
              </w:rPr>
              <w:t xml:space="preserve"> 项目原辅材料、能源消耗一览表</w:t>
            </w:r>
          </w:p>
          <w:tbl>
            <w:tblPr>
              <w:tblStyle w:val="20"/>
              <w:tblW w:w="493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1465"/>
              <w:gridCol w:w="1108"/>
              <w:gridCol w:w="1208"/>
              <w:gridCol w:w="3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序号</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名称</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单位</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用量</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1</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sz w:val="21"/>
                      <w:szCs w:val="21"/>
                      <w:lang w:val="en-US" w:eastAsia="zh-CN"/>
                    </w:rPr>
                  </w:pPr>
                  <w:r>
                    <w:rPr>
                      <w:rFonts w:hint="eastAsia" w:cs="Times New Roman"/>
                      <w:bCs/>
                      <w:color w:val="auto"/>
                      <w:sz w:val="21"/>
                      <w:szCs w:val="21"/>
                      <w:lang w:val="en-US" w:eastAsia="zh-CN"/>
                    </w:rPr>
                    <w:t>聚丙烯原包料</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t/a</w:t>
                  </w:r>
                </w:p>
              </w:tc>
              <w:tc>
                <w:tcPr>
                  <w:tcW w:w="738"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450</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sz w:val="21"/>
                    </w:rPr>
                    <w:t>外购，固态颗粒，</w:t>
                  </w:r>
                  <w:r>
                    <w:rPr>
                      <w:rFonts w:ascii="Times New Roman" w:eastAsia="Times New Roman"/>
                      <w:sz w:val="21"/>
                    </w:rPr>
                    <w:t>25kg/</w:t>
                  </w:r>
                  <w:r>
                    <w:rPr>
                      <w:sz w:val="21"/>
                    </w:rPr>
                    <w:t>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2</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val="en-US" w:eastAsia="zh-CN"/>
                    </w:rPr>
                    <w:t>盘螺钢筋</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t/a</w:t>
                  </w:r>
                </w:p>
              </w:tc>
              <w:tc>
                <w:tcPr>
                  <w:tcW w:w="738"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4500</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val="en-US" w:eastAsia="zh-CN"/>
                    </w:rPr>
                    <w:t>外购表面加工后的钢筋成品，</w:t>
                  </w:r>
                  <w:r>
                    <w:rPr>
                      <w:rFonts w:hint="default" w:ascii="Times New Roman" w:hAnsi="Times New Roman" w:cs="Times New Roman"/>
                      <w:b w:val="0"/>
                      <w:bCs/>
                      <w:sz w:val="21"/>
                      <w:szCs w:val="21"/>
                      <w:lang w:val="en-US" w:eastAsia="zh-CN"/>
                    </w:rPr>
                    <w:t>8mm</w:t>
                  </w:r>
                  <w:r>
                    <w:rPr>
                      <w:rFonts w:hint="eastAsia" w:cs="Times New Roman"/>
                      <w:b w:val="0"/>
                      <w:bCs/>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3</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电</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万kWh/a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eastAsia" w:cs="Times New Roman"/>
                      <w:bCs/>
                      <w:color w:val="auto"/>
                      <w:sz w:val="21"/>
                      <w:szCs w:val="21"/>
                      <w:lang w:val="en-US" w:eastAsia="zh-CN"/>
                    </w:rPr>
                    <w:t>200</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eastAsia" w:cs="Times New Roman"/>
                      <w:bCs/>
                      <w:color w:val="auto"/>
                      <w:sz w:val="21"/>
                      <w:szCs w:val="21"/>
                      <w:lang w:val="en-US" w:eastAsia="zh-CN"/>
                    </w:rPr>
                    <w:t>当地电网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4</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水</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eastAsia" w:cs="Times New Roman"/>
                      <w:bCs/>
                      <w:color w:val="auto"/>
                      <w:sz w:val="21"/>
                      <w:szCs w:val="21"/>
                      <w:lang w:val="en-US" w:eastAsia="zh-CN"/>
                    </w:rPr>
                    <w:t>m</w:t>
                  </w:r>
                  <w:r>
                    <w:rPr>
                      <w:rFonts w:hint="eastAsia" w:cs="Times New Roman"/>
                      <w:bCs/>
                      <w:color w:val="auto"/>
                      <w:sz w:val="21"/>
                      <w:szCs w:val="21"/>
                      <w:vertAlign w:val="superscript"/>
                      <w:lang w:val="en-US" w:eastAsia="zh-CN"/>
                    </w:rPr>
                    <w:t>3</w:t>
                  </w:r>
                  <w:r>
                    <w:rPr>
                      <w:rFonts w:hint="default" w:ascii="Times New Roman" w:hAnsi="Times New Roman" w:cs="Times New Roman"/>
                      <w:bCs/>
                      <w:color w:val="auto"/>
                      <w:sz w:val="21"/>
                      <w:szCs w:val="21"/>
                    </w:rPr>
                    <w:t>/a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eastAsia" w:cs="Times New Roman"/>
                      <w:bCs/>
                      <w:color w:val="auto"/>
                      <w:kern w:val="2"/>
                      <w:sz w:val="21"/>
                      <w:szCs w:val="21"/>
                      <w:lang w:val="en-US" w:eastAsia="zh-CN" w:bidi="ar-SA"/>
                    </w:rPr>
                    <w:t>390</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eastAsia" w:cs="Times New Roman"/>
                      <w:bCs/>
                      <w:color w:val="auto"/>
                      <w:sz w:val="21"/>
                      <w:szCs w:val="21"/>
                      <w:lang w:val="en-US" w:eastAsia="zh-CN"/>
                    </w:rPr>
                    <w:t>自来水管网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val="en-US" w:eastAsia="zh-CN"/>
                    </w:rPr>
                    <w:t>5</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润滑油</w:t>
                  </w:r>
                </w:p>
              </w:tc>
              <w:tc>
                <w:tcPr>
                  <w:tcW w:w="677"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t/a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0.</w:t>
                  </w:r>
                  <w:r>
                    <w:rPr>
                      <w:rFonts w:hint="eastAsia" w:cs="Times New Roman"/>
                      <w:bCs/>
                      <w:color w:val="auto"/>
                      <w:sz w:val="21"/>
                      <w:szCs w:val="21"/>
                      <w:lang w:val="en-US" w:eastAsia="zh-CN"/>
                    </w:rPr>
                    <w:t>2</w:t>
                  </w:r>
                </w:p>
              </w:tc>
              <w:tc>
                <w:tcPr>
                  <w:tcW w:w="2262"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eastAsia="宋体" w:cs="Times New Roman"/>
                      <w:bCs/>
                      <w:color w:val="auto"/>
                      <w:kern w:val="2"/>
                      <w:sz w:val="21"/>
                      <w:szCs w:val="21"/>
                      <w:lang w:val="en-US" w:eastAsia="zh-CN" w:bidi="ar-SA"/>
                    </w:rPr>
                  </w:pPr>
                  <w:r>
                    <w:rPr>
                      <w:rFonts w:hint="default" w:ascii="Times New Roman" w:hAnsi="Times New Roman" w:cs="Times New Roman"/>
                      <w:bCs/>
                      <w:color w:val="auto"/>
                      <w:sz w:val="21"/>
                      <w:szCs w:val="21"/>
                    </w:rPr>
                    <w:t>外购，桶装</w:t>
                  </w:r>
                  <w:r>
                    <w:rPr>
                      <w:rFonts w:hint="eastAsia" w:cs="Times New Roman"/>
                      <w:bCs/>
                      <w:color w:val="auto"/>
                      <w:sz w:val="21"/>
                      <w:szCs w:val="21"/>
                      <w:lang w:eastAsia="zh-CN"/>
                    </w:rPr>
                    <w:t>，</w:t>
                  </w:r>
                  <w:r>
                    <w:rPr>
                      <w:sz w:val="21"/>
                    </w:rPr>
                    <w:t>随用随买，不在厂内储存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6</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活性炭</w:t>
                  </w:r>
                </w:p>
              </w:tc>
              <w:tc>
                <w:tcPr>
                  <w:tcW w:w="677"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t/a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1</w:t>
                  </w:r>
                </w:p>
              </w:tc>
              <w:tc>
                <w:tcPr>
                  <w:tcW w:w="2262"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default" w:ascii="Times New Roman" w:hAnsi="Times New Roman" w:cs="Times New Roman"/>
                      <w:bCs/>
                      <w:color w:val="auto"/>
                      <w:sz w:val="21"/>
                      <w:szCs w:val="21"/>
                    </w:rPr>
                    <w:t>过滤棉每年更换一次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7</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过滤棉</w:t>
                  </w:r>
                </w:p>
              </w:tc>
              <w:tc>
                <w:tcPr>
                  <w:tcW w:w="677"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t/a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0.1</w:t>
                  </w:r>
                </w:p>
              </w:tc>
              <w:tc>
                <w:tcPr>
                  <w:tcW w:w="2262"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default" w:ascii="Times New Roman" w:hAnsi="Times New Roman" w:cs="Times New Roman"/>
                      <w:bCs/>
                      <w:color w:val="auto"/>
                      <w:sz w:val="21"/>
                      <w:szCs w:val="21"/>
                    </w:rPr>
                    <w:t>活性炭每年更换一次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2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8</w:t>
                  </w:r>
                </w:p>
              </w:tc>
              <w:tc>
                <w:tcPr>
                  <w:tcW w:w="895"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eastAsia"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催化剂</w:t>
                  </w:r>
                </w:p>
              </w:tc>
              <w:tc>
                <w:tcPr>
                  <w:tcW w:w="677"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t/2a</w:t>
                  </w:r>
                </w:p>
              </w:tc>
              <w:tc>
                <w:tcPr>
                  <w:tcW w:w="738" w:type="pct"/>
                  <w:tcBorders>
                    <w:top w:val="single" w:color="auto" w:sz="4" w:space="0"/>
                    <w:left w:val="single" w:color="auto" w:sz="4" w:space="0"/>
                    <w:bottom w:val="single" w:color="auto" w:sz="4" w:space="0"/>
                    <w:right w:val="single" w:color="auto" w:sz="4" w:space="0"/>
                  </w:tcBorders>
                  <w:vAlign w:val="center"/>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0.01</w:t>
                  </w:r>
                </w:p>
              </w:tc>
              <w:tc>
                <w:tcPr>
                  <w:tcW w:w="2262" w:type="pct"/>
                  <w:tcBorders>
                    <w:top w:val="single" w:color="auto" w:sz="4" w:space="0"/>
                    <w:left w:val="single" w:color="auto" w:sz="4" w:space="0"/>
                    <w:bottom w:val="single" w:color="auto" w:sz="4" w:space="0"/>
                    <w:right w:val="single" w:color="auto" w:sz="4" w:space="0"/>
                  </w:tcBorders>
                  <w:vAlign w:val="top"/>
                </w:tcPr>
                <w:p>
                  <w:pPr>
                    <w:autoSpaceDE w:val="0"/>
                    <w:spacing w:line="280" w:lineRule="exact"/>
                    <w:ind w:firstLine="0" w:firstLineChars="0"/>
                    <w:jc w:val="center"/>
                    <w:rPr>
                      <w:rFonts w:hint="default" w:ascii="Times New Roman" w:hAnsi="Times New Roman" w:cs="Times New Roman"/>
                      <w:bCs/>
                      <w:color w:val="auto"/>
                      <w:sz w:val="21"/>
                      <w:szCs w:val="21"/>
                      <w:lang w:val="en-US" w:eastAsia="zh-CN"/>
                    </w:rPr>
                  </w:pPr>
                  <w:r>
                    <w:rPr>
                      <w:rFonts w:hint="default" w:ascii="Times New Roman" w:hAnsi="Times New Roman" w:cs="Times New Roman"/>
                      <w:bCs/>
                      <w:color w:val="auto"/>
                      <w:sz w:val="21"/>
                      <w:szCs w:val="21"/>
                    </w:rPr>
                    <w:t>催化剂每两年更换一次</w:t>
                  </w:r>
                </w:p>
              </w:tc>
            </w:tr>
          </w:tbl>
          <w:p>
            <w:pPr>
              <w:spacing w:line="360" w:lineRule="auto"/>
              <w:ind w:firstLine="420" w:firstLineChars="200"/>
              <w:contextualSpacing/>
              <w:rPr>
                <w:rFonts w:hint="eastAsia" w:ascii="Times New Roman" w:hAnsi="Times New Roman" w:eastAsia="宋体" w:cs="Times New Roman"/>
                <w:bCs/>
                <w:color w:val="auto"/>
                <w:sz w:val="21"/>
                <w:szCs w:val="21"/>
                <w:lang w:eastAsia="zh-CN"/>
              </w:rPr>
            </w:pPr>
            <w:r>
              <w:rPr>
                <w:rFonts w:hint="default" w:ascii="Times New Roman" w:hAnsi="Times New Roman" w:cs="Times New Roman"/>
                <w:bCs/>
                <w:color w:val="auto"/>
                <w:sz w:val="21"/>
                <w:szCs w:val="21"/>
              </w:rPr>
              <w:t>注：聚丙烯：简称PP，是一种无色、无臭、无毒、半透明固体物质。聚丙烯是一种性能优良的热塑性合成树脂，为无色半透明的热塑性轻质通用塑料。聚丙烯分解温度为350～380℃</w:t>
            </w:r>
            <w:r>
              <w:rPr>
                <w:rFonts w:hint="eastAsia" w:cs="Times New Roman"/>
                <w:bCs/>
                <w:color w:val="auto"/>
                <w:sz w:val="21"/>
                <w:szCs w:val="21"/>
                <w:lang w:eastAsia="zh-CN"/>
              </w:rPr>
              <w:t>，，具有良好的电性能和高频绝缘性</w:t>
            </w:r>
            <w:r>
              <w:rPr>
                <w:rFonts w:hint="eastAsia" w:cs="Times New Roman"/>
                <w:bCs/>
                <w:color w:val="auto"/>
                <w:sz w:val="21"/>
                <w:szCs w:val="21"/>
                <w:lang w:val="en-US" w:eastAsia="zh-CN"/>
              </w:rPr>
              <w:t>且</w:t>
            </w:r>
            <w:r>
              <w:rPr>
                <w:rFonts w:hint="eastAsia" w:cs="Times New Roman"/>
                <w:bCs/>
                <w:color w:val="auto"/>
                <w:sz w:val="21"/>
                <w:szCs w:val="21"/>
                <w:lang w:eastAsia="zh-CN"/>
              </w:rPr>
              <w:t>不受湿度影响。</w:t>
            </w:r>
          </w:p>
          <w:p>
            <w:pPr>
              <w:spacing w:line="360" w:lineRule="auto"/>
              <w:ind w:firstLine="420" w:firstLineChars="200"/>
              <w:rPr>
                <w:rFonts w:hint="default" w:ascii="Times New Roman" w:hAnsi="Times New Roman" w:cs="Times New Roman"/>
                <w:color w:val="auto"/>
                <w:sz w:val="21"/>
                <w:szCs w:val="21"/>
              </w:rPr>
            </w:pPr>
            <w:r>
              <w:rPr>
                <w:rFonts w:hint="eastAsia" w:cs="Times New Roman"/>
                <w:color w:val="auto"/>
                <w:sz w:val="21"/>
                <w:szCs w:val="21"/>
                <w:lang w:val="en-US" w:eastAsia="zh-CN"/>
              </w:rPr>
              <w:t>7</w:t>
            </w:r>
            <w:r>
              <w:rPr>
                <w:rFonts w:hint="default" w:ascii="Times New Roman" w:hAnsi="Times New Roman" w:cs="Times New Roman"/>
                <w:color w:val="auto"/>
                <w:sz w:val="21"/>
                <w:szCs w:val="21"/>
              </w:rPr>
              <w:t>、劳动定员及工作制度</w:t>
            </w:r>
          </w:p>
          <w:p>
            <w:pPr>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项目全厂劳动定员</w:t>
            </w:r>
            <w:r>
              <w:rPr>
                <w:rFonts w:hint="eastAsia" w:cs="Times New Roman"/>
                <w:color w:val="auto"/>
                <w:kern w:val="0"/>
                <w:sz w:val="21"/>
                <w:szCs w:val="21"/>
                <w:lang w:val="en-US" w:eastAsia="zh-CN"/>
              </w:rPr>
              <w:t>15</w:t>
            </w:r>
            <w:r>
              <w:rPr>
                <w:rFonts w:hint="default" w:ascii="Times New Roman" w:hAnsi="Times New Roman" w:cs="Times New Roman"/>
                <w:color w:val="auto"/>
                <w:kern w:val="0"/>
                <w:sz w:val="21"/>
                <w:szCs w:val="21"/>
              </w:rPr>
              <w:t>人，实行8小时</w:t>
            </w:r>
            <w:r>
              <w:rPr>
                <w:rFonts w:hint="eastAsia" w:cs="Times New Roman"/>
                <w:color w:val="auto"/>
                <w:kern w:val="0"/>
                <w:sz w:val="21"/>
                <w:szCs w:val="21"/>
                <w:lang w:eastAsia="zh-CN"/>
              </w:rPr>
              <w:t>，</w:t>
            </w:r>
            <w:r>
              <w:rPr>
                <w:rFonts w:hint="eastAsia" w:cs="Times New Roman"/>
                <w:color w:val="auto"/>
                <w:kern w:val="0"/>
                <w:sz w:val="21"/>
                <w:szCs w:val="21"/>
                <w:lang w:val="en-US" w:eastAsia="zh-CN"/>
              </w:rPr>
              <w:t>一</w:t>
            </w:r>
            <w:r>
              <w:rPr>
                <w:rFonts w:hint="default" w:ascii="Times New Roman" w:hAnsi="Times New Roman" w:cs="Times New Roman"/>
                <w:color w:val="auto"/>
                <w:kern w:val="0"/>
                <w:sz w:val="21"/>
                <w:szCs w:val="21"/>
              </w:rPr>
              <w:t>班工作制。</w:t>
            </w:r>
          </w:p>
          <w:p>
            <w:pPr>
              <w:spacing w:line="360" w:lineRule="auto"/>
              <w:ind w:left="0" w:leftChars="0" w:firstLine="420" w:firstLineChars="200"/>
              <w:rPr>
                <w:rFonts w:hint="default" w:ascii="Times New Roman" w:hAnsi="Times New Roman" w:cs="Times New Roman"/>
                <w:color w:val="auto"/>
                <w:kern w:val="0"/>
                <w:sz w:val="21"/>
                <w:szCs w:val="21"/>
              </w:rPr>
            </w:pPr>
            <w:r>
              <w:rPr>
                <w:rFonts w:hint="eastAsia" w:cs="Times New Roman"/>
                <w:color w:val="auto"/>
                <w:kern w:val="0"/>
                <w:sz w:val="21"/>
                <w:szCs w:val="21"/>
                <w:lang w:val="en-US" w:eastAsia="zh-CN"/>
              </w:rPr>
              <w:t>8</w:t>
            </w:r>
            <w:r>
              <w:rPr>
                <w:rFonts w:hint="default" w:ascii="Times New Roman" w:hAnsi="Times New Roman" w:cs="Times New Roman"/>
                <w:color w:val="auto"/>
                <w:kern w:val="0"/>
                <w:sz w:val="21"/>
                <w:szCs w:val="21"/>
              </w:rPr>
              <w:t>、厂区平面布置及周边关系</w:t>
            </w:r>
          </w:p>
          <w:p>
            <w:pPr>
              <w:autoSpaceDE w:val="0"/>
              <w:spacing w:line="360" w:lineRule="auto"/>
              <w:ind w:firstLine="420"/>
              <w:rPr>
                <w:rFonts w:hint="default" w:ascii="Times New Roman" w:hAnsi="Times New Roman" w:eastAsia="宋体" w:cs="Times New Roman"/>
                <w:color w:val="auto"/>
                <w:kern w:val="0"/>
                <w:sz w:val="21"/>
                <w:szCs w:val="21"/>
                <w:lang w:val="en-US" w:eastAsia="zh-CN"/>
              </w:rPr>
            </w:pPr>
            <w:r>
              <w:rPr>
                <w:rFonts w:hint="eastAsia" w:cs="Times New Roman"/>
                <w:color w:val="auto"/>
                <w:kern w:val="0"/>
                <w:sz w:val="21"/>
                <w:szCs w:val="21"/>
                <w:lang w:val="en-US" w:eastAsia="zh-CN"/>
              </w:rPr>
              <w:t>项目租用北京五洲泡沫塑料有限公司迁安分公司院内闲置车间，本项目生产车间位于厂区内东侧，西侧、北侧分别为北京五洲泡沫塑料有限公司库房、车间</w:t>
            </w:r>
            <w:r>
              <w:rPr>
                <w:rFonts w:hint="default" w:ascii="Times New Roman" w:hAnsi="Times New Roman" w:cs="Times New Roman"/>
                <w:color w:val="auto"/>
                <w:kern w:val="0"/>
                <w:sz w:val="21"/>
                <w:szCs w:val="21"/>
              </w:rPr>
              <w:t>。</w:t>
            </w:r>
            <w:r>
              <w:rPr>
                <w:rFonts w:hint="eastAsia" w:cs="Times New Roman"/>
                <w:color w:val="auto"/>
                <w:kern w:val="0"/>
                <w:sz w:val="21"/>
                <w:szCs w:val="21"/>
                <w:lang w:val="en-US" w:eastAsia="zh-CN"/>
              </w:rPr>
              <w:t>北京五洲泡沫塑料有限公司厂区外东侧为乡村路，南侧隔乡村路为海鑫金属制品有限公司，西侧为闲置厂房，北侧为唐山卓能建材科技有限公司。本项目生产车间内由南至北依次为原料区、生产区、成品区。</w:t>
            </w:r>
          </w:p>
          <w:p>
            <w:pPr>
              <w:spacing w:line="360" w:lineRule="auto"/>
              <w:ind w:firstLine="420" w:firstLineChars="200"/>
              <w:rPr>
                <w:rFonts w:hint="eastAsia" w:cs="Times New Roman"/>
                <w:color w:val="auto"/>
                <w:kern w:val="0"/>
                <w:sz w:val="21"/>
                <w:szCs w:val="21"/>
                <w:lang w:val="en-US" w:eastAsia="zh-CN"/>
              </w:rPr>
            </w:pPr>
          </w:p>
          <w:p>
            <w:pPr>
              <w:spacing w:line="360" w:lineRule="auto"/>
              <w:ind w:firstLine="420" w:firstLineChars="200"/>
              <w:rPr>
                <w:rFonts w:hint="default" w:ascii="Times New Roman" w:hAnsi="Times New Roman" w:cs="Times New Roman"/>
                <w:color w:val="auto"/>
                <w:kern w:val="0"/>
                <w:sz w:val="21"/>
                <w:szCs w:val="21"/>
              </w:rPr>
            </w:pPr>
            <w:r>
              <w:rPr>
                <w:rFonts w:hint="eastAsia" w:cs="Times New Roman"/>
                <w:color w:val="auto"/>
                <w:kern w:val="0"/>
                <w:sz w:val="21"/>
                <w:szCs w:val="21"/>
                <w:lang w:val="en-US" w:eastAsia="zh-CN"/>
              </w:rPr>
              <w:t>9</w:t>
            </w:r>
            <w:r>
              <w:rPr>
                <w:rFonts w:hint="default" w:ascii="Times New Roman" w:hAnsi="Times New Roman" w:cs="Times New Roman"/>
                <w:color w:val="auto"/>
                <w:kern w:val="0"/>
                <w:sz w:val="21"/>
                <w:szCs w:val="21"/>
              </w:rPr>
              <w:t>、给排水</w:t>
            </w:r>
          </w:p>
          <w:p>
            <w:pPr>
              <w:autoSpaceDE w:val="0"/>
              <w:spacing w:line="360" w:lineRule="auto"/>
              <w:ind w:firstLine="0" w:firstLineChars="0"/>
              <w:jc w:val="both"/>
              <w:rPr>
                <w:rFonts w:hint="eastAsia" w:cs="Times New Roman"/>
                <w:b w:val="0"/>
                <w:bCs w:val="0"/>
                <w:color w:val="auto"/>
                <w:sz w:val="21"/>
                <w:szCs w:val="21"/>
                <w:lang w:val="en-US" w:eastAsia="zh-CN"/>
              </w:rPr>
            </w:pPr>
            <w:r>
              <w:rPr>
                <w:rFonts w:hint="eastAsia" w:cs="Times New Roman"/>
                <w:b/>
                <w:bCs/>
                <w:color w:val="auto"/>
                <w:sz w:val="21"/>
                <w:szCs w:val="21"/>
                <w:lang w:val="en-US" w:eastAsia="zh-CN"/>
              </w:rPr>
              <w:t xml:space="preserve">    </w:t>
            </w:r>
            <w:r>
              <w:rPr>
                <w:rFonts w:hint="eastAsia" w:cs="Times New Roman"/>
                <w:b w:val="0"/>
                <w:bCs w:val="0"/>
                <w:color w:val="auto"/>
                <w:sz w:val="21"/>
                <w:szCs w:val="21"/>
                <w:lang w:val="en-US" w:eastAsia="zh-CN"/>
              </w:rPr>
              <w:t>给水：项目用水来自当地自来水管网，冷却水循环补水量1m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/d（300 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/a）， 厂区内无宿舍、食堂、浴室，厕所为防渗旱厕。生活用水主要为职工盥洗用水。《河北省用水定额》（DB13/T 5450.1-2021），并结合企业实际情况，职工生活用水量按20 L/人·d计，则生活用水量为0.3m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/d（90m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/a）。</w:t>
            </w:r>
          </w:p>
          <w:p>
            <w:pPr>
              <w:autoSpaceDE w:val="0"/>
              <w:spacing w:line="360" w:lineRule="auto"/>
              <w:ind w:firstLine="420" w:firstLineChars="200"/>
              <w:jc w:val="both"/>
              <w:rPr>
                <w:rFonts w:hint="default" w:ascii="Times New Roman" w:hAnsi="Times New Roman" w:eastAsia="宋体" w:cs="Times New Roman"/>
                <w:b w:val="0"/>
                <w:bCs w:val="0"/>
                <w:color w:val="auto"/>
                <w:sz w:val="21"/>
                <w:szCs w:val="21"/>
                <w:lang w:val="en-US" w:eastAsia="zh-CN"/>
              </w:rPr>
            </w:pPr>
            <w:r>
              <w:rPr>
                <w:rFonts w:hint="eastAsia" w:cs="Times New Roman"/>
                <w:b w:val="0"/>
                <w:bCs w:val="0"/>
                <w:color w:val="auto"/>
                <w:sz w:val="21"/>
                <w:szCs w:val="21"/>
                <w:lang w:val="en-US" w:eastAsia="zh-CN"/>
              </w:rPr>
              <w:t>排水：项目冷却水循环使用，无生产废水外排；项目生活污水泼洒抑尘，不外排；生活污水按生活用水量80%计算，生活污水量为0.24m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/d（72m</w:t>
            </w:r>
            <w:r>
              <w:rPr>
                <w:rFonts w:hint="eastAsia" w:cs="Times New Roman"/>
                <w:b w:val="0"/>
                <w:bCs w:val="0"/>
                <w:color w:val="auto"/>
                <w:sz w:val="21"/>
                <w:szCs w:val="21"/>
                <w:vertAlign w:val="superscript"/>
                <w:lang w:val="en-US" w:eastAsia="zh-CN"/>
              </w:rPr>
              <w:t>3</w:t>
            </w:r>
            <w:r>
              <w:rPr>
                <w:rFonts w:hint="eastAsia" w:cs="Times New Roman"/>
                <w:b w:val="0"/>
                <w:bCs w:val="0"/>
                <w:color w:val="auto"/>
                <w:sz w:val="21"/>
                <w:szCs w:val="21"/>
                <w:lang w:val="en-US" w:eastAsia="zh-CN"/>
              </w:rPr>
              <w:t>/a）。</w:t>
            </w:r>
          </w:p>
          <w:p>
            <w:pPr>
              <w:autoSpaceDE w:val="0"/>
              <w:spacing w:line="360" w:lineRule="auto"/>
              <w:ind w:firstLine="0" w:firstLineChars="0"/>
              <w:jc w:val="center"/>
              <w:rPr>
                <w:rFonts w:hint="default" w:ascii="Times New Roman" w:hAnsi="Times New Roman" w:cs="Times New Roman"/>
                <w:b/>
                <w:bCs/>
                <w:color w:val="auto"/>
                <w:sz w:val="21"/>
                <w:szCs w:val="21"/>
              </w:rPr>
            </w:pPr>
            <w:r>
              <w:rPr>
                <w:rFonts w:hint="eastAsia"/>
                <w:b/>
                <w:color w:val="auto"/>
                <w:kern w:val="0"/>
                <w:sz w:val="21"/>
                <w:szCs w:val="21"/>
              </w:rPr>
              <w:object>
                <v:shape id="_x0000_i1025" o:spt="75" type="#_x0000_t75" style="height:143.8pt;width:278.6pt;" o:ole="t" filled="f" o:preferrelative="t" stroked="f" coordsize="21600,21600">
                  <v:path/>
                  <v:fill on="f" focussize="0,0"/>
                  <v:stroke on="f"/>
                  <v:imagedata r:id="rId16" o:title=""/>
                  <o:lock v:ext="edit" aspectratio="f"/>
                  <w10:wrap type="none"/>
                  <w10:anchorlock/>
                </v:shape>
                <o:OLEObject Type="Embed" ProgID="Visio.Drawing.11" ShapeID="_x0000_i1025" DrawAspect="Content" ObjectID="_1468075725" r:id="rId15">
                  <o:LockedField>false</o:LockedField>
                </o:OLEObject>
              </w:object>
            </w:r>
          </w:p>
          <w:p>
            <w:pPr>
              <w:autoSpaceDE w:val="0"/>
              <w:spacing w:line="36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b/>
                <w:bCs/>
                <w:color w:val="auto"/>
                <w:sz w:val="21"/>
                <w:szCs w:val="21"/>
              </w:rPr>
              <w:t>图</w:t>
            </w:r>
            <w:r>
              <w:rPr>
                <w:rFonts w:hint="eastAsia" w:cs="Times New Roman"/>
                <w:b/>
                <w:bCs/>
                <w:color w:val="auto"/>
                <w:sz w:val="21"/>
                <w:szCs w:val="21"/>
                <w:lang w:val="en-US" w:eastAsia="zh-CN"/>
              </w:rPr>
              <w:t>1</w:t>
            </w:r>
            <w:r>
              <w:rPr>
                <w:rFonts w:hint="default" w:ascii="Times New Roman" w:hAnsi="Times New Roman" w:cs="Times New Roman"/>
                <w:b/>
                <w:bCs/>
                <w:color w:val="auto"/>
                <w:sz w:val="21"/>
                <w:szCs w:val="21"/>
              </w:rPr>
              <w:t xml:space="preserve"> 项目水平衡图   单位：m</w:t>
            </w:r>
            <w:r>
              <w:rPr>
                <w:rFonts w:hint="default" w:ascii="Times New Roman" w:hAnsi="Times New Roman" w:cs="Times New Roman"/>
                <w:b/>
                <w:bCs/>
                <w:color w:val="auto"/>
                <w:sz w:val="21"/>
                <w:szCs w:val="21"/>
                <w:vertAlign w:val="superscript"/>
              </w:rPr>
              <w:t>3</w:t>
            </w:r>
            <w:r>
              <w:rPr>
                <w:rFonts w:hint="default" w:ascii="Times New Roman" w:hAnsi="Times New Roman" w:cs="Times New Roman"/>
                <w:b/>
                <w:bCs/>
                <w:color w:val="auto"/>
                <w:sz w:val="21"/>
                <w:szCs w:val="21"/>
              </w:rPr>
              <w:t>/d</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0" w:hRule="atLeast"/>
          <w:jc w:val="center"/>
        </w:trPr>
        <w:tc>
          <w:tcPr>
            <w:tcW w:w="342" w:type="pct"/>
            <w:tcBorders>
              <w:top w:val="single" w:color="auto" w:sz="4"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工艺流程和产排污环节</w:t>
            </w:r>
          </w:p>
        </w:tc>
        <w:tc>
          <w:tcPr>
            <w:tcW w:w="4657" w:type="pct"/>
            <w:tcBorders>
              <w:top w:val="single" w:color="auto" w:sz="4" w:space="0"/>
              <w:left w:val="single" w:color="auto" w:sz="4" w:space="0"/>
              <w:bottom w:val="single" w:color="auto" w:sz="4" w:space="0"/>
              <w:right w:val="single" w:color="auto" w:sz="8" w:space="0"/>
            </w:tcBorders>
          </w:tcPr>
          <w:p>
            <w:pPr>
              <w:autoSpaceDE w:val="0"/>
              <w:spacing w:line="360" w:lineRule="auto"/>
              <w:ind w:firstLine="420"/>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本项目</w:t>
            </w:r>
            <w:r>
              <w:rPr>
                <w:rFonts w:hint="eastAsia" w:ascii="Times New Roman" w:hAnsi="Times New Roman" w:eastAsia="宋体" w:cs="Times New Roman"/>
                <w:bCs/>
                <w:color w:val="auto"/>
                <w:sz w:val="21"/>
                <w:szCs w:val="21"/>
                <w:lang w:val="en-US" w:eastAsia="zh-CN"/>
              </w:rPr>
              <w:t>设置五条保温钉生产线，每条生产线工艺流程一致</w:t>
            </w:r>
            <w:r>
              <w:rPr>
                <w:rFonts w:hint="default" w:ascii="Times New Roman" w:hAnsi="Times New Roman" w:eastAsia="宋体" w:cs="Times New Roman"/>
                <w:bCs/>
                <w:color w:val="auto"/>
                <w:sz w:val="21"/>
                <w:szCs w:val="21"/>
                <w:lang w:val="en-US" w:eastAsia="zh-CN"/>
              </w:rPr>
              <w:t>。</w:t>
            </w:r>
            <w:r>
              <w:rPr>
                <w:rFonts w:hint="eastAsia" w:ascii="Times New Roman" w:hAnsi="Times New Roman" w:eastAsia="宋体" w:cs="Times New Roman"/>
                <w:bCs/>
                <w:color w:val="auto"/>
                <w:sz w:val="21"/>
                <w:szCs w:val="21"/>
                <w:lang w:val="en-US" w:eastAsia="zh-CN"/>
              </w:rPr>
              <w:t>本项目</w:t>
            </w:r>
            <w:r>
              <w:rPr>
                <w:rFonts w:hint="default" w:ascii="Times New Roman" w:hAnsi="Times New Roman" w:eastAsia="宋体" w:cs="Times New Roman"/>
                <w:bCs/>
                <w:color w:val="auto"/>
                <w:sz w:val="21"/>
                <w:szCs w:val="21"/>
                <w:lang w:val="en-US" w:eastAsia="zh-CN"/>
              </w:rPr>
              <w:t>生产流程简述如下：</w:t>
            </w:r>
          </w:p>
          <w:p>
            <w:pPr>
              <w:autoSpaceDE w:val="0"/>
              <w:spacing w:line="360" w:lineRule="auto"/>
              <w:ind w:firstLine="420"/>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注塑工序有效作业时间</w:t>
            </w:r>
            <w:r>
              <w:rPr>
                <w:rFonts w:hint="eastAsia" w:ascii="Times New Roman" w:hAnsi="Times New Roman" w:eastAsia="宋体" w:cs="Times New Roman"/>
                <w:bCs/>
                <w:color w:val="auto"/>
                <w:sz w:val="21"/>
                <w:szCs w:val="21"/>
                <w:lang w:val="en-US" w:eastAsia="zh-CN"/>
              </w:rPr>
              <w:t>：本项目单台注塑机注塑能力为</w:t>
            </w:r>
            <w:r>
              <w:rPr>
                <w:rFonts w:hint="eastAsia" w:ascii="Times New Roman" w:eastAsia="宋体"/>
                <w:sz w:val="21"/>
                <w:lang w:val="en-US" w:eastAsia="zh-CN"/>
              </w:rPr>
              <w:t>10</w:t>
            </w:r>
            <w:r>
              <w:rPr>
                <w:rFonts w:ascii="Times New Roman" w:eastAsia="Times New Roman"/>
                <w:sz w:val="21"/>
              </w:rPr>
              <w:t>kg/h</w:t>
            </w:r>
            <w:r>
              <w:rPr>
                <w:rFonts w:hint="eastAsia" w:ascii="Times New Roman" w:eastAsia="宋体"/>
                <w:sz w:val="21"/>
                <w:lang w:eastAsia="zh-CN"/>
              </w:rPr>
              <w:t>，</w:t>
            </w:r>
            <w:r>
              <w:rPr>
                <w:rFonts w:hint="eastAsia" w:ascii="Times New Roman" w:eastAsia="宋体"/>
                <w:sz w:val="21"/>
                <w:lang w:val="en-US" w:eastAsia="zh-CN"/>
              </w:rPr>
              <w:t>项目共设置5台注塑机，则有效作业时间为1800h。</w:t>
            </w:r>
          </w:p>
          <w:p>
            <w:pPr>
              <w:autoSpaceDE w:val="0"/>
              <w:spacing w:line="360" w:lineRule="auto"/>
              <w:ind w:firstLine="420"/>
              <w:rPr>
                <w:rFonts w:hint="default" w:ascii="Times New Roman" w:hAnsi="Times New Roman" w:eastAsia="宋体" w:cs="Times New Roman"/>
                <w:bCs/>
                <w:color w:val="auto"/>
                <w:sz w:val="21"/>
                <w:szCs w:val="21"/>
                <w:lang w:val="en-US" w:eastAsia="zh-CN"/>
              </w:rPr>
            </w:pPr>
            <w:r>
              <w:rPr>
                <w:rFonts w:hint="eastAsia" w:ascii="Times New Roman" w:hAnsi="Times New Roman" w:eastAsia="宋体" w:cs="Times New Roman"/>
                <w:bCs/>
                <w:color w:val="auto"/>
                <w:sz w:val="21"/>
                <w:szCs w:val="21"/>
                <w:lang w:val="en-US" w:eastAsia="zh-CN"/>
              </w:rPr>
              <w:t>（1）</w:t>
            </w:r>
            <w:r>
              <w:rPr>
                <w:rFonts w:hint="default" w:ascii="Times New Roman" w:hAnsi="Times New Roman" w:eastAsia="宋体" w:cs="Times New Roman"/>
                <w:bCs/>
                <w:color w:val="auto"/>
                <w:sz w:val="21"/>
                <w:szCs w:val="21"/>
                <w:lang w:val="en-US" w:eastAsia="zh-CN"/>
              </w:rPr>
              <w:t>原料</w:t>
            </w:r>
            <w:bookmarkStart w:id="2" w:name="_Hlk90546537"/>
            <w:bookmarkEnd w:id="2"/>
            <w:r>
              <w:rPr>
                <w:rFonts w:hint="eastAsia" w:ascii="Times New Roman" w:hAnsi="Times New Roman" w:eastAsia="宋体" w:cs="Times New Roman"/>
                <w:bCs/>
                <w:color w:val="auto"/>
                <w:sz w:val="21"/>
                <w:szCs w:val="21"/>
                <w:lang w:val="en-US" w:eastAsia="zh-CN"/>
              </w:rPr>
              <w:t>进厂：本项目外购聚丙烯原包料和钢筋，暂存生产车间原料区。</w:t>
            </w:r>
          </w:p>
          <w:p>
            <w:pPr>
              <w:autoSpaceDE w:val="0"/>
              <w:spacing w:line="360" w:lineRule="auto"/>
              <w:ind w:firstLine="420"/>
              <w:rPr>
                <w:rFonts w:hint="eastAsia" w:ascii="Times New Roman" w:hAnsi="Times New Roman" w:eastAsia="宋体" w:cs="Times New Roman"/>
                <w:bCs/>
                <w:color w:val="auto"/>
                <w:sz w:val="21"/>
                <w:szCs w:val="21"/>
                <w:lang w:val="en-US" w:eastAsia="zh-CN"/>
              </w:rPr>
            </w:pPr>
            <w:r>
              <w:rPr>
                <w:rFonts w:hint="eastAsia" w:ascii="Times New Roman" w:hAnsi="Times New Roman" w:eastAsia="宋体" w:cs="Times New Roman"/>
                <w:bCs/>
                <w:color w:val="auto"/>
                <w:sz w:val="21"/>
                <w:szCs w:val="21"/>
                <w:lang w:val="en-US" w:eastAsia="zh-CN"/>
              </w:rPr>
              <w:t>（2）钢筋加工：外购的钢筋利用钢筋调直机进行调直，</w:t>
            </w:r>
            <w:r>
              <w:rPr>
                <w:rFonts w:hint="eastAsia" w:cs="Times New Roman"/>
                <w:bCs/>
                <w:color w:val="0000FF"/>
                <w:sz w:val="21"/>
                <w:szCs w:val="21"/>
                <w:lang w:val="en-US" w:eastAsia="zh-CN"/>
              </w:rPr>
              <w:t>钢筋调直机自带剪切功能，</w:t>
            </w:r>
            <w:r>
              <w:rPr>
                <w:rFonts w:hint="eastAsia" w:ascii="Times New Roman" w:hAnsi="Times New Roman" w:eastAsia="宋体" w:cs="Times New Roman"/>
                <w:bCs/>
                <w:color w:val="auto"/>
                <w:sz w:val="21"/>
                <w:szCs w:val="21"/>
                <w:lang w:val="en-US" w:eastAsia="zh-CN"/>
              </w:rPr>
              <w:t>按照相应的订单要求，将钢筋剪切成相应的长度，剪切下的两端废钢筋集中收集后外售。</w:t>
            </w:r>
          </w:p>
          <w:p>
            <w:pPr>
              <w:autoSpaceDE w:val="0"/>
              <w:spacing w:line="360" w:lineRule="auto"/>
              <w:ind w:firstLine="420"/>
              <w:rPr>
                <w:rFonts w:hint="default" w:cs="Times New Roman"/>
                <w:bCs/>
                <w:color w:val="auto"/>
                <w:sz w:val="21"/>
                <w:szCs w:val="21"/>
                <w:lang w:val="en-US" w:eastAsia="zh-CN"/>
              </w:rPr>
            </w:pPr>
            <w:r>
              <w:rPr>
                <w:rFonts w:hint="eastAsia" w:ascii="Times New Roman" w:hAnsi="Times New Roman" w:eastAsia="宋体" w:cs="Times New Roman"/>
                <w:bCs/>
                <w:color w:val="auto"/>
                <w:sz w:val="21"/>
                <w:szCs w:val="21"/>
                <w:lang w:val="en-US" w:eastAsia="zh-CN"/>
              </w:rPr>
              <w:t>（3）上料：人</w:t>
            </w:r>
            <w:r>
              <w:rPr>
                <w:rFonts w:hint="eastAsia" w:cs="Times New Roman"/>
                <w:bCs/>
                <w:color w:val="auto"/>
                <w:sz w:val="21"/>
                <w:szCs w:val="21"/>
                <w:lang w:val="en-US" w:eastAsia="zh-CN"/>
              </w:rPr>
              <w:t>工将袋装原包料拆包，聚丙烯颗粒通过自动上料机进入上料。</w:t>
            </w:r>
          </w:p>
          <w:p>
            <w:pPr>
              <w:autoSpaceDE w:val="0"/>
              <w:spacing w:line="360" w:lineRule="auto"/>
              <w:ind w:firstLine="420"/>
              <w:rPr>
                <w:rFonts w:hint="eastAsia" w:ascii="Times New Roman" w:hAnsi="Times New Roman" w:cs="Times New Roman"/>
                <w:bCs/>
                <w:color w:val="auto"/>
                <w:sz w:val="21"/>
                <w:szCs w:val="21"/>
                <w:lang w:val="en-US" w:eastAsia="zh-CN"/>
              </w:rPr>
            </w:pPr>
            <w:r>
              <w:rPr>
                <w:rFonts w:hint="eastAsia" w:cs="Times New Roman"/>
                <w:bCs/>
                <w:color w:val="auto"/>
                <w:sz w:val="21"/>
                <w:szCs w:val="21"/>
                <w:lang w:val="en-US" w:eastAsia="zh-CN"/>
              </w:rPr>
              <w:t>（4）注塑：将剪切好的钢筋放入注塑模型内。聚丙烯颗粒进入注塑机物料斗后，利用注塑机内的电加热装置将原料加热软化，电加热温度为150℃左右，原料达到熔融塑化的状态后注入模具内，附着在钢筋</w:t>
            </w:r>
            <w:r>
              <w:rPr>
                <w:rFonts w:hint="eastAsia" w:ascii="Times New Roman" w:hAnsi="Times New Roman" w:cs="Times New Roman"/>
                <w:bCs/>
                <w:color w:val="auto"/>
                <w:sz w:val="21"/>
                <w:szCs w:val="21"/>
                <w:lang w:val="en-US" w:eastAsia="zh-CN"/>
              </w:rPr>
              <w:t>表面。</w:t>
            </w:r>
          </w:p>
          <w:p>
            <w:pPr>
              <w:autoSpaceDE w:val="0"/>
              <w:spacing w:line="360" w:lineRule="auto"/>
              <w:ind w:firstLine="420"/>
              <w:rPr>
                <w:rFonts w:hint="default" w:ascii="Times New Roman" w:hAnsi="Times New Roman" w:cs="Times New Roman"/>
                <w:bCs/>
                <w:color w:val="auto"/>
                <w:sz w:val="21"/>
                <w:szCs w:val="21"/>
                <w:lang w:val="en-US" w:eastAsia="zh-CN"/>
              </w:rPr>
            </w:pPr>
            <w:r>
              <w:rPr>
                <w:rFonts w:hint="eastAsia" w:ascii="Times New Roman" w:hAnsi="Times New Roman" w:cs="Times New Roman"/>
                <w:bCs/>
                <w:color w:val="auto"/>
                <w:sz w:val="21"/>
                <w:szCs w:val="21"/>
                <w:lang w:val="en-US" w:eastAsia="zh-CN"/>
              </w:rPr>
              <w:t>（5）</w:t>
            </w:r>
            <w:r>
              <w:rPr>
                <w:rFonts w:hint="default" w:ascii="Times New Roman" w:hAnsi="Times New Roman" w:cs="Times New Roman"/>
                <w:bCs/>
                <w:color w:val="auto"/>
                <w:sz w:val="21"/>
                <w:szCs w:val="21"/>
                <w:lang w:val="en-US" w:eastAsia="zh-CN"/>
              </w:rPr>
              <w:t>冷却</w:t>
            </w:r>
            <w:r>
              <w:rPr>
                <w:rFonts w:hint="eastAsia" w:ascii="Times New Roman" w:hAnsi="Times New Roman" w:cs="Times New Roman"/>
                <w:bCs/>
                <w:color w:val="auto"/>
                <w:sz w:val="21"/>
                <w:szCs w:val="21"/>
                <w:lang w:val="en-US" w:eastAsia="zh-CN"/>
              </w:rPr>
              <w:t>：</w:t>
            </w:r>
            <w:r>
              <w:rPr>
                <w:rFonts w:hint="default" w:ascii="Times New Roman" w:hAnsi="Times New Roman" w:cs="Times New Roman"/>
                <w:bCs/>
                <w:color w:val="auto"/>
                <w:sz w:val="21"/>
                <w:szCs w:val="21"/>
                <w:lang w:val="en-US" w:eastAsia="zh-CN"/>
              </w:rPr>
              <w:t>注塑后</w:t>
            </w:r>
            <w:r>
              <w:rPr>
                <w:rFonts w:hint="eastAsia" w:ascii="Times New Roman" w:hAnsi="Times New Roman" w:cs="Times New Roman"/>
                <w:bCs/>
                <w:color w:val="auto"/>
                <w:sz w:val="21"/>
                <w:szCs w:val="21"/>
                <w:lang w:val="en-US" w:eastAsia="zh-CN"/>
              </w:rPr>
              <w:t>的模具进行水冷</w:t>
            </w:r>
            <w:r>
              <w:rPr>
                <w:rFonts w:hint="default" w:ascii="Times New Roman" w:hAnsi="Times New Roman" w:cs="Times New Roman"/>
                <w:bCs/>
                <w:color w:val="auto"/>
                <w:sz w:val="21"/>
                <w:szCs w:val="21"/>
                <w:lang w:val="en-US" w:eastAsia="zh-CN"/>
              </w:rPr>
              <w:t>干燥，得到成品保温钉。</w:t>
            </w:r>
          </w:p>
          <w:p>
            <w:pPr>
              <w:autoSpaceDE w:val="0"/>
              <w:spacing w:line="360" w:lineRule="auto"/>
              <w:ind w:firstLine="420"/>
              <w:rPr>
                <w:rFonts w:hint="default" w:ascii="Times New Roman" w:hAnsi="Times New Roman" w:cs="Times New Roman"/>
                <w:bCs/>
                <w:color w:val="auto"/>
                <w:sz w:val="21"/>
                <w:szCs w:val="21"/>
                <w:lang w:val="en-US" w:eastAsia="zh-CN"/>
              </w:rPr>
            </w:pPr>
            <w:r>
              <w:rPr>
                <w:rFonts w:hint="eastAsia" w:cs="Times New Roman"/>
                <w:bCs/>
                <w:color w:val="auto"/>
                <w:sz w:val="21"/>
                <w:szCs w:val="21"/>
                <w:lang w:val="en-US" w:eastAsia="zh-CN"/>
              </w:rPr>
              <w:t>（6）检验外售：成品保温钉进行人工检验，不合格品外售，合格品打包入库、待售。</w:t>
            </w:r>
          </w:p>
          <w:p>
            <w:pPr>
              <w:autoSpaceDE w:val="0"/>
              <w:spacing w:line="360" w:lineRule="auto"/>
              <w:ind w:firstLine="420"/>
              <w:rPr>
                <w:rFonts w:hint="default" w:ascii="Times New Roman" w:hAnsi="Times New Roman" w:cs="Times New Roman"/>
                <w:bCs/>
                <w:color w:val="auto"/>
                <w:sz w:val="21"/>
                <w:szCs w:val="21"/>
                <w:lang w:val="en-US" w:eastAsia="zh-CN"/>
              </w:rPr>
            </w:pPr>
            <w:r>
              <w:rPr>
                <w:rFonts w:hint="default" w:ascii="Times New Roman" w:hAnsi="Times New Roman" w:cs="Times New Roman"/>
                <w:bCs/>
                <w:color w:val="auto"/>
                <w:sz w:val="21"/>
                <w:szCs w:val="21"/>
                <w:lang w:val="en-US" w:eastAsia="zh-CN"/>
              </w:rPr>
              <w:t>工艺流程图如下图所示：</w:t>
            </w:r>
          </w:p>
          <w:p>
            <w:pPr>
              <w:autoSpaceDE w:val="0"/>
              <w:spacing w:line="360" w:lineRule="auto"/>
              <w:jc w:val="center"/>
              <w:rPr>
                <w:rFonts w:hint="default" w:ascii="Times New Roman" w:hAnsi="Times New Roman" w:cs="Times New Roman"/>
                <w:bCs/>
                <w:color w:val="auto"/>
                <w:sz w:val="21"/>
                <w:szCs w:val="21"/>
              </w:rPr>
            </w:pPr>
            <w:r>
              <w:rPr>
                <w:rFonts w:hint="default" w:ascii="Times New Roman" w:hAnsi="Times New Roman" w:eastAsia="黑体" w:cs="Times New Roman"/>
                <w:sz w:val="24"/>
              </w:rPr>
              <w:object>
                <v:shape id="_x0000_i1026" o:spt="75" type="#_x0000_t75" style="height:99.35pt;width:314.5pt;" o:ole="t" filled="f" o:preferrelative="t" stroked="f" coordsize="21600,21600">
                  <v:path/>
                  <v:fill on="f" focussize="0,0"/>
                  <v:stroke on="f"/>
                  <v:imagedata r:id="rId18" o:title=""/>
                  <o:lock v:ext="edit" aspectratio="f"/>
                  <w10:wrap type="none"/>
                  <w10:anchorlock/>
                </v:shape>
                <o:OLEObject Type="Embed" ProgID="Visio.Drawing.11" ShapeID="_x0000_i1026" DrawAspect="Content" ObjectID="_1468075726" r:id="rId17">
                  <o:LockedField>false</o:LockedField>
                </o:OLEObject>
              </w:object>
            </w:r>
          </w:p>
          <w:p>
            <w:pPr>
              <w:autoSpaceDE w:val="0"/>
              <w:spacing w:line="36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b/>
                <w:bCs/>
                <w:color w:val="auto"/>
                <w:sz w:val="21"/>
                <w:szCs w:val="21"/>
              </w:rPr>
              <w:t>图</w:t>
            </w:r>
            <w:r>
              <w:rPr>
                <w:rFonts w:hint="eastAsia" w:cs="Times New Roman"/>
                <w:b/>
                <w:bCs/>
                <w:color w:val="auto"/>
                <w:sz w:val="21"/>
                <w:szCs w:val="21"/>
                <w:lang w:val="en-US" w:eastAsia="zh-CN"/>
              </w:rPr>
              <w:t xml:space="preserve">2 </w:t>
            </w:r>
            <w:r>
              <w:rPr>
                <w:rFonts w:hint="default" w:ascii="Times New Roman" w:hAnsi="Times New Roman" w:cs="Times New Roman"/>
                <w:b/>
                <w:bCs/>
                <w:color w:val="auto"/>
                <w:sz w:val="21"/>
                <w:szCs w:val="21"/>
              </w:rPr>
              <w:t xml:space="preserve"> 工艺流程图</w:t>
            </w:r>
          </w:p>
          <w:p>
            <w:pPr>
              <w:autoSpaceDE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b/>
                <w:color w:val="auto"/>
                <w:sz w:val="21"/>
                <w:szCs w:val="21"/>
              </w:rPr>
              <w:t>表</w:t>
            </w:r>
            <w:r>
              <w:rPr>
                <w:rFonts w:hint="eastAsia" w:cs="Times New Roman"/>
                <w:b/>
                <w:color w:val="auto"/>
                <w:sz w:val="21"/>
                <w:szCs w:val="21"/>
                <w:lang w:val="en-US" w:eastAsia="zh-CN"/>
              </w:rPr>
              <w:t>14</w:t>
            </w:r>
            <w:r>
              <w:rPr>
                <w:rFonts w:hint="default" w:ascii="Times New Roman" w:hAnsi="Times New Roman" w:cs="Times New Roman"/>
                <w:b/>
                <w:color w:val="auto"/>
                <w:sz w:val="21"/>
                <w:szCs w:val="21"/>
              </w:rPr>
              <w:t xml:space="preserve"> 主要污染工序</w:t>
            </w:r>
          </w:p>
          <w:tbl>
            <w:tblPr>
              <w:tblStyle w:val="20"/>
              <w:tblW w:w="8389"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466"/>
              <w:gridCol w:w="1246"/>
              <w:gridCol w:w="1290"/>
              <w:gridCol w:w="945"/>
              <w:gridCol w:w="750"/>
              <w:gridCol w:w="3692"/>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类别</w:t>
                  </w: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污染源</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主要污染物</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产生特征</w:t>
                  </w:r>
                </w:p>
              </w:tc>
              <w:tc>
                <w:tcPr>
                  <w:tcW w:w="75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排放去向</w:t>
                  </w:r>
                </w:p>
              </w:tc>
              <w:tc>
                <w:tcPr>
                  <w:tcW w:w="369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处理措施</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废气</w:t>
                  </w: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注塑</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非甲烷总烃</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连续</w:t>
                  </w:r>
                </w:p>
              </w:tc>
              <w:tc>
                <w:tcPr>
                  <w:tcW w:w="75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排入大气</w:t>
                  </w:r>
                </w:p>
              </w:tc>
              <w:tc>
                <w:tcPr>
                  <w:tcW w:w="3692" w:type="dxa"/>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r>
                    <w:rPr>
                      <w:rFonts w:hint="eastAsia" w:cs="Times New Roman"/>
                      <w:sz w:val="21"/>
                      <w:szCs w:val="21"/>
                      <w:lang w:val="en-US" w:eastAsia="zh-CN"/>
                    </w:rPr>
                    <w:t>每台注塑机上方设置集气罩</w:t>
                  </w:r>
                  <w:r>
                    <w:rPr>
                      <w:rFonts w:hint="default" w:ascii="Times New Roman" w:hAnsi="Times New Roman" w:cs="Times New Roman"/>
                      <w:color w:val="auto"/>
                      <w:sz w:val="21"/>
                      <w:szCs w:val="21"/>
                    </w:rPr>
                    <w:t>（0.6m×0.</w:t>
                  </w:r>
                  <w:r>
                    <w:rPr>
                      <w:rFonts w:hint="eastAsia" w:cs="Times New Roman"/>
                      <w:color w:val="auto"/>
                      <w:sz w:val="21"/>
                      <w:szCs w:val="21"/>
                      <w:lang w:val="en-US" w:eastAsia="zh-CN"/>
                    </w:rPr>
                    <w:t>5</w:t>
                  </w:r>
                  <w:r>
                    <w:rPr>
                      <w:rFonts w:hint="default" w:ascii="Times New Roman" w:hAnsi="Times New Roman" w:cs="Times New Roman"/>
                      <w:color w:val="auto"/>
                      <w:sz w:val="21"/>
                      <w:szCs w:val="21"/>
                    </w:rPr>
                    <w:t>m）</w:t>
                  </w:r>
                  <w:r>
                    <w:rPr>
                      <w:rFonts w:hint="eastAsia" w:cs="Times New Roman"/>
                      <w:sz w:val="21"/>
                      <w:szCs w:val="21"/>
                      <w:lang w:val="en-US" w:eastAsia="zh-CN"/>
                    </w:rPr>
                    <w:t>，收集的废气引入1套</w:t>
                  </w:r>
                  <w:r>
                    <w:rPr>
                      <w:rFonts w:hint="default" w:ascii="Times New Roman" w:hAnsi="Times New Roman" w:eastAsia="宋体" w:cs="Times New Roman"/>
                      <w:sz w:val="21"/>
                      <w:szCs w:val="21"/>
                    </w:rPr>
                    <w:t>过滤棉箱+活性炭吸附/脱附+催化燃烧装置</w:t>
                  </w:r>
                  <w:r>
                    <w:rPr>
                      <w:rFonts w:hint="eastAsia" w:cs="Times New Roman"/>
                      <w:sz w:val="21"/>
                      <w:szCs w:val="21"/>
                      <w:lang w:val="en-US" w:eastAsia="zh-CN"/>
                    </w:rPr>
                    <w:t>处理后经</w:t>
                  </w:r>
                  <w:r>
                    <w:rPr>
                      <w:rFonts w:hint="default" w:ascii="Times New Roman" w:hAnsi="Times New Roman" w:eastAsia="宋体" w:cs="Times New Roman"/>
                      <w:sz w:val="21"/>
                      <w:szCs w:val="21"/>
                    </w:rPr>
                    <w:t>15m排气筒</w:t>
                  </w:r>
                  <w:r>
                    <w:rPr>
                      <w:rFonts w:hint="eastAsia" w:cs="Times New Roman"/>
                      <w:sz w:val="21"/>
                      <w:szCs w:val="21"/>
                      <w:lang w:val="en-US" w:eastAsia="zh-CN"/>
                    </w:rPr>
                    <w:t>排放</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噪声</w:t>
                  </w: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生产设备运行</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噪声</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连续</w:t>
                  </w:r>
                </w:p>
              </w:tc>
              <w:tc>
                <w:tcPr>
                  <w:tcW w:w="75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排入环境</w:t>
                  </w:r>
                </w:p>
              </w:tc>
              <w:tc>
                <w:tcPr>
                  <w:tcW w:w="369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厂房隔声，基础减振</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废水</w:t>
                  </w: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生活污水</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COD、SS</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不外排</w:t>
                  </w:r>
                </w:p>
              </w:tc>
              <w:tc>
                <w:tcPr>
                  <w:tcW w:w="3692" w:type="dxa"/>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泼洒抑尘</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设备循环冷却水</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COD、SS</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连续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循环使用，不外排</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固废</w:t>
                  </w: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拆包</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废包装材料</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不外排</w:t>
                  </w:r>
                </w:p>
              </w:tc>
              <w:tc>
                <w:tcPr>
                  <w:tcW w:w="3692"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暂存一般固废区，集中收集外售</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注塑</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不合格品</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r>
                    <w:rPr>
                      <w:rFonts w:hint="eastAsia" w:cs="Times New Roman"/>
                      <w:sz w:val="21"/>
                      <w:szCs w:val="21"/>
                      <w:lang w:val="en-US" w:eastAsia="zh-CN"/>
                    </w:rPr>
                    <w:t>钢筋加工</w:t>
                  </w:r>
                </w:p>
              </w:tc>
              <w:tc>
                <w:tcPr>
                  <w:tcW w:w="1290" w:type="dxa"/>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r>
                    <w:rPr>
                      <w:rFonts w:hint="eastAsia" w:cs="Times New Roman"/>
                      <w:sz w:val="21"/>
                      <w:szCs w:val="21"/>
                      <w:lang w:val="en-US" w:eastAsia="zh-CN"/>
                    </w:rPr>
                    <w:t>废钢筋</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设备维护</w:t>
                  </w:r>
                </w:p>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保养</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废润滑油</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定期交有资质单位处理</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废油桶</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有机废气治理设备</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废过滤棉</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废催化剂</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废活性炭</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466"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124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职工生活</w:t>
                  </w:r>
                </w:p>
              </w:tc>
              <w:tc>
                <w:tcPr>
                  <w:tcW w:w="129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生活垃圾</w:t>
                  </w:r>
                </w:p>
              </w:tc>
              <w:tc>
                <w:tcPr>
                  <w:tcW w:w="94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间断</w:t>
                  </w:r>
                </w:p>
              </w:tc>
              <w:tc>
                <w:tcPr>
                  <w:tcW w:w="75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p>
              </w:tc>
              <w:tc>
                <w:tcPr>
                  <w:tcW w:w="369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集中收集交环卫部门处理</w:t>
                  </w:r>
                </w:p>
              </w:tc>
            </w:tr>
          </w:tbl>
          <w:p>
            <w:pPr>
              <w:spacing w:line="360" w:lineRule="auto"/>
              <w:ind w:firstLine="0" w:firstLineChars="0"/>
              <w:rPr>
                <w:rFonts w:hint="default" w:ascii="Times New Roman" w:hAnsi="Times New Roman" w:cs="Times New Roman"/>
                <w:color w:val="auto"/>
                <w:kern w:val="0"/>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2" w:type="pct"/>
            <w:tcBorders>
              <w:top w:val="single" w:color="auto" w:sz="4" w:space="0"/>
              <w:left w:val="single" w:color="auto" w:sz="8" w:space="0"/>
              <w:bottom w:val="single" w:color="auto" w:sz="8" w:space="0"/>
              <w:right w:val="single" w:color="auto" w:sz="4" w:space="0"/>
            </w:tcBorders>
            <w:vAlign w:val="center"/>
          </w:tcPr>
          <w:p>
            <w:pPr>
              <w:autoSpaceDE w:val="0"/>
              <w:adjustRightInd w:val="0"/>
              <w:snapToGrid w:val="0"/>
              <w:spacing w:line="240" w:lineRule="atLeast"/>
              <w:ind w:firstLine="0" w:firstLineChars="0"/>
              <w:jc w:val="center"/>
              <w:rPr>
                <w:rFonts w:hint="eastAsia" w:ascii="Times New Roman" w:hAnsi="Times New Roman" w:eastAsia="宋体" w:cs="Times New Roman"/>
                <w:color w:val="auto"/>
                <w:sz w:val="21"/>
                <w:szCs w:val="21"/>
                <w:lang w:val="en-US" w:eastAsia="zh-CN"/>
              </w:rPr>
            </w:pPr>
            <w:r>
              <w:rPr>
                <w:rFonts w:hint="default" w:ascii="Times New Roman" w:hAnsi="Times New Roman" w:cs="Times New Roman"/>
                <w:bCs/>
                <w:color w:val="auto"/>
                <w:sz w:val="21"/>
                <w:szCs w:val="21"/>
              </w:rPr>
              <w:t>与项目有关的原有环境污染</w:t>
            </w:r>
            <w:r>
              <w:rPr>
                <w:rFonts w:hint="eastAsia" w:cs="Times New Roman"/>
                <w:bCs/>
                <w:color w:val="auto"/>
                <w:sz w:val="21"/>
                <w:szCs w:val="21"/>
                <w:lang w:val="en-US" w:eastAsia="zh-CN"/>
              </w:rPr>
              <w:t>问题</w:t>
            </w:r>
          </w:p>
        </w:tc>
        <w:tc>
          <w:tcPr>
            <w:tcW w:w="4657" w:type="pct"/>
            <w:tcBorders>
              <w:top w:val="single" w:color="auto" w:sz="4" w:space="0"/>
              <w:left w:val="single" w:color="auto" w:sz="4" w:space="0"/>
              <w:bottom w:val="single" w:color="auto" w:sz="8" w:space="0"/>
              <w:right w:val="single" w:color="auto" w:sz="8" w:space="0"/>
            </w:tcBorders>
          </w:tcPr>
          <w:p>
            <w:pPr>
              <w:autoSpaceDE w:val="0"/>
              <w:spacing w:line="360" w:lineRule="auto"/>
              <w:ind w:firstLine="420"/>
              <w:rPr>
                <w:rFonts w:hint="default" w:ascii="Times New Roman" w:hAnsi="Times New Roman" w:cs="Times New Roman"/>
                <w:bCs/>
                <w:color w:val="auto"/>
                <w:sz w:val="21"/>
                <w:szCs w:val="21"/>
              </w:rPr>
            </w:pPr>
          </w:p>
          <w:p>
            <w:pPr>
              <w:autoSpaceDE w:val="0"/>
              <w:spacing w:line="360" w:lineRule="auto"/>
              <w:ind w:firstLine="420"/>
              <w:rPr>
                <w:rFonts w:hint="default" w:ascii="Times New Roman" w:hAnsi="Times New Roman" w:cs="Times New Roman"/>
                <w:bCs/>
                <w:color w:val="auto"/>
                <w:sz w:val="21"/>
                <w:szCs w:val="21"/>
              </w:rPr>
            </w:pPr>
          </w:p>
          <w:p>
            <w:pPr>
              <w:autoSpaceDE w:val="0"/>
              <w:spacing w:line="360" w:lineRule="auto"/>
              <w:ind w:firstLine="420"/>
              <w:rPr>
                <w:rFonts w:hint="default" w:ascii="Times New Roman" w:hAnsi="Times New Roman" w:cs="Times New Roman"/>
                <w:bCs/>
                <w:color w:val="auto"/>
                <w:sz w:val="21"/>
                <w:szCs w:val="21"/>
              </w:rPr>
            </w:pPr>
          </w:p>
          <w:p>
            <w:pPr>
              <w:autoSpaceDE w:val="0"/>
              <w:spacing w:line="360" w:lineRule="auto"/>
              <w:ind w:firstLine="420"/>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项目为新建，</w:t>
            </w:r>
            <w:r>
              <w:rPr>
                <w:rFonts w:hint="eastAsia" w:cs="Times New Roman"/>
                <w:bCs/>
                <w:color w:val="auto"/>
                <w:sz w:val="21"/>
                <w:szCs w:val="21"/>
                <w:lang w:val="en-US" w:eastAsia="zh-CN"/>
              </w:rPr>
              <w:t>租赁现有闲置厂房，经现场踏勘，</w:t>
            </w:r>
            <w:r>
              <w:rPr>
                <w:rFonts w:hint="default" w:ascii="Times New Roman" w:hAnsi="Times New Roman" w:cs="Times New Roman"/>
                <w:bCs/>
                <w:color w:val="auto"/>
                <w:sz w:val="21"/>
                <w:szCs w:val="21"/>
              </w:rPr>
              <w:t>无原有环境问题，无其他污染情况。</w:t>
            </w:r>
          </w:p>
          <w:p>
            <w:pPr>
              <w:autoSpaceDE w:val="0"/>
              <w:spacing w:line="360" w:lineRule="auto"/>
              <w:ind w:firstLine="420"/>
              <w:rPr>
                <w:rFonts w:hint="default" w:ascii="Times New Roman" w:hAnsi="Times New Roman" w:cs="Times New Roman"/>
                <w:bCs/>
                <w:color w:val="auto"/>
                <w:sz w:val="21"/>
                <w:szCs w:val="21"/>
              </w:rPr>
            </w:pPr>
          </w:p>
          <w:p>
            <w:pPr>
              <w:spacing w:line="240" w:lineRule="auto"/>
              <w:ind w:firstLine="0" w:firstLineChars="0"/>
              <w:rPr>
                <w:rFonts w:hint="default" w:ascii="Times New Roman" w:hAnsi="Times New Roman" w:cs="Times New Roman"/>
                <w:color w:val="auto"/>
                <w:sz w:val="21"/>
                <w:szCs w:val="21"/>
              </w:rPr>
            </w:pPr>
          </w:p>
        </w:tc>
      </w:tr>
    </w:tbl>
    <w:p>
      <w:pPr>
        <w:widowControl/>
        <w:spacing w:line="240" w:lineRule="auto"/>
        <w:ind w:firstLine="0" w:firstLineChars="0"/>
        <w:jc w:val="left"/>
        <w:rPr>
          <w:rFonts w:hint="default" w:ascii="Times New Roman" w:hAnsi="Times New Roman" w:eastAsia="黑体" w:cs="Times New Roman"/>
          <w:color w:val="auto"/>
          <w:sz w:val="36"/>
          <w:szCs w:val="36"/>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type="lines" w:linePitch="312" w:charSpace="0"/>
        </w:sectPr>
      </w:pPr>
    </w:p>
    <w:p>
      <w:pPr>
        <w:autoSpaceDE w:val="0"/>
        <w:snapToGrid w:val="0"/>
        <w:spacing w:before="100" w:beforeAutospacing="1" w:after="100" w:afterAutospacing="1" w:line="240" w:lineRule="auto"/>
        <w:ind w:firstLine="0" w:firstLineChars="0"/>
        <w:jc w:val="center"/>
        <w:outlineLvl w:val="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三、区域环境质量现状、环境保护目标及评价标准</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23"/>
        <w:gridCol w:w="863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1" w:hRule="atLeast"/>
          <w:jc w:val="center"/>
        </w:trPr>
        <w:tc>
          <w:tcPr>
            <w:tcW w:w="426" w:type="dxa"/>
            <w:tcBorders>
              <w:top w:val="single" w:color="auto" w:sz="8"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区域</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环境</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质量</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现状</w:t>
            </w:r>
          </w:p>
        </w:tc>
        <w:tc>
          <w:tcPr>
            <w:tcW w:w="8618" w:type="dxa"/>
            <w:tcBorders>
              <w:top w:val="single" w:color="auto" w:sz="8" w:space="0"/>
              <w:left w:val="single" w:color="auto" w:sz="4" w:space="0"/>
              <w:bottom w:val="single" w:color="auto" w:sz="4" w:space="0"/>
              <w:right w:val="single" w:color="auto" w:sz="8" w:space="0"/>
            </w:tcBorders>
            <w:vAlign w:val="center"/>
          </w:tcPr>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1、环境空气质量现状评价</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(1)环境空气质量达标区判定</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根据唐山市生态环境局网站公布的《2022年唐山市环境状况公报》：</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2022年全市优良天数275天，同比增加19天，优良天数比例为75.3%，同比提高5.2个百分点。重度污染以上天数3天，占比0.8%，同比减少5天。全市空气质量综合指数4.47，同比下降10.6%，排名全国168个重点监测城市倒38名，较2021年提升30个位次。</w:t>
            </w:r>
          </w:p>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kern w:val="0"/>
                <w:sz w:val="21"/>
                <w:szCs w:val="21"/>
              </w:rPr>
              <w:t>2022年，全市细颗粒物（PM</w:t>
            </w:r>
            <w:r>
              <w:rPr>
                <w:rFonts w:hint="default" w:ascii="Times New Roman" w:hAnsi="Times New Roman" w:cs="Times New Roman"/>
                <w:color w:val="auto"/>
                <w:kern w:val="0"/>
                <w:sz w:val="21"/>
                <w:szCs w:val="21"/>
                <w:vertAlign w:val="subscript"/>
              </w:rPr>
              <w:t>2.5</w:t>
            </w:r>
            <w:r>
              <w:rPr>
                <w:rFonts w:hint="default" w:ascii="Times New Roman" w:hAnsi="Times New Roman" w:cs="Times New Roman"/>
                <w:color w:val="auto"/>
                <w:kern w:val="0"/>
                <w:sz w:val="21"/>
                <w:szCs w:val="21"/>
              </w:rPr>
              <w:t>）年均浓度为37微克/立方米，可吸入颗粒物（PM</w:t>
            </w:r>
            <w:r>
              <w:rPr>
                <w:rFonts w:hint="default" w:ascii="Times New Roman" w:hAnsi="Times New Roman" w:cs="Times New Roman"/>
                <w:color w:val="auto"/>
                <w:kern w:val="0"/>
                <w:sz w:val="21"/>
                <w:szCs w:val="21"/>
                <w:vertAlign w:val="subscript"/>
              </w:rPr>
              <w:t>10</w:t>
            </w:r>
            <w:r>
              <w:rPr>
                <w:rFonts w:hint="default" w:ascii="Times New Roman" w:hAnsi="Times New Roman" w:cs="Times New Roman"/>
                <w:color w:val="auto"/>
                <w:kern w:val="0"/>
                <w:sz w:val="21"/>
                <w:szCs w:val="21"/>
              </w:rPr>
              <w:t>）年均浓度为67微克/立方米，二氧化硫（SO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）年均浓度为8微克/立方米，二氧化氮（NO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）年均浓度为32微克/立方米，一氧化碳（CO）日均值第95百分位浓度平均为1.5毫克/立方米，臭氧（O</w:t>
            </w:r>
            <w:r>
              <w:rPr>
                <w:rFonts w:hint="default" w:ascii="Times New Roman" w:hAnsi="Times New Roman" w:cs="Times New Roman"/>
                <w:color w:val="auto"/>
                <w:kern w:val="0"/>
                <w:sz w:val="21"/>
                <w:szCs w:val="21"/>
                <w:vertAlign w:val="subscript"/>
              </w:rPr>
              <w:t>3</w:t>
            </w:r>
            <w:r>
              <w:rPr>
                <w:rFonts w:hint="default" w:ascii="Times New Roman" w:hAnsi="Times New Roman" w:cs="Times New Roman"/>
                <w:color w:val="auto"/>
                <w:kern w:val="0"/>
                <w:sz w:val="21"/>
                <w:szCs w:val="21"/>
              </w:rPr>
              <w:t>）日最大8小时平均第90百分位浓度平均为182微克/立方米。</w:t>
            </w:r>
          </w:p>
          <w:p>
            <w:pPr>
              <w:adjustRightInd w:val="0"/>
              <w:snapToGrid w:val="0"/>
              <w:spacing w:line="240" w:lineRule="auto"/>
              <w:ind w:firstLine="0" w:firstLineChars="0"/>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w:t>
            </w:r>
            <w:r>
              <w:rPr>
                <w:rFonts w:hint="eastAsia" w:cs="Times New Roman"/>
                <w:b/>
                <w:bCs/>
                <w:color w:val="auto"/>
                <w:sz w:val="21"/>
                <w:szCs w:val="21"/>
                <w:lang w:val="en-US" w:eastAsia="zh-CN"/>
              </w:rPr>
              <w:t>15</w:t>
            </w:r>
            <w:r>
              <w:rPr>
                <w:rFonts w:hint="default" w:ascii="Times New Roman" w:hAnsi="Times New Roman" w:cs="Times New Roman"/>
                <w:b/>
                <w:bCs/>
                <w:color w:val="auto"/>
                <w:sz w:val="21"/>
                <w:szCs w:val="21"/>
              </w:rPr>
              <w:t xml:space="preserve"> 项目所在区域达标判定结果一览表</w:t>
            </w:r>
          </w:p>
          <w:tbl>
            <w:tblPr>
              <w:tblStyle w:val="20"/>
              <w:tblW w:w="4921" w:type="pct"/>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autofit"/>
              <w:tblCellMar>
                <w:top w:w="0" w:type="dxa"/>
                <w:left w:w="108" w:type="dxa"/>
                <w:bottom w:w="0" w:type="dxa"/>
                <w:right w:w="108" w:type="dxa"/>
              </w:tblCellMar>
            </w:tblPr>
            <w:tblGrid>
              <w:gridCol w:w="959"/>
              <w:gridCol w:w="2511"/>
              <w:gridCol w:w="1955"/>
              <w:gridCol w:w="1715"/>
              <w:gridCol w:w="1119"/>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污染物</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年评价指标</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现状浓度（μg/m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标准值（μg/m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达标情况</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SO</w:t>
                  </w:r>
                  <w:r>
                    <w:rPr>
                      <w:rFonts w:hint="default" w:ascii="Times New Roman" w:hAnsi="Times New Roman" w:eastAsia="宋体" w:cs="Times New Roman"/>
                      <w:color w:val="auto"/>
                      <w:sz w:val="21"/>
                      <w:szCs w:val="21"/>
                      <w:vertAlign w:val="subscript"/>
                    </w:rPr>
                    <w:t>2</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8</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60</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32</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40</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CO</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日平均浓度值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r>
                    <w:rPr>
                      <w:rFonts w:hint="eastAsia" w:cs="Times New Roman"/>
                      <w:color w:val="auto"/>
                      <w:sz w:val="21"/>
                      <w:szCs w:val="21"/>
                      <w:lang w:val="en-US" w:eastAsia="zh-CN"/>
                    </w:rPr>
                    <w:t>5</w:t>
                  </w:r>
                  <w:r>
                    <w:rPr>
                      <w:rFonts w:hint="default" w:ascii="Times New Roman" w:hAnsi="Times New Roman" w:eastAsia="宋体" w:cs="Times New Roman"/>
                      <w:color w:val="auto"/>
                      <w:sz w:val="21"/>
                      <w:szCs w:val="21"/>
                      <w:lang w:val="en-US" w:eastAsia="zh-CN"/>
                    </w:rPr>
                    <w:t>00</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4000</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O</w:t>
                  </w:r>
                  <w:r>
                    <w:rPr>
                      <w:rFonts w:hint="default" w:ascii="Times New Roman" w:hAnsi="Times New Roman" w:eastAsia="宋体" w:cs="Times New Roman"/>
                      <w:color w:val="auto"/>
                      <w:sz w:val="21"/>
                      <w:szCs w:val="21"/>
                      <w:vertAlign w:val="subscript"/>
                    </w:rPr>
                    <w:t>3</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日最大8小时平均浓度值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182</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160</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不达标</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10</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67</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70</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cantSplit/>
                <w:trHeight w:val="283" w:hRule="atLeast"/>
                <w:jc w:val="center"/>
              </w:trPr>
              <w:tc>
                <w:tcPr>
                  <w:tcW w:w="581"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2.5</w:t>
                  </w:r>
                </w:p>
              </w:tc>
              <w:tc>
                <w:tcPr>
                  <w:tcW w:w="1520"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年平均质量浓度值</w:t>
                  </w:r>
                </w:p>
              </w:tc>
              <w:tc>
                <w:tcPr>
                  <w:tcW w:w="1183"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37</w:t>
                  </w:r>
                </w:p>
              </w:tc>
              <w:tc>
                <w:tcPr>
                  <w:tcW w:w="1038"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35</w:t>
                  </w:r>
                </w:p>
              </w:tc>
              <w:tc>
                <w:tcPr>
                  <w:tcW w:w="677" w:type="pct"/>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不达标</w:t>
                  </w:r>
                </w:p>
              </w:tc>
            </w:tr>
          </w:tbl>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由上表可知，超标因子为PM</w:t>
            </w:r>
            <w:r>
              <w:rPr>
                <w:rFonts w:hint="default" w:ascii="Times New Roman" w:hAnsi="Times New Roman" w:cs="Times New Roman"/>
                <w:color w:val="auto"/>
                <w:kern w:val="0"/>
                <w:sz w:val="21"/>
                <w:szCs w:val="21"/>
                <w:vertAlign w:val="subscript"/>
              </w:rPr>
              <w:t>2.5</w:t>
            </w:r>
            <w:r>
              <w:rPr>
                <w:rFonts w:hint="default" w:ascii="Times New Roman" w:hAnsi="Times New Roman" w:cs="Times New Roman"/>
                <w:color w:val="auto"/>
                <w:kern w:val="0"/>
                <w:sz w:val="21"/>
                <w:szCs w:val="21"/>
              </w:rPr>
              <w:t>、O</w:t>
            </w:r>
            <w:r>
              <w:rPr>
                <w:rFonts w:hint="default" w:ascii="Times New Roman" w:hAnsi="Times New Roman" w:cs="Times New Roman"/>
                <w:color w:val="auto"/>
                <w:kern w:val="0"/>
                <w:sz w:val="21"/>
                <w:szCs w:val="21"/>
                <w:vertAlign w:val="subscript"/>
              </w:rPr>
              <w:t>3</w:t>
            </w:r>
            <w:r>
              <w:rPr>
                <w:rFonts w:hint="default" w:ascii="Times New Roman" w:hAnsi="Times New Roman" w:cs="Times New Roman"/>
                <w:color w:val="auto"/>
                <w:kern w:val="0"/>
                <w:sz w:val="21"/>
                <w:szCs w:val="21"/>
              </w:rPr>
              <w:t>，根据《环境影响评价技术导则 大气环境》(HJ2.2-2018)，6.4.1.1 城市环境空气质量达标情况评价指标为SO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、NO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、PM</w:t>
            </w:r>
            <w:r>
              <w:rPr>
                <w:rFonts w:hint="default" w:ascii="Times New Roman" w:hAnsi="Times New Roman" w:cs="Times New Roman"/>
                <w:color w:val="auto"/>
                <w:kern w:val="0"/>
                <w:sz w:val="21"/>
                <w:szCs w:val="21"/>
                <w:vertAlign w:val="subscript"/>
              </w:rPr>
              <w:t>10</w:t>
            </w:r>
            <w:r>
              <w:rPr>
                <w:rFonts w:hint="default" w:ascii="Times New Roman" w:hAnsi="Times New Roman" w:cs="Times New Roman"/>
                <w:color w:val="auto"/>
                <w:kern w:val="0"/>
                <w:sz w:val="21"/>
                <w:szCs w:val="21"/>
              </w:rPr>
              <w:t>、PM</w:t>
            </w:r>
            <w:r>
              <w:rPr>
                <w:rFonts w:hint="default" w:ascii="Times New Roman" w:hAnsi="Times New Roman" w:cs="Times New Roman"/>
                <w:color w:val="auto"/>
                <w:kern w:val="0"/>
                <w:sz w:val="21"/>
                <w:szCs w:val="21"/>
                <w:vertAlign w:val="subscript"/>
              </w:rPr>
              <w:t>2.5</w:t>
            </w:r>
            <w:r>
              <w:rPr>
                <w:rFonts w:hint="default" w:ascii="Times New Roman" w:hAnsi="Times New Roman" w:cs="Times New Roman"/>
                <w:color w:val="auto"/>
                <w:kern w:val="0"/>
                <w:sz w:val="21"/>
                <w:szCs w:val="21"/>
              </w:rPr>
              <w:t>、CO和O</w:t>
            </w:r>
            <w:r>
              <w:rPr>
                <w:rFonts w:hint="default" w:ascii="Times New Roman" w:hAnsi="Times New Roman" w:cs="Times New Roman"/>
                <w:color w:val="auto"/>
                <w:kern w:val="0"/>
                <w:sz w:val="21"/>
                <w:szCs w:val="21"/>
                <w:vertAlign w:val="subscript"/>
              </w:rPr>
              <w:t>3</w:t>
            </w:r>
            <w:r>
              <w:rPr>
                <w:rFonts w:hint="default" w:ascii="Times New Roman" w:hAnsi="Times New Roman" w:cs="Times New Roman"/>
                <w:color w:val="auto"/>
                <w:kern w:val="0"/>
                <w:sz w:val="21"/>
                <w:szCs w:val="21"/>
              </w:rPr>
              <w:t>，六项污染物全部达标即为城市环境空气质量达标。通过以上数据判定，项目所在区域环境空气质量不达标，属于不达标区。</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(2)基本污染物环境空气质量现状</w:t>
            </w:r>
          </w:p>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kern w:val="0"/>
                <w:sz w:val="21"/>
                <w:szCs w:val="21"/>
              </w:rPr>
              <w:t>本项目PM</w:t>
            </w:r>
            <w:r>
              <w:rPr>
                <w:rFonts w:hint="default" w:ascii="Times New Roman" w:hAnsi="Times New Roman" w:cs="Times New Roman"/>
                <w:color w:val="auto"/>
                <w:kern w:val="0"/>
                <w:sz w:val="21"/>
                <w:szCs w:val="21"/>
                <w:vertAlign w:val="subscript"/>
              </w:rPr>
              <w:t>10</w:t>
            </w:r>
            <w:r>
              <w:rPr>
                <w:rFonts w:hint="default" w:ascii="Times New Roman" w:hAnsi="Times New Roman" w:cs="Times New Roman"/>
                <w:color w:val="auto"/>
                <w:kern w:val="0"/>
                <w:sz w:val="21"/>
                <w:szCs w:val="21"/>
              </w:rPr>
              <w:t>、PM</w:t>
            </w:r>
            <w:r>
              <w:rPr>
                <w:rFonts w:hint="default" w:ascii="Times New Roman" w:hAnsi="Times New Roman" w:cs="Times New Roman"/>
                <w:color w:val="auto"/>
                <w:kern w:val="0"/>
                <w:sz w:val="21"/>
                <w:szCs w:val="21"/>
                <w:vertAlign w:val="subscript"/>
              </w:rPr>
              <w:t>2.5</w:t>
            </w:r>
            <w:r>
              <w:rPr>
                <w:rFonts w:hint="default" w:ascii="Times New Roman" w:hAnsi="Times New Roman" w:cs="Times New Roman"/>
                <w:color w:val="auto"/>
                <w:kern w:val="0"/>
                <w:sz w:val="21"/>
                <w:szCs w:val="21"/>
              </w:rPr>
              <w:t>、SO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、NO</w:t>
            </w:r>
            <w:r>
              <w:rPr>
                <w:rFonts w:hint="default" w:ascii="Times New Roman" w:hAnsi="Times New Roman" w:cs="Times New Roman"/>
                <w:color w:val="auto"/>
                <w:kern w:val="0"/>
                <w:sz w:val="21"/>
                <w:szCs w:val="21"/>
                <w:vertAlign w:val="subscript"/>
              </w:rPr>
              <w:t>2</w:t>
            </w:r>
            <w:r>
              <w:rPr>
                <w:rFonts w:hint="default" w:ascii="Times New Roman" w:hAnsi="Times New Roman" w:cs="Times New Roman"/>
                <w:color w:val="auto"/>
                <w:kern w:val="0"/>
                <w:sz w:val="21"/>
                <w:szCs w:val="21"/>
              </w:rPr>
              <w:t>、CO、O</w:t>
            </w:r>
            <w:r>
              <w:rPr>
                <w:rFonts w:hint="default" w:ascii="Times New Roman" w:hAnsi="Times New Roman" w:cs="Times New Roman"/>
                <w:color w:val="auto"/>
                <w:kern w:val="0"/>
                <w:sz w:val="21"/>
                <w:szCs w:val="21"/>
                <w:vertAlign w:val="subscript"/>
              </w:rPr>
              <w:t>3</w:t>
            </w:r>
            <w:r>
              <w:rPr>
                <w:rFonts w:hint="default" w:ascii="Times New Roman" w:hAnsi="Times New Roman" w:cs="Times New Roman"/>
                <w:color w:val="auto"/>
                <w:kern w:val="0"/>
                <w:sz w:val="21"/>
                <w:szCs w:val="21"/>
              </w:rPr>
              <w:t>引用《2022年唐山市环境状况公报》中迁安市的六项污染物浓度。监测数据如下</w:t>
            </w:r>
            <w:r>
              <w:rPr>
                <w:rFonts w:hint="default" w:ascii="Times New Roman" w:hAnsi="Times New Roman" w:cs="Times New Roman"/>
                <w:color w:val="auto"/>
                <w:sz w:val="21"/>
                <w:szCs w:val="21"/>
              </w:rPr>
              <w:t>。</w:t>
            </w:r>
          </w:p>
          <w:p>
            <w:pPr>
              <w:adjustRightInd w:val="0"/>
              <w:snapToGrid w:val="0"/>
              <w:spacing w:line="240" w:lineRule="auto"/>
              <w:ind w:firstLine="422"/>
              <w:jc w:val="center"/>
              <w:rPr>
                <w:rFonts w:hint="default" w:ascii="Times New Roman" w:hAnsi="Times New Roman" w:cs="Times New Roman"/>
                <w:color w:val="auto"/>
                <w:sz w:val="21"/>
                <w:szCs w:val="21"/>
              </w:rPr>
            </w:pPr>
            <w:r>
              <w:rPr>
                <w:rFonts w:hint="default" w:ascii="Times New Roman" w:hAnsi="Times New Roman" w:cs="Times New Roman"/>
                <w:b/>
                <w:bCs/>
                <w:color w:val="auto"/>
                <w:sz w:val="21"/>
                <w:szCs w:val="21"/>
              </w:rPr>
              <w:t>表</w:t>
            </w:r>
            <w:r>
              <w:rPr>
                <w:rFonts w:hint="eastAsia" w:cs="Times New Roman"/>
                <w:b/>
                <w:bCs/>
                <w:color w:val="auto"/>
                <w:sz w:val="21"/>
                <w:szCs w:val="21"/>
                <w:lang w:val="en-US" w:eastAsia="zh-CN"/>
              </w:rPr>
              <w:t>16</w:t>
            </w:r>
            <w:r>
              <w:rPr>
                <w:rFonts w:hint="default" w:ascii="Times New Roman" w:hAnsi="Times New Roman" w:cs="Times New Roman"/>
                <w:b/>
                <w:bCs/>
                <w:color w:val="auto"/>
                <w:sz w:val="21"/>
                <w:szCs w:val="21"/>
              </w:rPr>
              <w:t xml:space="preserve">  基本污染物环境空气质量现状评价结果一览表</w:t>
            </w:r>
          </w:p>
          <w:tbl>
            <w:tblPr>
              <w:tblStyle w:val="20"/>
              <w:tblW w:w="849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607"/>
              <w:gridCol w:w="1224"/>
              <w:gridCol w:w="1265"/>
              <w:gridCol w:w="1572"/>
              <w:gridCol w:w="886"/>
              <w:gridCol w:w="10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873"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污染物</w:t>
                  </w:r>
                </w:p>
              </w:tc>
              <w:tc>
                <w:tcPr>
                  <w:tcW w:w="1607"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年评价指标</w:t>
                  </w:r>
                </w:p>
              </w:tc>
              <w:tc>
                <w:tcPr>
                  <w:tcW w:w="1224"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评价标准</w:t>
                  </w:r>
                  <w:r>
                    <w:rPr>
                      <w:rFonts w:hint="default" w:ascii="Times New Roman" w:hAnsi="Times New Roman" w:eastAsia="宋体" w:cs="Times New Roman"/>
                      <w:color w:val="auto"/>
                      <w:sz w:val="21"/>
                      <w:szCs w:val="21"/>
                    </w:rPr>
                    <w:t>（µg/m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w:t>
                  </w:r>
                </w:p>
              </w:tc>
              <w:tc>
                <w:tcPr>
                  <w:tcW w:w="1265"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现状浓度/（µg/m</w:t>
                  </w:r>
                  <w:r>
                    <w:rPr>
                      <w:rFonts w:hint="default" w:ascii="Times New Roman" w:hAnsi="Times New Roman" w:eastAsia="宋体" w:cs="Times New Roman"/>
                      <w:color w:val="auto"/>
                      <w:sz w:val="21"/>
                      <w:szCs w:val="21"/>
                      <w:vertAlign w:val="superscript"/>
                    </w:rPr>
                    <w:t>3</w:t>
                  </w:r>
                  <w:r>
                    <w:rPr>
                      <w:rFonts w:hint="default" w:ascii="Times New Roman" w:hAnsi="Times New Roman" w:eastAsia="宋体" w:cs="Times New Roman"/>
                      <w:color w:val="auto"/>
                      <w:sz w:val="21"/>
                      <w:szCs w:val="21"/>
                    </w:rPr>
                    <w:t>）</w:t>
                  </w:r>
                </w:p>
              </w:tc>
              <w:tc>
                <w:tcPr>
                  <w:tcW w:w="1572"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eastAsia="zh-CN"/>
                    </w:rPr>
                    <w:t>最大浓度</w:t>
                  </w:r>
                  <w:r>
                    <w:rPr>
                      <w:rFonts w:hint="default" w:ascii="Times New Roman" w:hAnsi="Times New Roman" w:eastAsia="宋体" w:cs="Times New Roman"/>
                      <w:color w:val="auto"/>
                      <w:sz w:val="21"/>
                      <w:szCs w:val="21"/>
                    </w:rPr>
                    <w:t>占标率/%</w:t>
                  </w:r>
                </w:p>
              </w:tc>
              <w:tc>
                <w:tcPr>
                  <w:tcW w:w="886"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超标率</w:t>
                  </w:r>
                </w:p>
              </w:tc>
              <w:tc>
                <w:tcPr>
                  <w:tcW w:w="1069" w:type="dxa"/>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873"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c>
                <w:tcPr>
                  <w:tcW w:w="1607"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c>
                <w:tcPr>
                  <w:tcW w:w="1224"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c>
                <w:tcPr>
                  <w:tcW w:w="1265"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c>
                <w:tcPr>
                  <w:tcW w:w="1572"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p>
              </w:tc>
              <w:tc>
                <w:tcPr>
                  <w:tcW w:w="886"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c>
                <w:tcPr>
                  <w:tcW w:w="1069" w:type="dxa"/>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SO</w:t>
                  </w:r>
                  <w:r>
                    <w:rPr>
                      <w:rFonts w:hint="default" w:ascii="Times New Roman" w:hAnsi="Times New Roman" w:eastAsia="宋体" w:cs="Times New Roman"/>
                      <w:color w:val="auto"/>
                      <w:sz w:val="21"/>
                      <w:szCs w:val="21"/>
                      <w:vertAlign w:val="subscript"/>
                    </w:rPr>
                    <w:t>2</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60</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1</w:t>
                  </w:r>
                  <w:r>
                    <w:rPr>
                      <w:rFonts w:hint="eastAsia" w:cs="Times New Roman"/>
                      <w:color w:val="auto"/>
                      <w:sz w:val="21"/>
                      <w:szCs w:val="21"/>
                      <w:lang w:val="en-US" w:eastAsia="zh-CN"/>
                    </w:rPr>
                    <w:t>2</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2</w:t>
                  </w:r>
                  <w:r>
                    <w:rPr>
                      <w:rFonts w:hint="eastAsia" w:cs="Times New Roman"/>
                      <w:color w:val="auto"/>
                      <w:sz w:val="21"/>
                      <w:szCs w:val="21"/>
                      <w:lang w:val="en-US" w:eastAsia="zh-CN"/>
                    </w:rPr>
                    <w:t>0</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NO</w:t>
                  </w:r>
                  <w:r>
                    <w:rPr>
                      <w:rFonts w:hint="default" w:ascii="Times New Roman" w:hAnsi="Times New Roman" w:eastAsia="宋体" w:cs="Times New Roman"/>
                      <w:color w:val="auto"/>
                      <w:sz w:val="21"/>
                      <w:szCs w:val="21"/>
                      <w:vertAlign w:val="subscript"/>
                    </w:rPr>
                    <w:t>2</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40</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28</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70</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lang w:val="en-US" w:eastAsia="zh-CN"/>
                    </w:rPr>
                    <w:t>/</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10</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70</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64</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91.4</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达</w:t>
                  </w:r>
                  <w:r>
                    <w:rPr>
                      <w:rFonts w:hint="default" w:ascii="Times New Roman" w:hAnsi="Times New Roman" w:eastAsia="宋体" w:cs="Times New Roman"/>
                      <w:color w:val="auto"/>
                      <w:sz w:val="21"/>
                      <w:szCs w:val="21"/>
                    </w:rPr>
                    <w:t>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PM</w:t>
                  </w:r>
                  <w:r>
                    <w:rPr>
                      <w:rFonts w:hint="default" w:ascii="Times New Roman" w:hAnsi="Times New Roman" w:eastAsia="宋体" w:cs="Times New Roman"/>
                      <w:color w:val="auto"/>
                      <w:sz w:val="21"/>
                      <w:szCs w:val="21"/>
                      <w:vertAlign w:val="subscript"/>
                    </w:rPr>
                    <w:t>2.5</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年平均质量浓度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35</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26</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74.3</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lang w:eastAsia="zh-CN"/>
                    </w:rPr>
                    <w:t>达标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CO</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24h平均质量浓度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4</w:t>
                  </w:r>
                  <w:r>
                    <w:rPr>
                      <w:rFonts w:hint="default" w:ascii="Times New Roman" w:hAnsi="Times New Roman" w:eastAsia="宋体" w:cs="Times New Roman"/>
                      <w:color w:val="auto"/>
                      <w:sz w:val="21"/>
                      <w:szCs w:val="21"/>
                      <w:lang w:val="en-US" w:eastAsia="zh-CN"/>
                    </w:rPr>
                    <w:t>000</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rPr>
                  </w:pPr>
                  <w:r>
                    <w:rPr>
                      <w:rFonts w:hint="eastAsia" w:cs="Times New Roman"/>
                      <w:color w:val="auto"/>
                      <w:sz w:val="21"/>
                      <w:szCs w:val="21"/>
                      <w:lang w:val="en-US" w:eastAsia="zh-CN"/>
                    </w:rPr>
                    <w:t>1600</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40</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达标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73"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O</w:t>
                  </w:r>
                  <w:r>
                    <w:rPr>
                      <w:rFonts w:hint="default" w:ascii="Times New Roman" w:hAnsi="Times New Roman" w:eastAsia="宋体" w:cs="Times New Roman"/>
                      <w:color w:val="auto"/>
                      <w:sz w:val="21"/>
                      <w:szCs w:val="21"/>
                      <w:vertAlign w:val="subscript"/>
                    </w:rPr>
                    <w:t>3</w:t>
                  </w:r>
                </w:p>
              </w:tc>
              <w:tc>
                <w:tcPr>
                  <w:tcW w:w="1607"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日最大8h平均质量浓度</w:t>
                  </w:r>
                </w:p>
              </w:tc>
              <w:tc>
                <w:tcPr>
                  <w:tcW w:w="1224"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160</w:t>
                  </w:r>
                </w:p>
              </w:tc>
              <w:tc>
                <w:tcPr>
                  <w:tcW w:w="1265"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180</w:t>
                  </w:r>
                </w:p>
              </w:tc>
              <w:tc>
                <w:tcPr>
                  <w:tcW w:w="1572"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112.5</w:t>
                  </w:r>
                  <w:r>
                    <w:rPr>
                      <w:rFonts w:hint="default" w:ascii="Times New Roman" w:hAnsi="Times New Roman" w:eastAsia="宋体" w:cs="Times New Roman"/>
                      <w:color w:val="auto"/>
                      <w:sz w:val="21"/>
                      <w:szCs w:val="21"/>
                    </w:rPr>
                    <w:t>%</w:t>
                  </w:r>
                </w:p>
              </w:tc>
              <w:tc>
                <w:tcPr>
                  <w:tcW w:w="886"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12.5%</w:t>
                  </w:r>
                </w:p>
              </w:tc>
              <w:tc>
                <w:tcPr>
                  <w:tcW w:w="1069" w:type="dxa"/>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不</w:t>
                  </w:r>
                  <w:r>
                    <w:rPr>
                      <w:rFonts w:hint="default" w:ascii="Times New Roman" w:hAnsi="Times New Roman" w:eastAsia="宋体" w:cs="Times New Roman"/>
                      <w:color w:val="auto"/>
                      <w:sz w:val="21"/>
                      <w:szCs w:val="21"/>
                    </w:rPr>
                    <w:t>达标</w:t>
                  </w:r>
                </w:p>
              </w:tc>
            </w:tr>
          </w:tbl>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本区域监测期间环境空气质量PM</w:t>
            </w:r>
            <w:r>
              <w:rPr>
                <w:rFonts w:hint="default" w:ascii="Times New Roman" w:hAnsi="Times New Roman" w:cs="Times New Roman"/>
                <w:color w:val="auto"/>
                <w:kern w:val="0"/>
                <w:sz w:val="21"/>
                <w:szCs w:val="21"/>
                <w:vertAlign w:val="subscript"/>
              </w:rPr>
              <w:t>10</w:t>
            </w:r>
            <w:r>
              <w:rPr>
                <w:rFonts w:hint="default" w:ascii="Times New Roman" w:hAnsi="Times New Roman" w:cs="Times New Roman"/>
                <w:color w:val="auto"/>
                <w:kern w:val="0"/>
                <w:sz w:val="21"/>
                <w:szCs w:val="21"/>
              </w:rPr>
              <w:t>不能满足《环境空气质量标准》（GB3095-2012）及其修改单中二级标准要求。</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(3)其他污染物环境空气质量现状</w:t>
            </w:r>
          </w:p>
          <w:p>
            <w:pPr>
              <w:autoSpaceDE w:val="0"/>
              <w:spacing w:line="360" w:lineRule="auto"/>
              <w:ind w:firstLine="420"/>
              <w:rPr>
                <w:rFonts w:hint="eastAsia" w:ascii="Times New Roman" w:hAnsi="Times New Roman" w:eastAsia="宋体" w:cs="Times New Roman"/>
                <w:b/>
                <w:bCs/>
                <w:color w:val="auto"/>
                <w:kern w:val="0"/>
                <w:sz w:val="21"/>
                <w:szCs w:val="21"/>
                <w:lang w:val="en-US" w:eastAsia="zh-CN"/>
              </w:rPr>
            </w:pPr>
            <w:r>
              <w:rPr>
                <w:rFonts w:hint="default" w:ascii="Times New Roman" w:hAnsi="Times New Roman" w:cs="Times New Roman"/>
                <w:color w:val="auto"/>
                <w:kern w:val="0"/>
                <w:sz w:val="21"/>
                <w:szCs w:val="21"/>
              </w:rPr>
              <w:t>本项目特征污染物为非甲烷总烃，</w:t>
            </w:r>
            <w:r>
              <w:rPr>
                <w:rFonts w:hint="eastAsia" w:ascii="Times New Roman" w:hAnsi="Times New Roman" w:cs="Times New Roman"/>
                <w:color w:val="auto"/>
                <w:kern w:val="0"/>
                <w:sz w:val="21"/>
                <w:szCs w:val="21"/>
                <w:lang w:val="en-US" w:eastAsia="zh-CN"/>
              </w:rPr>
              <w:t>本项目于2023年1月6日—8日委托河北嘉清环境检测技术服务有限公司进行检测</w:t>
            </w:r>
            <w:r>
              <w:rPr>
                <w:rFonts w:hint="default" w:ascii="Times New Roman" w:hAnsi="Times New Roman" w:cs="Times New Roman"/>
                <w:color w:val="auto"/>
                <w:kern w:val="0"/>
                <w:sz w:val="21"/>
                <w:szCs w:val="21"/>
              </w:rPr>
              <w:t>，</w:t>
            </w:r>
            <w:r>
              <w:rPr>
                <w:rFonts w:hint="eastAsia" w:ascii="Times New Roman" w:hAnsi="Times New Roman" w:cs="Times New Roman"/>
                <w:color w:val="auto"/>
                <w:kern w:val="0"/>
                <w:sz w:val="21"/>
                <w:szCs w:val="21"/>
                <w:lang w:val="en-US" w:eastAsia="zh-CN"/>
              </w:rPr>
              <w:t>检</w:t>
            </w:r>
            <w:r>
              <w:rPr>
                <w:rFonts w:hint="eastAsia" w:cs="Times New Roman"/>
                <w:color w:val="auto"/>
                <w:sz w:val="21"/>
                <w:szCs w:val="21"/>
                <w:lang w:val="en-US" w:eastAsia="zh-CN"/>
              </w:rPr>
              <w:t>测结果如下：</w:t>
            </w:r>
          </w:p>
          <w:p>
            <w:pPr>
              <w:widowControl/>
              <w:autoSpaceDE w:val="0"/>
              <w:spacing w:line="240" w:lineRule="auto"/>
              <w:ind w:firstLine="0" w:firstLineChars="0"/>
              <w:jc w:val="center"/>
              <w:rPr>
                <w:rFonts w:hint="default" w:ascii="Times New Roman" w:hAnsi="Times New Roman" w:cs="Times New Roman"/>
                <w:b/>
                <w:bCs/>
                <w:color w:val="auto"/>
                <w:kern w:val="0"/>
                <w:sz w:val="21"/>
                <w:szCs w:val="21"/>
              </w:rPr>
            </w:pPr>
            <w:r>
              <w:rPr>
                <w:rFonts w:hint="default" w:ascii="Times New Roman" w:hAnsi="Times New Roman" w:cs="Times New Roman"/>
                <w:b/>
                <w:bCs/>
                <w:color w:val="auto"/>
                <w:kern w:val="0"/>
                <w:sz w:val="21"/>
                <w:szCs w:val="21"/>
              </w:rPr>
              <w:t>表</w:t>
            </w:r>
            <w:r>
              <w:rPr>
                <w:rFonts w:hint="eastAsia" w:cs="Times New Roman"/>
                <w:b/>
                <w:bCs/>
                <w:color w:val="auto"/>
                <w:kern w:val="0"/>
                <w:sz w:val="21"/>
                <w:szCs w:val="21"/>
                <w:lang w:val="en-US" w:eastAsia="zh-CN"/>
              </w:rPr>
              <w:t>17</w:t>
            </w:r>
            <w:r>
              <w:rPr>
                <w:rFonts w:hint="default" w:ascii="Times New Roman" w:hAnsi="Times New Roman" w:cs="Times New Roman"/>
                <w:b/>
                <w:bCs/>
                <w:color w:val="auto"/>
                <w:kern w:val="0"/>
                <w:sz w:val="21"/>
                <w:szCs w:val="21"/>
              </w:rPr>
              <w:t xml:space="preserve">  其他污染物环境空气质量现状评价结果一览表</w:t>
            </w:r>
          </w:p>
          <w:tbl>
            <w:tblPr>
              <w:tblStyle w:val="20"/>
              <w:tblW w:w="83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49"/>
              <w:gridCol w:w="885"/>
              <w:gridCol w:w="960"/>
              <w:gridCol w:w="1083"/>
              <w:gridCol w:w="1445"/>
              <w:gridCol w:w="1170"/>
              <w:gridCol w:w="1022"/>
              <w:gridCol w:w="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949"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污染物</w:t>
                  </w:r>
                </w:p>
              </w:tc>
              <w:tc>
                <w:tcPr>
                  <w:tcW w:w="885"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监测点</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平均时间</w:t>
                  </w:r>
                </w:p>
              </w:tc>
              <w:tc>
                <w:tcPr>
                  <w:tcW w:w="1083"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标准值(</w:t>
                  </w:r>
                  <w:r>
                    <w:rPr>
                      <w:rFonts w:hint="eastAsia" w:cs="Times New Roman"/>
                      <w:color w:val="auto"/>
                      <w:sz w:val="21"/>
                      <w:szCs w:val="21"/>
                      <w:lang w:val="en-US" w:eastAsia="zh-CN"/>
                    </w:rPr>
                    <w:t>m</w:t>
                  </w:r>
                  <w:r>
                    <w:rPr>
                      <w:rFonts w:hint="default" w:ascii="Times New Roman" w:hAnsi="Times New Roman" w:cs="Times New Roman"/>
                      <w:color w:val="auto"/>
                      <w:sz w:val="21"/>
                      <w:szCs w:val="21"/>
                    </w:rPr>
                    <w:t>g/m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w:t>
                  </w:r>
                </w:p>
              </w:tc>
              <w:tc>
                <w:tcPr>
                  <w:tcW w:w="1445"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浓度范围(</w:t>
                  </w:r>
                  <w:r>
                    <w:rPr>
                      <w:rFonts w:hint="eastAsia" w:cs="Times New Roman"/>
                      <w:color w:val="auto"/>
                      <w:sz w:val="21"/>
                      <w:szCs w:val="21"/>
                      <w:lang w:val="en-US" w:eastAsia="zh-CN"/>
                    </w:rPr>
                    <w:t>m</w:t>
                  </w:r>
                  <w:r>
                    <w:rPr>
                      <w:rFonts w:hint="default" w:ascii="Times New Roman" w:hAnsi="Times New Roman" w:cs="Times New Roman"/>
                      <w:color w:val="auto"/>
                      <w:sz w:val="21"/>
                      <w:szCs w:val="21"/>
                    </w:rPr>
                    <w:t>g/m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w:t>
                  </w:r>
                </w:p>
              </w:tc>
              <w:tc>
                <w:tcPr>
                  <w:tcW w:w="1170"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最大浓度占标率(%)</w:t>
                  </w:r>
                </w:p>
              </w:tc>
              <w:tc>
                <w:tcPr>
                  <w:tcW w:w="1022"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超标率</w:t>
                  </w:r>
                </w:p>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804" w:type="dxa"/>
                  <w:vMerge w:val="restart"/>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达标情况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jc w:val="center"/>
              </w:trPr>
              <w:tc>
                <w:tcPr>
                  <w:tcW w:w="94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885"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1083"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1445"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117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102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c>
                <w:tcPr>
                  <w:tcW w:w="80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auto"/>
                    <w:ind w:firstLine="0" w:firstLineChars="0"/>
                    <w:jc w:val="left"/>
                    <w:rPr>
                      <w:rFonts w:hint="default" w:ascii="Times New Roman" w:hAnsi="Times New Roman" w:cs="Times New Roman"/>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3" w:hRule="atLeast"/>
                <w:jc w:val="center"/>
              </w:trPr>
              <w:tc>
                <w:tcPr>
                  <w:tcW w:w="949"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非甲烷总烃</w:t>
                  </w:r>
                </w:p>
              </w:tc>
              <w:tc>
                <w:tcPr>
                  <w:tcW w:w="885"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val="en-US" w:eastAsia="zh-CN"/>
                    </w:rPr>
                    <w:t>项目厂区</w:t>
                  </w:r>
                </w:p>
              </w:tc>
              <w:tc>
                <w:tcPr>
                  <w:tcW w:w="960"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24小时平均</w:t>
                  </w:r>
                </w:p>
              </w:tc>
              <w:tc>
                <w:tcPr>
                  <w:tcW w:w="1083"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2.0</w:t>
                  </w:r>
                </w:p>
              </w:tc>
              <w:tc>
                <w:tcPr>
                  <w:tcW w:w="1445"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0.81~0.99</w:t>
                  </w:r>
                </w:p>
              </w:tc>
              <w:tc>
                <w:tcPr>
                  <w:tcW w:w="1170"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49.5</w:t>
                  </w:r>
                </w:p>
              </w:tc>
              <w:tc>
                <w:tcPr>
                  <w:tcW w:w="1022"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0</w:t>
                  </w:r>
                </w:p>
              </w:tc>
              <w:tc>
                <w:tcPr>
                  <w:tcW w:w="804"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达标</w:t>
                  </w:r>
                </w:p>
              </w:tc>
            </w:tr>
          </w:tbl>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由监测结果可知，监测点非甲烷总烃24小时平均最大浓度占标率为</w:t>
            </w:r>
            <w:r>
              <w:rPr>
                <w:rFonts w:hint="eastAsia" w:cs="Times New Roman"/>
                <w:color w:val="auto"/>
                <w:sz w:val="21"/>
                <w:szCs w:val="21"/>
                <w:lang w:val="en-US" w:eastAsia="zh-CN"/>
              </w:rPr>
              <w:t>49.5</w:t>
            </w:r>
            <w:r>
              <w:rPr>
                <w:rFonts w:hint="default" w:ascii="Times New Roman" w:hAnsi="Times New Roman" w:cs="Times New Roman"/>
                <w:color w:val="auto"/>
                <w:sz w:val="21"/>
                <w:szCs w:val="21"/>
              </w:rPr>
              <w:t>%，满足《环境空气质量标准》(GB3095-2012)二级标准。</w:t>
            </w:r>
          </w:p>
          <w:p>
            <w:pPr>
              <w:autoSpaceDE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2、声环境质量现状</w:t>
            </w:r>
          </w:p>
          <w:p>
            <w:pPr>
              <w:autoSpaceDE w:val="0"/>
              <w:spacing w:line="360" w:lineRule="auto"/>
              <w:ind w:firstLine="420"/>
              <w:rPr>
                <w:rFonts w:hint="default" w:ascii="Times New Roman" w:hAnsi="Times New Roman" w:cs="Times New Roman"/>
                <w:color w:val="auto"/>
                <w:kern w:val="0"/>
              </w:rPr>
            </w:pPr>
            <w:r>
              <w:rPr>
                <w:rFonts w:hint="default" w:ascii="Times New Roman" w:hAnsi="Times New Roman" w:cs="Times New Roman"/>
                <w:color w:val="auto"/>
                <w:kern w:val="0"/>
                <w:sz w:val="21"/>
                <w:szCs w:val="21"/>
              </w:rPr>
              <w:t>项目位于2类声环境功能区，厂界外50m内无声环境保护目标，所在区域内声环境质量较好。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26" w:type="dxa"/>
            <w:tcBorders>
              <w:top w:val="single" w:color="auto" w:sz="4"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环境</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保护</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目标</w:t>
            </w:r>
          </w:p>
        </w:tc>
        <w:tc>
          <w:tcPr>
            <w:tcW w:w="8618" w:type="dxa"/>
            <w:tcBorders>
              <w:top w:val="single" w:color="auto" w:sz="4" w:space="0"/>
              <w:left w:val="single" w:color="auto" w:sz="4" w:space="0"/>
              <w:bottom w:val="single" w:color="auto" w:sz="4" w:space="0"/>
              <w:right w:val="single" w:color="auto" w:sz="8" w:space="0"/>
            </w:tcBorders>
            <w:vAlign w:val="center"/>
          </w:tcPr>
          <w:p>
            <w:pPr>
              <w:autoSpaceDE w:val="0"/>
              <w:adjustRightInd w:val="0"/>
              <w:snapToGrid w:val="0"/>
              <w:spacing w:line="360" w:lineRule="auto"/>
              <w:ind w:firstLine="420"/>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厂界500m 范围内无自然保护区、风景名胜区、文化区等保护目标，距离本项目最近的环境敏感点为北侧</w:t>
            </w:r>
            <w:r>
              <w:rPr>
                <w:rFonts w:hint="eastAsia" w:cs="Times New Roman"/>
                <w:color w:val="auto"/>
                <w:kern w:val="0"/>
                <w:sz w:val="21"/>
                <w:szCs w:val="21"/>
                <w:lang w:val="en-US" w:eastAsia="zh-CN"/>
              </w:rPr>
              <w:t>363</w:t>
            </w:r>
            <w:r>
              <w:rPr>
                <w:rFonts w:hint="default" w:ascii="Times New Roman" w:hAnsi="Times New Roman" w:cs="Times New Roman"/>
                <w:color w:val="auto"/>
                <w:kern w:val="0"/>
                <w:sz w:val="21"/>
                <w:szCs w:val="21"/>
              </w:rPr>
              <w:t>m 处的</w:t>
            </w:r>
            <w:r>
              <w:rPr>
                <w:rFonts w:hint="eastAsia" w:ascii="Times New Roman" w:hAnsi="Times New Roman" w:cs="Times New Roman"/>
                <w:sz w:val="21"/>
                <w:szCs w:val="21"/>
                <w:lang w:val="en-US" w:eastAsia="zh-CN"/>
              </w:rPr>
              <w:t>邵家营</w:t>
            </w:r>
            <w:r>
              <w:rPr>
                <w:rFonts w:hint="default" w:ascii="Times New Roman" w:hAnsi="Times New Roman" w:cs="Times New Roman"/>
                <w:sz w:val="21"/>
                <w:szCs w:val="21"/>
              </w:rPr>
              <w:t>村</w:t>
            </w:r>
            <w:r>
              <w:rPr>
                <w:rFonts w:hint="default" w:ascii="Times New Roman" w:hAnsi="Times New Roman" w:cs="Times New Roman"/>
                <w:color w:val="auto"/>
                <w:kern w:val="0"/>
                <w:sz w:val="21"/>
                <w:szCs w:val="21"/>
              </w:rPr>
              <w:t>。厂界外50m内无声环境保护目标。厂界外 500m 范围内无地下水集中式饮用水水源和热水、矿泉水、温泉等特殊地下水资源。评价范围内环境保护目标见</w:t>
            </w:r>
            <w:r>
              <w:rPr>
                <w:rFonts w:hint="eastAsia" w:cs="Times New Roman"/>
                <w:color w:val="auto"/>
                <w:kern w:val="0"/>
                <w:sz w:val="21"/>
                <w:szCs w:val="21"/>
                <w:lang w:val="en-US" w:eastAsia="zh-CN"/>
              </w:rPr>
              <w:t>下</w:t>
            </w:r>
            <w:r>
              <w:rPr>
                <w:rFonts w:hint="default" w:ascii="Times New Roman" w:hAnsi="Times New Roman" w:cs="Times New Roman"/>
                <w:color w:val="auto"/>
                <w:kern w:val="0"/>
                <w:sz w:val="21"/>
                <w:szCs w:val="21"/>
              </w:rPr>
              <w:t>表。</w:t>
            </w:r>
          </w:p>
          <w:p>
            <w:pPr>
              <w:autoSpaceDE w:val="0"/>
              <w:adjustRightInd w:val="0"/>
              <w:snapToGrid w:val="0"/>
              <w:spacing w:line="240" w:lineRule="auto"/>
              <w:jc w:val="center"/>
              <w:rPr>
                <w:rFonts w:hint="eastAsia" w:ascii="Microsoft YaHei UI" w:eastAsia="Microsoft YaHei UI"/>
                <w:b/>
                <w:sz w:val="21"/>
              </w:rPr>
            </w:pPr>
            <w:r>
              <w:rPr>
                <w:rFonts w:hint="default" w:ascii="Times New Roman" w:hAnsi="Times New Roman" w:eastAsia="Microsoft YaHei UI" w:cs="Times New Roman"/>
                <w:b/>
                <w:sz w:val="21"/>
              </w:rPr>
              <w:t>表</w:t>
            </w:r>
            <w:r>
              <w:rPr>
                <w:rFonts w:hint="default" w:ascii="Times New Roman" w:hAnsi="Times New Roman" w:eastAsia="宋体" w:cs="Times New Roman"/>
                <w:b/>
                <w:spacing w:val="-11"/>
                <w:sz w:val="21"/>
                <w:lang w:val="en-US" w:eastAsia="zh-CN"/>
              </w:rPr>
              <w:t>18</w:t>
            </w:r>
            <w:r>
              <w:rPr>
                <w:rFonts w:hint="default" w:ascii="Times New Roman" w:hAnsi="Times New Roman" w:eastAsia="Times New Roman" w:cs="Times New Roman"/>
                <w:b/>
                <w:sz w:val="21"/>
              </w:rPr>
              <w:tab/>
            </w:r>
            <w:r>
              <w:rPr>
                <w:rFonts w:hint="eastAsia" w:ascii="Microsoft YaHei UI" w:eastAsia="Microsoft YaHei UI"/>
                <w:b/>
                <w:sz w:val="21"/>
              </w:rPr>
              <w:t>项目环境保护目标一览表</w:t>
            </w:r>
          </w:p>
          <w:tbl>
            <w:tblPr>
              <w:tblStyle w:val="20"/>
              <w:tblW w:w="836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0" w:type="dxa"/>
                <w:bottom w:w="0" w:type="dxa"/>
                <w:right w:w="0" w:type="dxa"/>
              </w:tblCellMar>
            </w:tblPr>
            <w:tblGrid>
              <w:gridCol w:w="636"/>
              <w:gridCol w:w="974"/>
              <w:gridCol w:w="480"/>
              <w:gridCol w:w="1231"/>
              <w:gridCol w:w="1094"/>
              <w:gridCol w:w="988"/>
              <w:gridCol w:w="630"/>
              <w:gridCol w:w="2335"/>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316" w:hRule="atLeast"/>
                <w:jc w:val="center"/>
              </w:trPr>
              <w:tc>
                <w:tcPr>
                  <w:tcW w:w="636"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类别</w:t>
                  </w:r>
                </w:p>
              </w:tc>
              <w:tc>
                <w:tcPr>
                  <w:tcW w:w="974"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保护目标</w:t>
                  </w:r>
                </w:p>
              </w:tc>
              <w:tc>
                <w:tcPr>
                  <w:tcW w:w="48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方位</w:t>
                  </w:r>
                </w:p>
              </w:tc>
              <w:tc>
                <w:tcPr>
                  <w:tcW w:w="2325"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坐标</w:t>
                  </w:r>
                </w:p>
              </w:tc>
              <w:tc>
                <w:tcPr>
                  <w:tcW w:w="988"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与本项目距离</w:t>
                  </w:r>
                </w:p>
              </w:tc>
              <w:tc>
                <w:tcPr>
                  <w:tcW w:w="63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功能</w:t>
                  </w:r>
                </w:p>
              </w:tc>
              <w:tc>
                <w:tcPr>
                  <w:tcW w:w="2335"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级别</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355" w:hRule="atLeast"/>
                <w:jc w:val="center"/>
              </w:trPr>
              <w:tc>
                <w:tcPr>
                  <w:tcW w:w="636"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97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48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231"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经度</w:t>
                  </w:r>
                </w:p>
              </w:tc>
              <w:tc>
                <w:tcPr>
                  <w:tcW w:w="1094"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纬度</w:t>
                  </w:r>
                </w:p>
              </w:tc>
              <w:tc>
                <w:tcPr>
                  <w:tcW w:w="988"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3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2335"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68" w:hRule="atLeast"/>
                <w:jc w:val="center"/>
              </w:trPr>
              <w:tc>
                <w:tcPr>
                  <w:tcW w:w="63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环境空气</w:t>
                  </w:r>
                </w:p>
              </w:tc>
              <w:tc>
                <w:tcPr>
                  <w:tcW w:w="974"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邵家营</w:t>
                  </w:r>
                  <w:r>
                    <w:rPr>
                      <w:rFonts w:hint="default" w:ascii="Times New Roman" w:hAnsi="Times New Roman" w:cs="Times New Roman"/>
                      <w:sz w:val="21"/>
                      <w:szCs w:val="21"/>
                    </w:rPr>
                    <w:t>村</w:t>
                  </w:r>
                </w:p>
              </w:tc>
              <w:tc>
                <w:tcPr>
                  <w:tcW w:w="48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N</w:t>
                  </w:r>
                </w:p>
              </w:tc>
              <w:tc>
                <w:tcPr>
                  <w:tcW w:w="1231"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118.66686°</w:t>
                  </w:r>
                </w:p>
              </w:tc>
              <w:tc>
                <w:tcPr>
                  <w:tcW w:w="1094"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39.87753°</w:t>
                  </w:r>
                </w:p>
              </w:tc>
              <w:tc>
                <w:tcPr>
                  <w:tcW w:w="98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363</w:t>
                  </w:r>
                  <w:r>
                    <w:rPr>
                      <w:rFonts w:hint="default" w:ascii="Times New Roman" w:hAnsi="Times New Roman" w:cs="Times New Roman"/>
                      <w:sz w:val="21"/>
                      <w:szCs w:val="21"/>
                    </w:rPr>
                    <w:t>m</w:t>
                  </w:r>
                </w:p>
              </w:tc>
              <w:tc>
                <w:tcPr>
                  <w:tcW w:w="63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居住</w:t>
                  </w:r>
                </w:p>
              </w:tc>
              <w:tc>
                <w:tcPr>
                  <w:tcW w:w="23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《环境空气质量标准》（GB3095－2012）二类区</w:t>
                  </w:r>
                </w:p>
              </w:tc>
            </w:tr>
          </w:tbl>
          <w:p>
            <w:pPr>
              <w:bidi w:val="0"/>
              <w:rPr>
                <w:rFonts w:hint="default"/>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26" w:type="dxa"/>
            <w:tcBorders>
              <w:top w:val="single" w:color="auto" w:sz="4" w:space="0"/>
              <w:left w:val="single" w:color="auto" w:sz="8"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污染</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物排</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放控</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制标</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准</w:t>
            </w:r>
          </w:p>
        </w:tc>
        <w:tc>
          <w:tcPr>
            <w:tcW w:w="8618" w:type="dxa"/>
            <w:tcBorders>
              <w:top w:val="single" w:color="auto" w:sz="4" w:space="0"/>
              <w:left w:val="single" w:color="auto" w:sz="4" w:space="0"/>
              <w:bottom w:val="single" w:color="auto" w:sz="4" w:space="0"/>
              <w:right w:val="single" w:color="auto" w:sz="8" w:space="0"/>
            </w:tcBorders>
            <w:vAlign w:val="center"/>
          </w:tcPr>
          <w:p>
            <w:pPr>
              <w:widowControl/>
              <w:spacing w:line="360" w:lineRule="auto"/>
              <w:ind w:firstLine="480" w:firstLineChars="0"/>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1、废气</w:t>
            </w:r>
          </w:p>
          <w:p>
            <w:pPr>
              <w:autoSpaceDE w:val="0"/>
              <w:spacing w:line="360" w:lineRule="auto"/>
              <w:ind w:firstLine="420" w:firstLineChars="200"/>
              <w:jc w:val="both"/>
              <w:rPr>
                <w:rFonts w:hint="default" w:ascii="Times New Roman" w:hAnsi="Times New Roman" w:cs="Times New Roman"/>
                <w:color w:val="auto"/>
                <w:kern w:val="24"/>
                <w:sz w:val="21"/>
                <w:szCs w:val="21"/>
              </w:rPr>
            </w:pPr>
            <w:r>
              <w:rPr>
                <w:rFonts w:hint="default" w:ascii="Times New Roman" w:hAnsi="Times New Roman" w:cs="Times New Roman"/>
                <w:color w:val="auto"/>
                <w:kern w:val="24"/>
                <w:sz w:val="21"/>
                <w:szCs w:val="21"/>
              </w:rPr>
              <w:t>废气中非甲烷总烃有组织排放浓度执行《合成树脂工业污染物排放标准》（GB 31572-2015）表 5 大气污染物特别排放限值，同时要求满足河北省十一个行业重污染天气应急减排措施制定技术指南（试行）中塑料制品行业绩效分级指标（B级企业）要求；无组织排放浓度执行《工业企业挥发性有机物排放控制标准》（DB13/2322-2016）表 2 限值要求；同时要求满足《挥发性有机物无组织排放控制标准》（GB37822-2019）表 A.1 的要求</w:t>
            </w:r>
            <w:r>
              <w:rPr>
                <w:rFonts w:hint="eastAsia" w:cs="Times New Roman"/>
                <w:color w:val="auto"/>
                <w:kern w:val="24"/>
                <w:sz w:val="21"/>
                <w:szCs w:val="21"/>
                <w:lang w:eastAsia="zh-CN"/>
              </w:rPr>
              <w:t>。</w:t>
            </w:r>
            <w:r>
              <w:rPr>
                <w:rFonts w:hint="default" w:ascii="Times New Roman" w:hAnsi="Times New Roman" w:cs="Times New Roman"/>
                <w:color w:val="auto"/>
                <w:kern w:val="24"/>
                <w:sz w:val="21"/>
                <w:szCs w:val="21"/>
              </w:rPr>
              <w:t xml:space="preserve"> </w:t>
            </w:r>
          </w:p>
          <w:p>
            <w:pPr>
              <w:autoSpaceDE w:val="0"/>
              <w:spacing w:line="360" w:lineRule="auto"/>
              <w:ind w:firstLine="0" w:firstLineChars="0"/>
              <w:jc w:val="center"/>
              <w:rPr>
                <w:rFonts w:hint="default" w:ascii="Times New Roman" w:hAnsi="Times New Roman" w:cs="Times New Roman"/>
                <w:b/>
                <w:color w:val="auto"/>
                <w:sz w:val="21"/>
                <w:szCs w:val="21"/>
              </w:rPr>
            </w:pPr>
            <w:r>
              <w:rPr>
                <w:rFonts w:hint="default" w:ascii="Times New Roman" w:hAnsi="Times New Roman" w:cs="Times New Roman"/>
                <w:b/>
                <w:color w:val="auto"/>
                <w:sz w:val="21"/>
                <w:szCs w:val="21"/>
              </w:rPr>
              <w:t>表</w:t>
            </w:r>
            <w:r>
              <w:rPr>
                <w:rFonts w:hint="eastAsia" w:cs="Times New Roman"/>
                <w:b/>
                <w:color w:val="auto"/>
                <w:sz w:val="21"/>
                <w:szCs w:val="21"/>
                <w:lang w:val="en-US" w:eastAsia="zh-CN"/>
              </w:rPr>
              <w:t>19</w:t>
            </w:r>
            <w:r>
              <w:rPr>
                <w:rFonts w:hint="default" w:ascii="Times New Roman" w:hAnsi="Times New Roman" w:cs="Times New Roman"/>
                <w:b/>
                <w:color w:val="auto"/>
                <w:sz w:val="21"/>
                <w:szCs w:val="21"/>
              </w:rPr>
              <w:t xml:space="preserve">  运营期废气执行标准</w:t>
            </w:r>
          </w:p>
          <w:tbl>
            <w:tblPr>
              <w:tblStyle w:val="20"/>
              <w:tblW w:w="8257"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0" w:type="dxa"/>
                <w:bottom w:w="0" w:type="dxa"/>
                <w:right w:w="0" w:type="dxa"/>
              </w:tblCellMar>
            </w:tblPr>
            <w:tblGrid>
              <w:gridCol w:w="564"/>
              <w:gridCol w:w="1162"/>
              <w:gridCol w:w="2028"/>
              <w:gridCol w:w="612"/>
              <w:gridCol w:w="705"/>
              <w:gridCol w:w="318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5" w:hRule="atLeast"/>
                <w:jc w:val="center"/>
              </w:trPr>
              <w:tc>
                <w:tcPr>
                  <w:tcW w:w="564"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项目</w:t>
                  </w:r>
                </w:p>
              </w:tc>
              <w:tc>
                <w:tcPr>
                  <w:tcW w:w="116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污染物名称</w:t>
                  </w:r>
                </w:p>
              </w:tc>
              <w:tc>
                <w:tcPr>
                  <w:tcW w:w="2640"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标准值</w:t>
                  </w:r>
                </w:p>
              </w:tc>
              <w:tc>
                <w:tcPr>
                  <w:tcW w:w="70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单位</w:t>
                  </w:r>
                </w:p>
              </w:tc>
              <w:tc>
                <w:tcPr>
                  <w:tcW w:w="318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标准来源</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7" w:hRule="atLeast"/>
                <w:jc w:val="center"/>
              </w:trPr>
              <w:tc>
                <w:tcPr>
                  <w:tcW w:w="564"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注塑</w:t>
                  </w:r>
                </w:p>
              </w:tc>
              <w:tc>
                <w:tcPr>
                  <w:tcW w:w="116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非甲烷总烃</w:t>
                  </w: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生产车间或生产设施排气筒</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60</w:t>
                  </w:r>
                </w:p>
              </w:tc>
              <w:tc>
                <w:tcPr>
                  <w:tcW w:w="70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mg/m</w:t>
                  </w:r>
                  <w:r>
                    <w:rPr>
                      <w:rFonts w:hint="default" w:ascii="Times New Roman" w:hAnsi="Times New Roman" w:cs="Times New Roman"/>
                      <w:sz w:val="21"/>
                      <w:szCs w:val="21"/>
                      <w:vertAlign w:val="superscript"/>
                    </w:rPr>
                    <w:t>3</w:t>
                  </w:r>
                </w:p>
              </w:tc>
              <w:tc>
                <w:tcPr>
                  <w:tcW w:w="318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《合成树脂工业污染物排放标准》（GB 31572-2015）表5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7" w:hRule="atLeast"/>
                <w:jc w:val="center"/>
              </w:trPr>
              <w:tc>
                <w:tcPr>
                  <w:tcW w:w="56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62"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非甲烷总烃</w:t>
                  </w: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生产车间或生产设施排气筒</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30</w:t>
                  </w:r>
                </w:p>
              </w:tc>
              <w:tc>
                <w:tcPr>
                  <w:tcW w:w="70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mg/m</w:t>
                  </w:r>
                  <w:r>
                    <w:rPr>
                      <w:rFonts w:hint="default" w:ascii="Times New Roman" w:hAnsi="Times New Roman" w:cs="Times New Roman"/>
                      <w:sz w:val="21"/>
                      <w:szCs w:val="21"/>
                      <w:vertAlign w:val="superscript"/>
                    </w:rPr>
                    <w:t>3</w:t>
                  </w:r>
                </w:p>
              </w:tc>
              <w:tc>
                <w:tcPr>
                  <w:tcW w:w="3186"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河北省十一个行业重污染天气应急减排措施制定技术指南（试行）中塑料制品行业绩效分级指标（B级企业）</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6" w:hRule="atLeast"/>
                <w:jc w:val="center"/>
              </w:trPr>
              <w:tc>
                <w:tcPr>
                  <w:tcW w:w="56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62"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去除效率</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80</w:t>
                  </w:r>
                </w:p>
              </w:tc>
              <w:tc>
                <w:tcPr>
                  <w:tcW w:w="70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w:t>
                  </w:r>
                </w:p>
              </w:tc>
              <w:tc>
                <w:tcPr>
                  <w:tcW w:w="3186"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7" w:hRule="atLeast"/>
                <w:jc w:val="center"/>
              </w:trPr>
              <w:tc>
                <w:tcPr>
                  <w:tcW w:w="56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6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非甲烷总烃</w:t>
                  </w: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厂界无组织</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2.0</w:t>
                  </w:r>
                </w:p>
              </w:tc>
              <w:tc>
                <w:tcPr>
                  <w:tcW w:w="705" w:type="dxa"/>
                  <w:tcBorders>
                    <w:tl2br w:val="nil"/>
                    <w:tr2bl w:val="nil"/>
                  </w:tcBorders>
                  <w:vAlign w:val="center"/>
                </w:tcPr>
                <w:p>
                  <w:pPr>
                    <w:bidi w:val="0"/>
                    <w:spacing w:line="240" w:lineRule="auto"/>
                    <w:ind w:left="0" w:leftChars="0" w:right="0" w:rightChars="0"/>
                    <w:jc w:val="center"/>
                    <w:rPr>
                      <w:rFonts w:hint="default" w:ascii="Times New Roman" w:hAnsi="Times New Roman" w:cs="Times New Roman"/>
                      <w:sz w:val="21"/>
                      <w:szCs w:val="21"/>
                    </w:rPr>
                  </w:pPr>
                  <w:r>
                    <w:rPr>
                      <w:rFonts w:hint="default" w:ascii="Times New Roman" w:hAnsi="Times New Roman" w:cs="Times New Roman"/>
                      <w:sz w:val="21"/>
                      <w:szCs w:val="21"/>
                    </w:rPr>
                    <w:t>mg/m</w:t>
                  </w:r>
                  <w:r>
                    <w:rPr>
                      <w:rFonts w:hint="default" w:ascii="Times New Roman" w:hAnsi="Times New Roman" w:cs="Times New Roman"/>
                      <w:sz w:val="21"/>
                      <w:szCs w:val="21"/>
                      <w:vertAlign w:val="superscript"/>
                    </w:rPr>
                    <w:t>3</w:t>
                  </w:r>
                </w:p>
              </w:tc>
              <w:tc>
                <w:tcPr>
                  <w:tcW w:w="318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《工业企业挥发性有机物排放控制标准》（DB13/2322-2016）表2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7" w:hRule="atLeast"/>
                <w:jc w:val="center"/>
              </w:trPr>
              <w:tc>
                <w:tcPr>
                  <w:tcW w:w="56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62"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非甲烷总烃</w:t>
                  </w: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厂房外监测点处1h平均浓度值</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6</w:t>
                  </w:r>
                </w:p>
              </w:tc>
              <w:tc>
                <w:tcPr>
                  <w:tcW w:w="705" w:type="dxa"/>
                  <w:tcBorders>
                    <w:tl2br w:val="nil"/>
                    <w:tr2bl w:val="nil"/>
                  </w:tcBorders>
                  <w:vAlign w:val="center"/>
                </w:tcPr>
                <w:p>
                  <w:pPr>
                    <w:bidi w:val="0"/>
                    <w:spacing w:line="240" w:lineRule="auto"/>
                    <w:ind w:left="0" w:leftChars="0" w:right="0" w:rightChars="0"/>
                    <w:jc w:val="center"/>
                    <w:rPr>
                      <w:rFonts w:hint="default" w:ascii="Times New Roman" w:hAnsi="Times New Roman" w:cs="Times New Roman"/>
                      <w:sz w:val="21"/>
                      <w:szCs w:val="21"/>
                    </w:rPr>
                  </w:pPr>
                  <w:r>
                    <w:rPr>
                      <w:rFonts w:hint="default" w:ascii="Times New Roman" w:hAnsi="Times New Roman" w:cs="Times New Roman"/>
                      <w:sz w:val="21"/>
                      <w:szCs w:val="21"/>
                    </w:rPr>
                    <w:t>mg/m</w:t>
                  </w:r>
                  <w:r>
                    <w:rPr>
                      <w:rFonts w:hint="default" w:ascii="Times New Roman" w:hAnsi="Times New Roman" w:cs="Times New Roman"/>
                      <w:sz w:val="21"/>
                      <w:szCs w:val="21"/>
                      <w:vertAlign w:val="superscript"/>
                    </w:rPr>
                    <w:t>3</w:t>
                  </w:r>
                </w:p>
              </w:tc>
              <w:tc>
                <w:tcPr>
                  <w:tcW w:w="3186"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《挥发性有机物无组织排放控制标准》（GB37822-2019） 表A.1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3" w:hRule="atLeast"/>
                <w:jc w:val="center"/>
              </w:trPr>
              <w:tc>
                <w:tcPr>
                  <w:tcW w:w="56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62"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202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厂房外监测点处任意一次浓度值</w:t>
                  </w:r>
                </w:p>
              </w:tc>
              <w:tc>
                <w:tcPr>
                  <w:tcW w:w="612"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20</w:t>
                  </w:r>
                </w:p>
              </w:tc>
              <w:tc>
                <w:tcPr>
                  <w:tcW w:w="705" w:type="dxa"/>
                  <w:tcBorders>
                    <w:tl2br w:val="nil"/>
                    <w:tr2bl w:val="nil"/>
                  </w:tcBorders>
                  <w:vAlign w:val="center"/>
                </w:tcPr>
                <w:p>
                  <w:pPr>
                    <w:bidi w:val="0"/>
                    <w:spacing w:line="240" w:lineRule="auto"/>
                    <w:ind w:left="0" w:leftChars="0" w:right="0" w:rightChars="0"/>
                    <w:jc w:val="center"/>
                    <w:rPr>
                      <w:rFonts w:hint="default" w:ascii="Times New Roman" w:hAnsi="Times New Roman" w:cs="Times New Roman"/>
                      <w:sz w:val="21"/>
                      <w:szCs w:val="21"/>
                    </w:rPr>
                  </w:pPr>
                  <w:r>
                    <w:rPr>
                      <w:rFonts w:hint="default" w:ascii="Times New Roman" w:hAnsi="Times New Roman" w:cs="Times New Roman"/>
                      <w:sz w:val="21"/>
                      <w:szCs w:val="21"/>
                    </w:rPr>
                    <w:t>mg/m</w:t>
                  </w:r>
                  <w:r>
                    <w:rPr>
                      <w:rFonts w:hint="default" w:ascii="Times New Roman" w:hAnsi="Times New Roman" w:cs="Times New Roman"/>
                      <w:sz w:val="21"/>
                      <w:szCs w:val="21"/>
                      <w:vertAlign w:val="superscript"/>
                    </w:rPr>
                    <w:t>3</w:t>
                  </w:r>
                </w:p>
              </w:tc>
              <w:tc>
                <w:tcPr>
                  <w:tcW w:w="3186"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r>
          </w:tbl>
          <w:p>
            <w:pPr>
              <w:spacing w:line="360" w:lineRule="auto"/>
              <w:ind w:firstLine="422"/>
              <w:rPr>
                <w:rFonts w:hint="default" w:ascii="Times New Roman" w:hAnsi="Times New Roman" w:cs="Times New Roman"/>
                <w:b/>
                <w:bCs/>
                <w:color w:val="auto"/>
                <w:kern w:val="24"/>
                <w:sz w:val="21"/>
                <w:szCs w:val="21"/>
              </w:rPr>
            </w:pPr>
            <w:r>
              <w:rPr>
                <w:rFonts w:hint="default" w:ascii="Times New Roman" w:hAnsi="Times New Roman" w:cs="Times New Roman"/>
                <w:b/>
                <w:bCs/>
                <w:color w:val="auto"/>
                <w:kern w:val="24"/>
                <w:sz w:val="21"/>
                <w:szCs w:val="21"/>
              </w:rPr>
              <w:t>2、噪声</w:t>
            </w:r>
          </w:p>
          <w:p>
            <w:pPr>
              <w:autoSpaceDE w:val="0"/>
              <w:spacing w:line="360" w:lineRule="auto"/>
              <w:ind w:firstLine="315" w:firstLineChars="150"/>
              <w:jc w:val="both"/>
              <w:rPr>
                <w:rFonts w:hint="default" w:cs="Times New Roman"/>
                <w:color w:val="auto"/>
                <w:sz w:val="21"/>
                <w:szCs w:val="21"/>
                <w:lang w:val="en-US" w:eastAsia="zh-CN"/>
              </w:rPr>
            </w:pPr>
            <w:r>
              <w:rPr>
                <w:rFonts w:hint="default" w:ascii="Times New Roman" w:hAnsi="Times New Roman" w:cs="Times New Roman"/>
                <w:color w:val="auto"/>
                <w:sz w:val="21"/>
                <w:szCs w:val="21"/>
              </w:rPr>
              <w:t>厂界噪声执行《工业企业厂界环境噪声排放标准》（GB12348-2008）</w:t>
            </w:r>
            <w:r>
              <w:rPr>
                <w:rFonts w:hint="eastAsia" w:cs="Times New Roman"/>
                <w:color w:val="auto"/>
                <w:sz w:val="21"/>
                <w:szCs w:val="21"/>
                <w:lang w:val="en-US" w:eastAsia="zh-CN"/>
              </w:rPr>
              <w:t>2类标准</w:t>
            </w:r>
            <w:r>
              <w:rPr>
                <w:rFonts w:hint="default" w:ascii="Times New Roman" w:hAnsi="Times New Roman" w:cs="Times New Roman"/>
                <w:color w:val="auto"/>
                <w:sz w:val="21"/>
                <w:szCs w:val="21"/>
              </w:rPr>
              <w:t>：</w:t>
            </w:r>
            <w:r>
              <w:rPr>
                <w:rFonts w:hint="eastAsia" w:cs="Times New Roman"/>
                <w:color w:val="auto"/>
                <w:sz w:val="21"/>
                <w:szCs w:val="21"/>
                <w:lang w:val="en-US" w:eastAsia="zh-CN"/>
              </w:rPr>
              <w:t>昼间60dB(A)，夜间50dB(A)。</w:t>
            </w:r>
          </w:p>
          <w:p>
            <w:pPr>
              <w:autoSpaceDE w:val="0"/>
              <w:spacing w:line="360" w:lineRule="auto"/>
              <w:ind w:firstLine="422"/>
              <w:rPr>
                <w:rFonts w:hint="default" w:ascii="Times New Roman" w:hAnsi="Times New Roman" w:cs="Times New Roman"/>
                <w:b/>
                <w:bCs/>
                <w:color w:val="auto"/>
                <w:kern w:val="24"/>
                <w:sz w:val="21"/>
                <w:szCs w:val="21"/>
              </w:rPr>
            </w:pPr>
            <w:r>
              <w:rPr>
                <w:rFonts w:hint="default" w:ascii="Times New Roman" w:hAnsi="Times New Roman" w:cs="Times New Roman"/>
                <w:b/>
                <w:bCs/>
                <w:color w:val="auto"/>
                <w:kern w:val="24"/>
                <w:sz w:val="21"/>
                <w:szCs w:val="21"/>
              </w:rPr>
              <w:t>3、固体废物</w:t>
            </w:r>
          </w:p>
          <w:p>
            <w:pPr>
              <w:spacing w:line="360" w:lineRule="auto"/>
              <w:ind w:firstLine="420"/>
              <w:rPr>
                <w:rFonts w:hint="default" w:ascii="Times New Roman" w:hAnsi="Times New Roman" w:cs="Times New Roman"/>
                <w:color w:val="auto"/>
                <w:kern w:val="24"/>
                <w:sz w:val="21"/>
                <w:szCs w:val="21"/>
              </w:rPr>
            </w:pPr>
            <w:r>
              <w:rPr>
                <w:rFonts w:hint="default" w:ascii="Times New Roman" w:hAnsi="Times New Roman" w:cs="Times New Roman"/>
                <w:color w:val="auto"/>
                <w:kern w:val="24"/>
                <w:sz w:val="21"/>
                <w:szCs w:val="21"/>
              </w:rPr>
              <w:t>一般工业固体废物采用库房、包装工具(罐、桶、包装袋等)贮存，贮存过程应满足相应防渗漏、防雨淋、防扬尘等环境保护要求。危险废物执行《危险废物贮存污染控制标准》(GB18597-2001)及其修改单中相关规定要求。</w:t>
            </w:r>
          </w:p>
          <w:p>
            <w:pPr>
              <w:spacing w:line="360" w:lineRule="auto"/>
              <w:ind w:firstLine="420"/>
              <w:rPr>
                <w:rFonts w:hint="default" w:ascii="Times New Roman" w:hAnsi="Times New Roman" w:cs="Times New Roman"/>
                <w:color w:val="auto"/>
                <w:kern w:val="24"/>
                <w:sz w:val="21"/>
                <w:szCs w:val="21"/>
              </w:rPr>
            </w:pPr>
          </w:p>
          <w:p>
            <w:pPr>
              <w:spacing w:line="360" w:lineRule="auto"/>
              <w:ind w:firstLine="420"/>
              <w:rPr>
                <w:rFonts w:hint="default" w:ascii="Times New Roman" w:hAnsi="Times New Roman" w:cs="Times New Roman"/>
                <w:color w:val="auto"/>
                <w:kern w:val="24"/>
                <w:sz w:val="21"/>
                <w:szCs w:val="21"/>
              </w:rPr>
            </w:pPr>
          </w:p>
          <w:p>
            <w:pPr>
              <w:spacing w:line="360" w:lineRule="auto"/>
              <w:ind w:firstLine="420"/>
              <w:rPr>
                <w:rFonts w:hint="default" w:ascii="Times New Roman" w:hAnsi="Times New Roman" w:cs="Times New Roman"/>
                <w:color w:val="auto"/>
                <w:kern w:val="24"/>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426" w:type="dxa"/>
            <w:tcBorders>
              <w:top w:val="single" w:color="auto" w:sz="4" w:space="0"/>
              <w:left w:val="single" w:color="auto" w:sz="8"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总量</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控制</w:t>
            </w:r>
          </w:p>
          <w:p>
            <w:pPr>
              <w:adjustRightInd w:val="0"/>
              <w:snapToGrid w:val="0"/>
              <w:spacing w:line="240" w:lineRule="auto"/>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指标</w:t>
            </w:r>
          </w:p>
        </w:tc>
        <w:tc>
          <w:tcPr>
            <w:tcW w:w="8618" w:type="dxa"/>
            <w:tcBorders>
              <w:top w:val="single" w:color="auto" w:sz="4" w:space="0"/>
              <w:left w:val="single" w:color="auto" w:sz="4" w:space="0"/>
              <w:bottom w:val="single" w:color="auto" w:sz="8" w:space="0"/>
              <w:right w:val="single" w:color="auto" w:sz="8" w:space="0"/>
            </w:tcBorders>
            <w:vAlign w:val="center"/>
          </w:tcPr>
          <w:p>
            <w:pPr>
              <w:autoSpaceDE w:val="0"/>
              <w:snapToGrid w:val="0"/>
              <w:spacing w:line="360" w:lineRule="auto"/>
              <w:ind w:firstLine="420"/>
              <w:rPr>
                <w:rFonts w:hint="default" w:ascii="Times New Roman" w:hAnsi="Times New Roman" w:cs="Times New Roman"/>
                <w:color w:val="auto"/>
                <w:sz w:val="21"/>
                <w:szCs w:val="21"/>
              </w:rPr>
            </w:pPr>
          </w:p>
          <w:p>
            <w:pPr>
              <w:autoSpaceDE w:val="0"/>
              <w:snapToGrid w:val="0"/>
              <w:spacing w:line="360" w:lineRule="auto"/>
              <w:ind w:firstLine="420"/>
              <w:rPr>
                <w:rFonts w:hint="default" w:ascii="Times New Roman" w:hAnsi="Times New Roman" w:cs="Times New Roman"/>
                <w:color w:val="auto"/>
                <w:sz w:val="21"/>
                <w:szCs w:val="21"/>
              </w:rPr>
            </w:pPr>
          </w:p>
          <w:p>
            <w:pPr>
              <w:autoSpaceDE w:val="0"/>
              <w:snapToGrid w:val="0"/>
              <w:spacing w:line="360" w:lineRule="auto"/>
              <w:ind w:firstLine="420"/>
              <w:rPr>
                <w:rFonts w:hint="default" w:ascii="Times New Roman" w:hAnsi="Times New Roman" w:cs="Times New Roman"/>
                <w:color w:val="auto"/>
                <w:sz w:val="21"/>
                <w:szCs w:val="21"/>
              </w:rPr>
            </w:pPr>
          </w:p>
          <w:p>
            <w:pPr>
              <w:autoSpaceDE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全国主要污染物排放总量控制计划》、《“十三五”主要污染物总量控制规划编制技术指南》、《建设项目主要污染物排放总量指标审核及管理暂行办法》的通知(环发[2014]197号)、《关于进一步改革和优化建设项目主要污染物排放总量核定工作的通知》(冀环总[2014]283号)等文件的相关要求进行核算，并结合本工程外排污染物特征，确定本项目总量控制因子为：COD、NH</w:t>
            </w:r>
            <w:r>
              <w:rPr>
                <w:rFonts w:hint="default" w:ascii="Times New Roman" w:hAnsi="Times New Roman" w:cs="Times New Roman"/>
                <w:color w:val="auto"/>
                <w:sz w:val="21"/>
                <w:szCs w:val="21"/>
                <w:vertAlign w:val="subscript"/>
              </w:rPr>
              <w:t>3</w:t>
            </w:r>
            <w:r>
              <w:rPr>
                <w:rFonts w:hint="default" w:ascii="Times New Roman" w:hAnsi="Times New Roman" w:cs="Times New Roman"/>
                <w:color w:val="auto"/>
                <w:sz w:val="21"/>
                <w:szCs w:val="21"/>
              </w:rPr>
              <w:t>-N、SO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、NO</w:t>
            </w:r>
            <w:r>
              <w:rPr>
                <w:rFonts w:hint="default" w:ascii="Times New Roman" w:hAnsi="Times New Roman" w:cs="Times New Roman"/>
                <w:color w:val="auto"/>
                <w:sz w:val="21"/>
                <w:szCs w:val="21"/>
                <w:vertAlign w:val="subscript"/>
              </w:rPr>
              <w:t>X</w:t>
            </w:r>
            <w:r>
              <w:rPr>
                <w:rFonts w:hint="default" w:ascii="Times New Roman" w:hAnsi="Times New Roman" w:cs="Times New Roman"/>
                <w:color w:val="auto"/>
                <w:sz w:val="21"/>
                <w:szCs w:val="21"/>
              </w:rPr>
              <w:t>。</w:t>
            </w:r>
          </w:p>
          <w:p>
            <w:pPr>
              <w:autoSpaceDE w:val="0"/>
              <w:adjustRightInd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(1)废气</w:t>
            </w:r>
          </w:p>
          <w:p>
            <w:pPr>
              <w:keepNext w:val="0"/>
              <w:keepLines w:val="0"/>
              <w:pageBreakBefore w:val="0"/>
              <w:widowControl w:val="0"/>
              <w:tabs>
                <w:tab w:val="left" w:pos="495"/>
              </w:tabs>
              <w:kinsoku/>
              <w:wordWrap/>
              <w:overflowPunct/>
              <w:topLinePunct w:val="0"/>
              <w:autoSpaceDE/>
              <w:autoSpaceDN/>
              <w:bidi w:val="0"/>
              <w:adjustRightInd w:val="0"/>
              <w:snapToGrid w:val="0"/>
              <w:spacing w:line="360" w:lineRule="auto"/>
              <w:ind w:left="0" w:leftChars="0" w:right="0" w:rightChars="0" w:firstLine="420" w:firstLineChars="200"/>
              <w:jc w:val="both"/>
              <w:outlineLvl w:val="9"/>
              <w:rPr>
                <w:rFonts w:hint="eastAsia" w:ascii="Times New Roman" w:hAnsi="Times New Roman" w:eastAsia="宋体" w:cs="Times New Roman"/>
                <w:color w:val="auto"/>
                <w:sz w:val="21"/>
                <w:szCs w:val="21"/>
                <w:lang w:eastAsia="zh-CN"/>
              </w:rPr>
            </w:pPr>
            <w:r>
              <w:rPr>
                <w:rFonts w:hint="default" w:ascii="Times New Roman" w:hAnsi="Times New Roman" w:eastAsia="宋体" w:cs="Times New Roman"/>
                <w:color w:val="auto"/>
                <w:sz w:val="21"/>
                <w:szCs w:val="21"/>
              </w:rPr>
              <w:t>项目</w:t>
            </w:r>
            <w:r>
              <w:rPr>
                <w:rFonts w:hint="eastAsia" w:ascii="Times New Roman" w:hAnsi="Times New Roman" w:eastAsia="宋体" w:cs="Times New Roman"/>
                <w:color w:val="auto"/>
                <w:sz w:val="21"/>
                <w:szCs w:val="21"/>
                <w:lang w:val="en-US" w:eastAsia="zh-CN"/>
              </w:rPr>
              <w:t>注塑产生的</w:t>
            </w:r>
            <w:r>
              <w:rPr>
                <w:rFonts w:hint="default" w:ascii="Times New Roman" w:hAnsi="Times New Roman" w:eastAsia="宋体" w:cs="Times New Roman"/>
                <w:color w:val="auto"/>
                <w:sz w:val="21"/>
                <w:szCs w:val="21"/>
              </w:rPr>
              <w:t>废气采用1套</w:t>
            </w:r>
            <w:r>
              <w:rPr>
                <w:rFonts w:hint="eastAsia" w:ascii="Times New Roman" w:hAnsi="Times New Roman" w:eastAsia="宋体" w:cs="Times New Roman"/>
                <w:color w:val="auto"/>
                <w:sz w:val="21"/>
                <w:szCs w:val="21"/>
                <w:lang w:val="en-US" w:eastAsia="zh-CN"/>
              </w:rPr>
              <w:t>过滤棉+活性炭吸附脱附催化燃烧设备处理</w:t>
            </w:r>
            <w:r>
              <w:rPr>
                <w:rFonts w:hint="default" w:ascii="Times New Roman" w:hAnsi="Times New Roman" w:eastAsia="宋体" w:cs="Times New Roman"/>
                <w:color w:val="auto"/>
                <w:sz w:val="21"/>
                <w:szCs w:val="21"/>
              </w:rPr>
              <w:t>，处理后经</w:t>
            </w:r>
            <w:r>
              <w:rPr>
                <w:rFonts w:hint="default" w:ascii="Times New Roman" w:hAnsi="Times New Roman" w:cs="Times New Roman"/>
                <w:bCs/>
                <w:color w:val="auto"/>
                <w:sz w:val="21"/>
                <w:szCs w:val="21"/>
              </w:rPr>
              <w:t>1</w:t>
            </w:r>
            <w:r>
              <w:rPr>
                <w:rFonts w:hint="eastAsia" w:cs="Times New Roman"/>
                <w:bCs/>
                <w:color w:val="auto"/>
                <w:sz w:val="21"/>
                <w:szCs w:val="21"/>
                <w:lang w:val="en-US" w:eastAsia="zh-CN"/>
              </w:rPr>
              <w:t>5</w:t>
            </w:r>
            <w:r>
              <w:rPr>
                <w:rFonts w:hint="default" w:ascii="Times New Roman" w:hAnsi="Times New Roman" w:cs="Times New Roman"/>
                <w:bCs/>
                <w:color w:val="auto"/>
                <w:sz w:val="21"/>
                <w:szCs w:val="21"/>
              </w:rPr>
              <w:t>m高排气筒排放</w:t>
            </w:r>
            <w:r>
              <w:rPr>
                <w:rFonts w:hint="eastAsia" w:cs="Times New Roman"/>
                <w:bCs/>
                <w:color w:val="auto"/>
                <w:sz w:val="21"/>
                <w:szCs w:val="21"/>
                <w:lang w:eastAsia="zh-CN"/>
              </w:rPr>
              <w:t>；</w:t>
            </w:r>
            <w:r>
              <w:rPr>
                <w:rFonts w:hint="default" w:ascii="Times New Roman" w:hAnsi="Times New Roman" w:cs="Times New Roman"/>
                <w:bCs/>
                <w:color w:val="auto"/>
                <w:sz w:val="21"/>
                <w:szCs w:val="21"/>
              </w:rPr>
              <w:t>风机风量为</w:t>
            </w:r>
            <w:r>
              <w:rPr>
                <w:rFonts w:hint="eastAsia" w:cs="Times New Roman"/>
                <w:bCs/>
                <w:color w:val="auto"/>
                <w:sz w:val="21"/>
                <w:szCs w:val="21"/>
                <w:lang w:val="en-US" w:eastAsia="zh-CN"/>
              </w:rPr>
              <w:t>8</w:t>
            </w:r>
            <w:r>
              <w:rPr>
                <w:rFonts w:hint="default" w:ascii="Times New Roman" w:hAnsi="Times New Roman" w:cs="Times New Roman"/>
                <w:bCs/>
                <w:color w:val="auto"/>
                <w:sz w:val="21"/>
                <w:szCs w:val="21"/>
              </w:rPr>
              <w:t>000m</w:t>
            </w:r>
            <w:r>
              <w:rPr>
                <w:rFonts w:hint="default" w:ascii="Times New Roman" w:hAnsi="Times New Roman" w:cs="Times New Roman"/>
                <w:bCs/>
                <w:color w:val="auto"/>
                <w:sz w:val="21"/>
                <w:szCs w:val="21"/>
                <w:vertAlign w:val="superscript"/>
              </w:rPr>
              <w:t>3</w:t>
            </w:r>
            <w:r>
              <w:rPr>
                <w:rFonts w:hint="default" w:ascii="Times New Roman" w:hAnsi="Times New Roman" w:cs="Times New Roman"/>
                <w:bCs/>
                <w:color w:val="auto"/>
                <w:sz w:val="21"/>
                <w:szCs w:val="21"/>
              </w:rPr>
              <w:t>/h</w:t>
            </w:r>
            <w:r>
              <w:rPr>
                <w:rFonts w:hint="eastAsia" w:ascii="Times New Roman" w:hAnsi="Times New Roman" w:eastAsia="宋体" w:cs="Times New Roman"/>
                <w:color w:val="auto"/>
                <w:sz w:val="21"/>
                <w:szCs w:val="21"/>
                <w:lang w:eastAsia="zh-CN"/>
              </w:rPr>
              <w:t>。</w:t>
            </w:r>
          </w:p>
          <w:p>
            <w:pPr>
              <w:autoSpaceDE w:val="0"/>
              <w:snapToGrid w:val="0"/>
              <w:spacing w:line="360" w:lineRule="auto"/>
              <w:ind w:firstLine="420"/>
              <w:rPr>
                <w:rFonts w:hint="default"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非甲烷总烃</w:t>
            </w:r>
            <w:r>
              <w:rPr>
                <w:rFonts w:hint="default" w:ascii="Times New Roman" w:hAnsi="Times New Roman" w:eastAsia="宋体" w:cs="Times New Roman"/>
                <w:color w:val="auto"/>
                <w:sz w:val="21"/>
                <w:szCs w:val="21"/>
              </w:rPr>
              <w:t>总</w:t>
            </w:r>
            <w:r>
              <w:rPr>
                <w:rFonts w:hint="default" w:ascii="Times New Roman" w:hAnsi="Times New Roman" w:cs="Times New Roman"/>
                <w:color w:val="auto"/>
                <w:sz w:val="21"/>
                <w:szCs w:val="21"/>
              </w:rPr>
              <w:t>量=</w:t>
            </w:r>
            <w:r>
              <w:rPr>
                <w:rFonts w:hint="eastAsia" w:cs="Times New Roman"/>
                <w:color w:val="auto"/>
                <w:sz w:val="21"/>
                <w:szCs w:val="21"/>
                <w:lang w:val="en-US" w:eastAsia="zh-CN"/>
              </w:rPr>
              <w:t>30</w:t>
            </w:r>
            <w:r>
              <w:rPr>
                <w:rFonts w:hint="eastAsia" w:ascii="Times New Roman" w:hAnsi="Times New Roman" w:cs="Times New Roman"/>
                <w:color w:val="auto"/>
                <w:sz w:val="21"/>
                <w:szCs w:val="21"/>
                <w:lang w:val="en-US" w:eastAsia="zh-CN"/>
              </w:rPr>
              <w:t>mg</w:t>
            </w:r>
            <w:r>
              <w:rPr>
                <w:rFonts w:hint="default" w:ascii="Times New Roman" w:hAnsi="Times New Roman" w:cs="Times New Roman"/>
                <w:color w:val="auto"/>
                <w:sz w:val="21"/>
                <w:szCs w:val="21"/>
              </w:rPr>
              <w:t>/</w:t>
            </w:r>
            <w:r>
              <w:rPr>
                <w:rFonts w:hint="eastAsia" w:ascii="Times New Roman" w:hAnsi="Times New Roman" w:cs="Times New Roman"/>
                <w:color w:val="auto"/>
                <w:sz w:val="21"/>
                <w:szCs w:val="21"/>
                <w:lang w:val="en-US" w:eastAsia="zh-CN"/>
              </w:rPr>
              <w:t>m</w:t>
            </w:r>
            <w:r>
              <w:rPr>
                <w:rFonts w:hint="eastAsia" w:ascii="Times New Roman" w:hAnsi="Times New Roman" w:cs="Times New Roman"/>
                <w:color w:val="auto"/>
                <w:sz w:val="21"/>
                <w:szCs w:val="21"/>
                <w:vertAlign w:val="superscript"/>
                <w:lang w:val="en-US" w:eastAsia="zh-CN"/>
              </w:rPr>
              <w:t>3</w:t>
            </w:r>
            <w:r>
              <w:rPr>
                <w:rFonts w:hint="default" w:ascii="Times New Roman" w:hAnsi="Times New Roman" w:cs="Times New Roman"/>
                <w:color w:val="auto"/>
                <w:sz w:val="21"/>
                <w:szCs w:val="21"/>
              </w:rPr>
              <w:t>×</w:t>
            </w:r>
            <w:r>
              <w:rPr>
                <w:rFonts w:hint="eastAsia" w:cs="Times New Roman"/>
                <w:color w:val="auto"/>
                <w:kern w:val="0"/>
                <w:sz w:val="21"/>
                <w:szCs w:val="21"/>
                <w:lang w:val="en-US" w:eastAsia="zh-CN"/>
              </w:rPr>
              <w:t>1920</w:t>
            </w:r>
            <w:r>
              <w:rPr>
                <w:rFonts w:ascii="Times New Roman" w:hAnsi="Times New Roman" w:cs="Times New Roman"/>
                <w:color w:val="auto"/>
                <w:kern w:val="0"/>
                <w:sz w:val="21"/>
                <w:szCs w:val="21"/>
                <w:lang w:val="zh-CN"/>
              </w:rPr>
              <w:t>万m</w:t>
            </w:r>
            <w:r>
              <w:rPr>
                <w:rFonts w:ascii="Times New Roman" w:hAnsi="Times New Roman" w:cs="Times New Roman"/>
                <w:color w:val="auto"/>
                <w:kern w:val="0"/>
                <w:sz w:val="21"/>
                <w:szCs w:val="21"/>
                <w:vertAlign w:val="superscript"/>
                <w:lang w:val="zh-CN"/>
              </w:rPr>
              <w:t>3</w:t>
            </w:r>
            <w:r>
              <w:rPr>
                <w:rFonts w:ascii="Times New Roman" w:hAnsi="Times New Roman" w:cs="Times New Roman"/>
                <w:color w:val="auto"/>
                <w:kern w:val="0"/>
                <w:sz w:val="21"/>
                <w:szCs w:val="21"/>
                <w:lang w:val="zh-CN"/>
              </w:rPr>
              <w:t>/a×10</w:t>
            </w:r>
            <w:r>
              <w:rPr>
                <w:rFonts w:ascii="Times New Roman" w:hAnsi="Times New Roman" w:cs="Times New Roman"/>
                <w:color w:val="auto"/>
                <w:kern w:val="0"/>
                <w:sz w:val="21"/>
                <w:szCs w:val="21"/>
                <w:vertAlign w:val="superscript"/>
                <w:lang w:val="zh-CN"/>
              </w:rPr>
              <w:t>-9</w:t>
            </w:r>
            <w:r>
              <w:rPr>
                <w:rFonts w:ascii="Times New Roman" w:hAnsi="Times New Roman" w:cs="Times New Roman"/>
                <w:color w:val="auto"/>
                <w:kern w:val="0"/>
                <w:sz w:val="21"/>
                <w:szCs w:val="21"/>
                <w:lang w:val="zh-CN"/>
              </w:rPr>
              <w:t>=</w:t>
            </w:r>
            <w:r>
              <w:rPr>
                <w:rFonts w:hint="eastAsia" w:ascii="Times New Roman" w:hAnsi="Times New Roman" w:cs="Times New Roman"/>
                <w:color w:val="auto"/>
                <w:kern w:val="0"/>
                <w:sz w:val="21"/>
                <w:szCs w:val="21"/>
                <w:lang w:val="en-US" w:eastAsia="zh-CN"/>
              </w:rPr>
              <w:t>0.5</w:t>
            </w:r>
            <w:r>
              <w:rPr>
                <w:rFonts w:hint="eastAsia" w:cs="Times New Roman"/>
                <w:color w:val="auto"/>
                <w:kern w:val="0"/>
                <w:sz w:val="21"/>
                <w:szCs w:val="21"/>
                <w:lang w:val="en-US" w:eastAsia="zh-CN"/>
              </w:rPr>
              <w:t>76</w:t>
            </w:r>
            <w:r>
              <w:rPr>
                <w:rFonts w:ascii="Times New Roman" w:hAnsi="Times New Roman" w:cs="Times New Roman"/>
                <w:color w:val="auto"/>
                <w:kern w:val="0"/>
                <w:sz w:val="21"/>
                <w:szCs w:val="21"/>
                <w:lang w:val="zh-CN"/>
              </w:rPr>
              <w:t>t/</w:t>
            </w:r>
            <w:r>
              <w:rPr>
                <w:rFonts w:hint="default" w:ascii="Times New Roman" w:hAnsi="Times New Roman" w:eastAsia="宋体" w:cs="Times New Roman"/>
                <w:color w:val="auto"/>
                <w:sz w:val="21"/>
                <w:szCs w:val="21"/>
                <w:lang w:val="zh-CN"/>
              </w:rPr>
              <w:t>a</w:t>
            </w:r>
          </w:p>
          <w:p>
            <w:pPr>
              <w:autoSpaceDE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(2)废水</w:t>
            </w:r>
          </w:p>
          <w:p>
            <w:pPr>
              <w:autoSpaceDE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项目生产过程中产生的生产废水循环使用，不外排。</w:t>
            </w:r>
          </w:p>
          <w:p>
            <w:pPr>
              <w:autoSpaceDE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生活污水</w:t>
            </w:r>
            <w:r>
              <w:rPr>
                <w:rFonts w:hint="eastAsia" w:ascii="Times New Roman" w:hAnsi="Times New Roman" w:eastAsia="宋体" w:cs="Times New Roman"/>
                <w:color w:val="auto"/>
                <w:sz w:val="21"/>
                <w:szCs w:val="21"/>
                <w:lang w:val="en-US" w:eastAsia="zh-CN"/>
              </w:rPr>
              <w:t>泼洒抑尘</w:t>
            </w:r>
            <w:r>
              <w:rPr>
                <w:rFonts w:hint="default" w:ascii="Times New Roman" w:hAnsi="Times New Roman" w:eastAsia="宋体" w:cs="Times New Roman"/>
                <w:color w:val="auto"/>
                <w:sz w:val="21"/>
                <w:szCs w:val="21"/>
              </w:rPr>
              <w:t>不外排。</w:t>
            </w:r>
          </w:p>
          <w:p>
            <w:pPr>
              <w:autoSpaceDE w:val="0"/>
              <w:snapToGrid w:val="0"/>
              <w:spacing w:line="360" w:lineRule="auto"/>
              <w:ind w:firstLine="42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 xml:space="preserve">综上所述，项目总量控制因子及指标为： </w:t>
            </w:r>
          </w:p>
          <w:p>
            <w:pPr>
              <w:autoSpaceDE w:val="0"/>
              <w:snapToGrid w:val="0"/>
              <w:spacing w:line="360" w:lineRule="auto"/>
              <w:ind w:firstLine="420"/>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rPr>
              <w:t>废</w:t>
            </w:r>
            <w:r>
              <w:rPr>
                <w:rFonts w:hint="default" w:ascii="Times New Roman" w:hAnsi="Times New Roman" w:cs="Times New Roman"/>
                <w:color w:val="auto"/>
                <w:sz w:val="21"/>
                <w:szCs w:val="21"/>
              </w:rPr>
              <w:t>气：SO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w:t>
            </w:r>
            <w:r>
              <w:rPr>
                <w:rFonts w:hint="eastAsia" w:cs="Times New Roman"/>
                <w:color w:val="auto"/>
                <w:sz w:val="21"/>
                <w:szCs w:val="21"/>
                <w:lang w:val="en-US" w:eastAsia="zh-CN"/>
              </w:rPr>
              <w:t>0</w:t>
            </w:r>
            <w:r>
              <w:rPr>
                <w:rFonts w:hint="default" w:ascii="Times New Roman" w:hAnsi="Times New Roman" w:cs="Times New Roman"/>
                <w:color w:val="auto"/>
                <w:sz w:val="21"/>
                <w:szCs w:val="21"/>
              </w:rPr>
              <w:t>t/a；NO</w:t>
            </w:r>
            <w:r>
              <w:rPr>
                <w:rFonts w:hint="default" w:ascii="Times New Roman" w:hAnsi="Times New Roman" w:cs="Times New Roman"/>
                <w:color w:val="auto"/>
                <w:sz w:val="21"/>
                <w:szCs w:val="21"/>
                <w:vertAlign w:val="subscript"/>
              </w:rPr>
              <w:t>X</w:t>
            </w:r>
            <w:r>
              <w:rPr>
                <w:rFonts w:hint="default" w:ascii="Times New Roman" w:hAnsi="Times New Roman" w:cs="Times New Roman"/>
                <w:color w:val="auto"/>
                <w:sz w:val="21"/>
                <w:szCs w:val="21"/>
              </w:rPr>
              <w:t>：</w:t>
            </w:r>
            <w:r>
              <w:rPr>
                <w:rFonts w:hint="eastAsia" w:cs="Times New Roman"/>
                <w:color w:val="auto"/>
                <w:sz w:val="21"/>
                <w:szCs w:val="21"/>
                <w:lang w:val="en-US" w:eastAsia="zh-CN"/>
              </w:rPr>
              <w:t>0</w:t>
            </w:r>
            <w:r>
              <w:rPr>
                <w:rFonts w:hint="default" w:ascii="Times New Roman" w:hAnsi="Times New Roman" w:cs="Times New Roman"/>
                <w:color w:val="auto"/>
                <w:sz w:val="21"/>
                <w:szCs w:val="21"/>
              </w:rPr>
              <w:t>t/a</w:t>
            </w:r>
            <w:r>
              <w:rPr>
                <w:rFonts w:hint="eastAsia" w:cs="Times New Roman"/>
                <w:color w:val="auto"/>
                <w:sz w:val="21"/>
                <w:szCs w:val="21"/>
                <w:lang w:eastAsia="zh-CN"/>
              </w:rPr>
              <w:t>；</w:t>
            </w:r>
            <w:r>
              <w:rPr>
                <w:rFonts w:hint="default" w:ascii="Times New Roman" w:hAnsi="Times New Roman" w:cs="Times New Roman"/>
                <w:color w:val="auto"/>
                <w:sz w:val="21"/>
                <w:szCs w:val="21"/>
                <w:highlight w:val="none"/>
                <w:lang w:eastAsia="zh-CN"/>
              </w:rPr>
              <w:t>VOCs：</w:t>
            </w:r>
            <w:r>
              <w:rPr>
                <w:rFonts w:hint="eastAsia" w:ascii="Times New Roman" w:hAnsi="Times New Roman" w:cs="Times New Roman"/>
                <w:color w:val="auto"/>
                <w:sz w:val="21"/>
                <w:szCs w:val="21"/>
                <w:highlight w:val="none"/>
                <w:lang w:val="en-US" w:eastAsia="zh-CN"/>
              </w:rPr>
              <w:t>0.5</w:t>
            </w:r>
            <w:r>
              <w:rPr>
                <w:rFonts w:hint="eastAsia" w:cs="Times New Roman"/>
                <w:color w:val="auto"/>
                <w:sz w:val="21"/>
                <w:szCs w:val="21"/>
                <w:highlight w:val="none"/>
                <w:lang w:val="en-US" w:eastAsia="zh-CN"/>
              </w:rPr>
              <w:t>76</w:t>
            </w:r>
            <w:r>
              <w:rPr>
                <w:rFonts w:hint="default" w:ascii="Times New Roman" w:hAnsi="Times New Roman" w:cs="Times New Roman"/>
                <w:color w:val="auto"/>
                <w:sz w:val="21"/>
                <w:szCs w:val="21"/>
                <w:highlight w:val="none"/>
                <w:lang w:val="en-US" w:eastAsia="zh-CN"/>
              </w:rPr>
              <w:t>t/a</w:t>
            </w:r>
            <w:r>
              <w:rPr>
                <w:rFonts w:hint="eastAsia" w:ascii="Times New Roman" w:hAnsi="Times New Roman" w:cs="Times New Roman"/>
                <w:color w:val="auto"/>
                <w:sz w:val="21"/>
                <w:szCs w:val="21"/>
                <w:highlight w:val="none"/>
                <w:lang w:val="en-US" w:eastAsia="zh-CN"/>
              </w:rPr>
              <w:t>；颗粒物：0t/a；</w:t>
            </w:r>
          </w:p>
          <w:p>
            <w:pPr>
              <w:autoSpaceDE w:val="0"/>
              <w:snapToGrid w:val="0"/>
              <w:spacing w:line="360" w:lineRule="auto"/>
              <w:ind w:firstLine="420"/>
              <w:rPr>
                <w:rFonts w:hint="default" w:ascii="Times New Roman" w:hAnsi="Times New Roman" w:cs="Times New Roman"/>
                <w:color w:val="auto"/>
                <w:sz w:val="21"/>
                <w:szCs w:val="21"/>
              </w:rPr>
            </w:pPr>
            <w:r>
              <w:rPr>
                <w:rFonts w:hint="default" w:ascii="Times New Roman" w:hAnsi="Times New Roman" w:eastAsia="宋体" w:cs="Times New Roman"/>
                <w:color w:val="auto"/>
                <w:sz w:val="21"/>
                <w:szCs w:val="21"/>
                <w:lang w:val="zh-CN"/>
              </w:rPr>
              <w:t>废水</w:t>
            </w:r>
            <w:r>
              <w:rPr>
                <w:rFonts w:hint="default" w:ascii="Times New Roman" w:hAnsi="Times New Roman" w:cs="Times New Roman"/>
                <w:color w:val="auto"/>
                <w:sz w:val="21"/>
                <w:szCs w:val="21"/>
              </w:rPr>
              <w:t>：COD：0t/a；NH</w:t>
            </w:r>
            <w:r>
              <w:rPr>
                <w:rFonts w:hint="default" w:ascii="Times New Roman" w:hAnsi="Times New Roman" w:cs="Times New Roman"/>
                <w:color w:val="auto"/>
                <w:sz w:val="21"/>
                <w:szCs w:val="21"/>
                <w:vertAlign w:val="subscript"/>
              </w:rPr>
              <w:t>3</w:t>
            </w:r>
            <w:r>
              <w:rPr>
                <w:rFonts w:hint="default" w:ascii="Times New Roman" w:hAnsi="Times New Roman" w:cs="Times New Roman"/>
                <w:color w:val="auto"/>
                <w:sz w:val="21"/>
                <w:szCs w:val="21"/>
              </w:rPr>
              <w:t>-N：0t/a。</w:t>
            </w:r>
          </w:p>
          <w:p>
            <w:pPr>
              <w:widowControl w:val="0"/>
              <w:spacing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p>
          <w:p>
            <w:pPr>
              <w:widowControl w:val="0"/>
              <w:spacing w:before="100" w:beforeAutospacing="1" w:line="240" w:lineRule="auto"/>
              <w:ind w:firstLine="0" w:firstLineChars="0"/>
              <w:jc w:val="both"/>
              <w:rPr>
                <w:rFonts w:hint="default" w:ascii="Times New Roman" w:hAnsi="Times New Roman" w:eastAsia="宋体" w:cs="Times New Roman"/>
                <w:color w:val="auto"/>
                <w:kern w:val="2"/>
                <w:sz w:val="21"/>
                <w:szCs w:val="21"/>
                <w:lang w:val="en-US" w:eastAsia="zh-CN" w:bidi="ar-SA"/>
              </w:rPr>
            </w:pPr>
            <w:bookmarkStart w:id="5" w:name="_GoBack"/>
            <w:bookmarkEnd w:id="5"/>
          </w:p>
        </w:tc>
      </w:tr>
    </w:tbl>
    <w:p>
      <w:pPr>
        <w:spacing w:before="100" w:beforeAutospacing="1" w:after="100" w:afterAutospacing="1" w:line="240" w:lineRule="auto"/>
        <w:ind w:firstLine="0" w:firstLineChars="0"/>
        <w:jc w:val="center"/>
        <w:outlineLvl w:val="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6"/>
          <w:szCs w:val="36"/>
        </w:rPr>
        <w:br w:type="page"/>
      </w:r>
      <w:r>
        <w:rPr>
          <w:rFonts w:hint="default" w:ascii="Times New Roman" w:hAnsi="Times New Roman" w:eastAsia="黑体" w:cs="Times New Roman"/>
          <w:color w:val="auto"/>
          <w:sz w:val="30"/>
          <w:szCs w:val="30"/>
        </w:rPr>
        <w:t>四、主要环境影响和保护措施</w:t>
      </w:r>
    </w:p>
    <w:tbl>
      <w:tblPr>
        <w:tblStyle w:val="20"/>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44"/>
        <w:gridCol w:w="863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344" w:type="dxa"/>
            <w:tcBorders>
              <w:top w:val="single" w:color="auto" w:sz="8" w:space="0"/>
              <w:left w:val="single" w:color="auto" w:sz="8" w:space="0"/>
              <w:bottom w:val="single" w:color="auto" w:sz="8"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施工</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期环</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境保</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护措</w:t>
            </w:r>
          </w:p>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color w:val="auto"/>
                <w:sz w:val="21"/>
                <w:szCs w:val="21"/>
              </w:rPr>
              <w:t>施</w:t>
            </w:r>
          </w:p>
        </w:tc>
        <w:tc>
          <w:tcPr>
            <w:tcW w:w="8637" w:type="dxa"/>
            <w:tcBorders>
              <w:top w:val="single" w:color="auto" w:sz="8" w:space="0"/>
              <w:left w:val="single" w:color="auto" w:sz="4" w:space="0"/>
              <w:bottom w:val="single" w:color="auto" w:sz="8" w:space="0"/>
              <w:right w:val="single" w:color="auto" w:sz="8" w:space="0"/>
            </w:tcBorders>
            <w:vAlign w:val="center"/>
          </w:tcPr>
          <w:p>
            <w:pPr>
              <w:spacing w:line="360" w:lineRule="auto"/>
              <w:ind w:firstLine="420"/>
              <w:contextualSpacing/>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本项目租赁现有生产车间，</w:t>
            </w:r>
            <w:r>
              <w:rPr>
                <w:rFonts w:hint="eastAsia" w:cs="Times New Roman"/>
                <w:color w:val="auto"/>
                <w:sz w:val="21"/>
                <w:szCs w:val="21"/>
                <w:lang w:val="en-US" w:eastAsia="zh-CN"/>
              </w:rPr>
              <w:t>施工期</w:t>
            </w:r>
            <w:r>
              <w:rPr>
                <w:rFonts w:hint="default" w:ascii="Times New Roman" w:hAnsi="Times New Roman" w:cs="Times New Roman"/>
                <w:color w:val="auto"/>
                <w:sz w:val="21"/>
                <w:szCs w:val="21"/>
              </w:rPr>
              <w:t>主要进行设备安装调试，不进行大型土建施工，项目施工期工程量较小。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344" w:type="dxa"/>
            <w:tcBorders>
              <w:top w:val="single" w:color="auto" w:sz="8" w:space="0"/>
              <w:left w:val="single" w:color="auto" w:sz="8"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运营</w:t>
            </w:r>
          </w:p>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期环</w:t>
            </w:r>
          </w:p>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境影</w:t>
            </w:r>
          </w:p>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响和</w:t>
            </w:r>
          </w:p>
          <w:p>
            <w:pPr>
              <w:adjustRightInd w:val="0"/>
              <w:snapToGrid w:val="0"/>
              <w:spacing w:line="240" w:lineRule="auto"/>
              <w:ind w:firstLine="0" w:firstLineChars="0"/>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保护</w:t>
            </w:r>
          </w:p>
          <w:p>
            <w:pPr>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bCs/>
                <w:color w:val="auto"/>
                <w:sz w:val="21"/>
                <w:szCs w:val="21"/>
              </w:rPr>
              <w:t>措施</w:t>
            </w:r>
          </w:p>
        </w:tc>
        <w:tc>
          <w:tcPr>
            <w:tcW w:w="8637" w:type="dxa"/>
            <w:tcBorders>
              <w:top w:val="single" w:color="auto" w:sz="8" w:space="0"/>
              <w:left w:val="single" w:color="auto" w:sz="4" w:space="0"/>
              <w:bottom w:val="single" w:color="auto" w:sz="4" w:space="0"/>
              <w:right w:val="single" w:color="auto" w:sz="8" w:space="0"/>
            </w:tcBorders>
            <w:vAlign w:val="center"/>
          </w:tcPr>
          <w:p>
            <w:pPr>
              <w:adjustRightInd w:val="0"/>
              <w:snapToGrid w:val="0"/>
              <w:spacing w:line="360" w:lineRule="auto"/>
              <w:ind w:firstLine="0" w:firstLineChars="0"/>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1废气</w:t>
            </w:r>
          </w:p>
          <w:p>
            <w:pPr>
              <w:adjustRightInd w:val="0"/>
              <w:snapToGrid w:val="0"/>
              <w:spacing w:line="360" w:lineRule="auto"/>
              <w:ind w:firstLine="0" w:firstLineChars="0"/>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1.1废气污染物产生及排放情况</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本项目原料均为原包料颗粒，因此不产生颗粒物。本项目废气主要为注塑过程产生的有机废气，聚丙烯原包料生产过程加热温度控制在 1</w:t>
            </w:r>
            <w:r>
              <w:rPr>
                <w:rFonts w:hint="eastAsia" w:cs="Times New Roman"/>
                <w:color w:val="auto"/>
                <w:sz w:val="21"/>
                <w:szCs w:val="21"/>
                <w:lang w:val="en-US" w:eastAsia="zh-CN"/>
              </w:rPr>
              <w:t>50</w:t>
            </w:r>
            <w:r>
              <w:rPr>
                <w:rFonts w:hint="default" w:ascii="Times New Roman" w:hAnsi="Times New Roman" w:cs="Times New Roman"/>
                <w:color w:val="auto"/>
                <w:sz w:val="21"/>
                <w:szCs w:val="21"/>
              </w:rPr>
              <w:t>℃左右，均未达到其分解温度，项目加热过程中会产生少量挥发性有机物（以非甲烷总烃计）。</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根据《排放源统计调查产排污核算方法和系数手册》中《292 塑料制品行业系数手册》中 2926 塑料包装箱及容器制造行业系数表，注塑过程中，挥发性有机物（以非甲烷总烃计）产生量为2.7kg/t-产品，项目年保温钉</w:t>
            </w:r>
            <w:r>
              <w:rPr>
                <w:rFonts w:hint="eastAsia" w:cs="Times New Roman"/>
                <w:color w:val="auto"/>
                <w:sz w:val="21"/>
                <w:szCs w:val="21"/>
                <w:lang w:val="en-US" w:eastAsia="zh-CN"/>
              </w:rPr>
              <w:t>5000万个</w:t>
            </w:r>
            <w:r>
              <w:rPr>
                <w:rFonts w:hint="default" w:ascii="Times New Roman" w:hAnsi="Times New Roman" w:cs="Times New Roman"/>
                <w:color w:val="auto"/>
                <w:sz w:val="21"/>
                <w:szCs w:val="21"/>
              </w:rPr>
              <w:t>，</w:t>
            </w:r>
            <w:r>
              <w:rPr>
                <w:rFonts w:hint="eastAsia" w:cs="Times New Roman"/>
                <w:color w:val="auto"/>
                <w:sz w:val="21"/>
                <w:szCs w:val="21"/>
                <w:lang w:val="en-US" w:eastAsia="zh-CN"/>
              </w:rPr>
              <w:t>由钢筋及塑料外壳构成。钢筋加热过程无废气产生，因此本项目挥发性有机物产生按</w:t>
            </w:r>
            <w:r>
              <w:rPr>
                <w:rFonts w:hint="default" w:ascii="Times New Roman" w:hAnsi="Times New Roman" w:cs="Times New Roman"/>
                <w:color w:val="auto"/>
                <w:sz w:val="21"/>
                <w:szCs w:val="21"/>
              </w:rPr>
              <w:t>2.7kg/t-</w:t>
            </w:r>
            <w:r>
              <w:rPr>
                <w:rFonts w:hint="eastAsia" w:cs="Times New Roman"/>
                <w:color w:val="auto"/>
                <w:sz w:val="21"/>
                <w:szCs w:val="21"/>
                <w:lang w:val="en-US" w:eastAsia="zh-CN"/>
              </w:rPr>
              <w:t>原料计</w:t>
            </w:r>
            <w:r>
              <w:rPr>
                <w:rFonts w:hint="default" w:ascii="Times New Roman" w:hAnsi="Times New Roman" w:cs="Times New Roman"/>
                <w:color w:val="auto"/>
                <w:sz w:val="21"/>
                <w:szCs w:val="21"/>
              </w:rPr>
              <w:t>，</w:t>
            </w:r>
            <w:r>
              <w:rPr>
                <w:rFonts w:hint="eastAsia" w:cs="Times New Roman"/>
                <w:color w:val="auto"/>
                <w:sz w:val="21"/>
                <w:szCs w:val="21"/>
                <w:lang w:val="en-US" w:eastAsia="zh-CN"/>
              </w:rPr>
              <w:t>聚丙烯原包料使用量为450吨，</w:t>
            </w:r>
            <w:r>
              <w:rPr>
                <w:rFonts w:hint="default" w:ascii="Times New Roman" w:hAnsi="Times New Roman" w:cs="Times New Roman"/>
                <w:color w:val="auto"/>
                <w:sz w:val="21"/>
                <w:szCs w:val="21"/>
              </w:rPr>
              <w:t>故项目非甲烷总烃产生量为</w:t>
            </w:r>
            <w:r>
              <w:rPr>
                <w:rFonts w:hint="eastAsia" w:cs="Times New Roman"/>
                <w:color w:val="auto"/>
                <w:sz w:val="21"/>
                <w:szCs w:val="21"/>
                <w:lang w:val="en-US" w:eastAsia="zh-CN"/>
              </w:rPr>
              <w:t>1.215</w:t>
            </w:r>
            <w:r>
              <w:rPr>
                <w:rFonts w:hint="default" w:ascii="Times New Roman" w:hAnsi="Times New Roman" w:cs="Times New Roman"/>
                <w:color w:val="auto"/>
                <w:sz w:val="21"/>
                <w:szCs w:val="21"/>
              </w:rPr>
              <w:t>t/a。</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本项目设置 1 套有机废气处理装置。上述废气经收集后引至1套有机废气处理装置处理，即“</w:t>
            </w:r>
            <w:r>
              <w:rPr>
                <w:rFonts w:hint="eastAsia" w:cs="Times New Roman"/>
                <w:color w:val="auto"/>
                <w:sz w:val="21"/>
                <w:szCs w:val="21"/>
                <w:lang w:eastAsia="zh-CN"/>
              </w:rPr>
              <w:t>过滤棉箱</w:t>
            </w:r>
            <w:r>
              <w:rPr>
                <w:rFonts w:hint="default" w:ascii="Times New Roman" w:hAnsi="Times New Roman" w:cs="Times New Roman"/>
                <w:color w:val="auto"/>
                <w:sz w:val="21"/>
                <w:szCs w:val="21"/>
              </w:rPr>
              <w:t>+活性炭吸附/脱附+催化燃烧装置”，处理后经1根15m高排气筒排放（DA00</w:t>
            </w:r>
            <w:r>
              <w:rPr>
                <w:rFonts w:hint="eastAsia" w:cs="Times New Roman"/>
                <w:color w:val="auto"/>
                <w:sz w:val="21"/>
                <w:szCs w:val="21"/>
                <w:lang w:val="en-US" w:eastAsia="zh-CN"/>
              </w:rPr>
              <w:t>1</w:t>
            </w:r>
            <w:r>
              <w:rPr>
                <w:rFonts w:hint="default" w:ascii="Times New Roman" w:hAnsi="Times New Roman" w:cs="Times New Roman"/>
                <w:color w:val="auto"/>
                <w:sz w:val="21"/>
                <w:szCs w:val="21"/>
              </w:rPr>
              <w:t>）。各引风管道设置切换阀门，使用该设备时将阀门打开，不用时关闭。本项目有机废气治理设施参数均满足《河北省涉 VOCs 工业企业常用治理技术指南》要求。</w:t>
            </w:r>
          </w:p>
          <w:p>
            <w:pPr>
              <w:adjustRightInd w:val="0"/>
              <w:snapToGrid w:val="0"/>
              <w:spacing w:line="360" w:lineRule="auto"/>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1.2 废气达标分析</w:t>
            </w:r>
          </w:p>
          <w:p>
            <w:pPr>
              <w:adjustRightInd w:val="0"/>
              <w:snapToGrid w:val="0"/>
              <w:spacing w:line="360" w:lineRule="auto"/>
              <w:ind w:firstLine="422" w:firstLineChars="200"/>
              <w:rPr>
                <w:rFonts w:hint="eastAsia" w:ascii="Times New Roman" w:hAnsi="Times New Roman" w:eastAsia="宋体" w:cs="Times New Roman"/>
                <w:b/>
                <w:bCs/>
                <w:color w:val="auto"/>
                <w:sz w:val="21"/>
                <w:szCs w:val="21"/>
                <w:lang w:val="en-US" w:eastAsia="zh-CN"/>
              </w:rPr>
            </w:pPr>
            <w:r>
              <w:rPr>
                <w:rFonts w:hint="eastAsia" w:cs="Times New Roman"/>
                <w:b/>
                <w:bCs/>
                <w:color w:val="auto"/>
                <w:sz w:val="21"/>
                <w:szCs w:val="21"/>
                <w:lang w:eastAsia="zh-CN"/>
              </w:rPr>
              <w:t>（</w:t>
            </w:r>
            <w:r>
              <w:rPr>
                <w:rFonts w:hint="eastAsia" w:cs="Times New Roman"/>
                <w:b/>
                <w:bCs/>
                <w:color w:val="auto"/>
                <w:sz w:val="21"/>
                <w:szCs w:val="21"/>
                <w:lang w:val="en-US" w:eastAsia="zh-CN"/>
              </w:rPr>
              <w:t>1</w:t>
            </w:r>
            <w:r>
              <w:rPr>
                <w:rFonts w:hint="eastAsia" w:cs="Times New Roman"/>
                <w:b/>
                <w:bCs/>
                <w:color w:val="auto"/>
                <w:sz w:val="21"/>
                <w:szCs w:val="21"/>
                <w:lang w:eastAsia="zh-CN"/>
              </w:rPr>
              <w:t>）</w:t>
            </w:r>
            <w:r>
              <w:rPr>
                <w:rFonts w:hint="default" w:ascii="Times New Roman" w:hAnsi="Times New Roman" w:cs="Times New Roman"/>
                <w:b/>
                <w:bCs/>
                <w:color w:val="auto"/>
                <w:sz w:val="21"/>
                <w:szCs w:val="21"/>
              </w:rPr>
              <w:t>本项目各节点废气产生位置、收集方式</w:t>
            </w:r>
            <w:r>
              <w:rPr>
                <w:rFonts w:hint="eastAsia" w:cs="Times New Roman"/>
                <w:b/>
                <w:bCs/>
                <w:color w:val="auto"/>
                <w:sz w:val="21"/>
                <w:szCs w:val="21"/>
                <w:lang w:eastAsia="zh-CN"/>
              </w:rPr>
              <w:t>：</w:t>
            </w:r>
          </w:p>
          <w:p>
            <w:pPr>
              <w:tabs>
                <w:tab w:val="left" w:pos="4210"/>
              </w:tabs>
              <w:spacing w:before="81" w:line="240" w:lineRule="auto"/>
              <w:ind w:right="0"/>
              <w:jc w:val="center"/>
              <w:rPr>
                <w:rFonts w:hint="default" w:ascii="Times New Roman" w:hAnsi="Times New Roman" w:eastAsia="Microsoft YaHei UI" w:cs="Times New Roman"/>
                <w:b/>
                <w:sz w:val="21"/>
              </w:rPr>
            </w:pPr>
            <w:r>
              <w:rPr>
                <w:rFonts w:hint="default" w:ascii="Times New Roman" w:hAnsi="Times New Roman" w:eastAsia="Microsoft YaHei UI" w:cs="Times New Roman"/>
                <w:b/>
                <w:sz w:val="21"/>
              </w:rPr>
              <w:t>表</w:t>
            </w:r>
            <w:r>
              <w:rPr>
                <w:rFonts w:hint="default" w:ascii="Times New Roman" w:hAnsi="Times New Roman" w:eastAsia="宋体" w:cs="Times New Roman"/>
                <w:b/>
                <w:spacing w:val="-12"/>
                <w:sz w:val="21"/>
                <w:lang w:val="en-US" w:eastAsia="zh-CN"/>
              </w:rPr>
              <w:t>20</w:t>
            </w:r>
            <w:r>
              <w:rPr>
                <w:rFonts w:hint="default" w:ascii="Times New Roman" w:hAnsi="Times New Roman" w:eastAsia="宋体" w:cs="Times New Roman"/>
                <w:b/>
                <w:sz w:val="21"/>
                <w:lang w:val="en-US" w:eastAsia="zh-CN"/>
              </w:rPr>
              <w:t xml:space="preserve"> </w:t>
            </w:r>
            <w:r>
              <w:rPr>
                <w:rFonts w:hint="default" w:ascii="Times New Roman" w:hAnsi="Times New Roman" w:eastAsia="Microsoft YaHei UI" w:cs="Times New Roman"/>
                <w:b/>
                <w:sz w:val="21"/>
              </w:rPr>
              <w:t>有机废气产生位置、收集方式一览表</w:t>
            </w:r>
          </w:p>
          <w:tbl>
            <w:tblPr>
              <w:tblStyle w:val="20"/>
              <w:tblW w:w="853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990"/>
              <w:gridCol w:w="1620"/>
              <w:gridCol w:w="675"/>
              <w:gridCol w:w="3625"/>
              <w:gridCol w:w="162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990"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污染源</w:t>
                  </w:r>
                </w:p>
              </w:tc>
              <w:tc>
                <w:tcPr>
                  <w:tcW w:w="1620"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废气产生点位置</w:t>
                  </w:r>
                </w:p>
              </w:tc>
              <w:tc>
                <w:tcPr>
                  <w:tcW w:w="675"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数量</w:t>
                  </w:r>
                </w:p>
              </w:tc>
              <w:tc>
                <w:tcPr>
                  <w:tcW w:w="3625"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废气收集方式</w:t>
                  </w:r>
                </w:p>
              </w:tc>
              <w:tc>
                <w:tcPr>
                  <w:tcW w:w="1629"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所需风量(m</w:t>
                  </w:r>
                  <w:r>
                    <w:rPr>
                      <w:rFonts w:hint="default"/>
                      <w:sz w:val="21"/>
                      <w:szCs w:val="21"/>
                      <w:vertAlign w:val="superscript"/>
                      <w:lang w:val="en-US" w:eastAsia="zh-CN"/>
                    </w:rPr>
                    <w:t>3</w:t>
                  </w:r>
                  <w:r>
                    <w:rPr>
                      <w:rFonts w:hint="default"/>
                      <w:sz w:val="21"/>
                      <w:szCs w:val="21"/>
                      <w:lang w:val="en-US" w:eastAsia="zh-CN"/>
                    </w:rPr>
                    <w:t>/h)</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3" w:hRule="atLeast"/>
                <w:jc w:val="center"/>
              </w:trPr>
              <w:tc>
                <w:tcPr>
                  <w:tcW w:w="990"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注塑工序</w:t>
                  </w:r>
                </w:p>
              </w:tc>
              <w:tc>
                <w:tcPr>
                  <w:tcW w:w="1620"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注塑机</w:t>
                  </w:r>
                </w:p>
              </w:tc>
              <w:tc>
                <w:tcPr>
                  <w:tcW w:w="675" w:type="dxa"/>
                  <w:tcBorders>
                    <w:tl2br w:val="nil"/>
                    <w:tr2bl w:val="nil"/>
                  </w:tcBorders>
                  <w:vAlign w:val="center"/>
                </w:tcPr>
                <w:p>
                  <w:pPr>
                    <w:bidi w:val="0"/>
                    <w:spacing w:line="240" w:lineRule="auto"/>
                    <w:jc w:val="center"/>
                    <w:rPr>
                      <w:rFonts w:hint="default"/>
                      <w:sz w:val="21"/>
                      <w:szCs w:val="21"/>
                      <w:lang w:val="en-US" w:eastAsia="zh-CN"/>
                    </w:rPr>
                  </w:pPr>
                  <w:r>
                    <w:rPr>
                      <w:rFonts w:hint="eastAsia"/>
                      <w:sz w:val="21"/>
                      <w:szCs w:val="21"/>
                      <w:lang w:val="en-US" w:eastAsia="zh-CN"/>
                    </w:rPr>
                    <w:t>5</w:t>
                  </w:r>
                  <w:r>
                    <w:rPr>
                      <w:rFonts w:hint="default"/>
                      <w:sz w:val="21"/>
                      <w:szCs w:val="21"/>
                      <w:lang w:val="en-US" w:eastAsia="zh-CN"/>
                    </w:rPr>
                    <w:t>台</w:t>
                  </w:r>
                </w:p>
              </w:tc>
              <w:tc>
                <w:tcPr>
                  <w:tcW w:w="3625"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注塑机上方设置集气罩（</w:t>
                  </w:r>
                  <w:r>
                    <w:rPr>
                      <w:rFonts w:hint="eastAsia"/>
                      <w:sz w:val="21"/>
                      <w:szCs w:val="21"/>
                      <w:lang w:val="en-US" w:eastAsia="zh-CN"/>
                    </w:rPr>
                    <w:t>0.6</w:t>
                  </w:r>
                  <w:r>
                    <w:rPr>
                      <w:rFonts w:hint="default"/>
                      <w:sz w:val="21"/>
                      <w:szCs w:val="21"/>
                      <w:lang w:val="en-US" w:eastAsia="zh-CN"/>
                    </w:rPr>
                    <w:t>m×</w:t>
                  </w:r>
                  <w:r>
                    <w:rPr>
                      <w:rFonts w:hint="eastAsia"/>
                      <w:sz w:val="21"/>
                      <w:szCs w:val="21"/>
                      <w:lang w:val="en-US" w:eastAsia="zh-CN"/>
                    </w:rPr>
                    <w:t>0.5</w:t>
                  </w:r>
                  <w:r>
                    <w:rPr>
                      <w:rFonts w:hint="default"/>
                      <w:sz w:val="21"/>
                      <w:szCs w:val="21"/>
                      <w:lang w:val="en-US" w:eastAsia="zh-CN"/>
                    </w:rPr>
                    <w:t>m）， 经管道引入有机废气处理装置</w:t>
                  </w:r>
                </w:p>
              </w:tc>
              <w:tc>
                <w:tcPr>
                  <w:tcW w:w="1629" w:type="dxa"/>
                  <w:tcBorders>
                    <w:tl2br w:val="nil"/>
                    <w:tr2bl w:val="nil"/>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1</w:t>
                  </w:r>
                  <w:r>
                    <w:rPr>
                      <w:rFonts w:hint="eastAsia"/>
                      <w:sz w:val="21"/>
                      <w:szCs w:val="21"/>
                      <w:lang w:val="en-US" w:eastAsia="zh-CN"/>
                    </w:rPr>
                    <w:t>331</w:t>
                  </w:r>
                </w:p>
              </w:tc>
            </w:tr>
          </w:tbl>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项目共有</w:t>
            </w:r>
            <w:r>
              <w:rPr>
                <w:rFonts w:hint="eastAsia" w:cs="Times New Roman"/>
                <w:color w:val="auto"/>
                <w:sz w:val="21"/>
                <w:szCs w:val="21"/>
                <w:lang w:val="en-US" w:eastAsia="zh-CN"/>
              </w:rPr>
              <w:t>5</w:t>
            </w:r>
            <w:r>
              <w:rPr>
                <w:rFonts w:hint="default" w:ascii="Times New Roman" w:hAnsi="Times New Roman" w:cs="Times New Roman"/>
                <w:color w:val="auto"/>
                <w:sz w:val="21"/>
                <w:szCs w:val="21"/>
              </w:rPr>
              <w:t>台注塑机，注塑机上方设置集气罩（</w:t>
            </w:r>
            <w:r>
              <w:rPr>
                <w:rFonts w:hint="eastAsia"/>
                <w:sz w:val="21"/>
                <w:szCs w:val="21"/>
                <w:lang w:val="en-US" w:eastAsia="zh-CN"/>
              </w:rPr>
              <w:t>0.6m×0.5m</w:t>
            </w:r>
            <w:r>
              <w:rPr>
                <w:rFonts w:hint="default" w:ascii="Times New Roman" w:hAnsi="Times New Roman" w:cs="Times New Roman"/>
                <w:color w:val="auto"/>
                <w:sz w:val="21"/>
                <w:szCs w:val="21"/>
              </w:rPr>
              <w:t>），废气经集气罩收集后引入有机废气净化装置进行处理。有机废气净化装置风机风量采用下列公式计算。</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风量计算公式：Q=K(a+b)×H×V</w:t>
            </w:r>
            <w:r>
              <w:rPr>
                <w:rFonts w:hint="default" w:ascii="Times New Roman" w:hAnsi="Times New Roman" w:cs="Times New Roman"/>
                <w:color w:val="auto"/>
                <w:sz w:val="21"/>
                <w:szCs w:val="21"/>
                <w:vertAlign w:val="subscript"/>
              </w:rPr>
              <w:t>0</w:t>
            </w:r>
            <w:r>
              <w:rPr>
                <w:rFonts w:hint="default" w:ascii="Times New Roman" w:hAnsi="Times New Roman" w:cs="Times New Roman"/>
                <w:color w:val="auto"/>
                <w:sz w:val="21"/>
                <w:szCs w:val="21"/>
              </w:rPr>
              <w:t>×3600</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式中：Q 为风量，单位为 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/h；</w:t>
            </w:r>
          </w:p>
          <w:p>
            <w:pPr>
              <w:adjustRightInd w:val="0"/>
              <w:snapToGrid w:val="0"/>
              <w:spacing w:line="360" w:lineRule="auto"/>
              <w:ind w:firstLine="1050" w:firstLineChars="5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K 为安全系数 1.4；</w:t>
            </w:r>
          </w:p>
          <w:p>
            <w:pPr>
              <w:adjustRightInd w:val="0"/>
              <w:snapToGrid w:val="0"/>
              <w:spacing w:line="360" w:lineRule="auto"/>
              <w:ind w:firstLine="1050" w:firstLineChars="5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(a+b)为集气罩周长，单位为 m；</w:t>
            </w:r>
          </w:p>
          <w:p>
            <w:pPr>
              <w:adjustRightInd w:val="0"/>
              <w:snapToGrid w:val="0"/>
              <w:spacing w:line="360" w:lineRule="auto"/>
              <w:ind w:firstLine="1050" w:firstLineChars="5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H 为罩口至污染源的距离，单位为 m，本项目为0.3m；</w:t>
            </w:r>
          </w:p>
          <w:p>
            <w:pPr>
              <w:adjustRightInd w:val="0"/>
              <w:snapToGrid w:val="0"/>
              <w:spacing w:line="360" w:lineRule="auto"/>
              <w:ind w:firstLine="1050" w:firstLineChars="5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V</w:t>
            </w:r>
            <w:r>
              <w:rPr>
                <w:rFonts w:hint="default" w:ascii="Times New Roman" w:hAnsi="Times New Roman" w:cs="Times New Roman"/>
                <w:color w:val="auto"/>
                <w:sz w:val="21"/>
                <w:szCs w:val="21"/>
                <w:vertAlign w:val="subscript"/>
              </w:rPr>
              <w:t>0</w:t>
            </w:r>
            <w:r>
              <w:rPr>
                <w:rFonts w:hint="default" w:ascii="Times New Roman" w:hAnsi="Times New Roman" w:cs="Times New Roman"/>
                <w:color w:val="auto"/>
                <w:sz w:val="21"/>
                <w:szCs w:val="21"/>
              </w:rPr>
              <w:t>为污染源气体流速，一般在0.5m/s</w:t>
            </w:r>
            <w:r>
              <w:rPr>
                <w:rFonts w:hint="eastAsia" w:cs="Times New Roman"/>
                <w:color w:val="auto"/>
                <w:sz w:val="21"/>
                <w:szCs w:val="21"/>
                <w:lang w:val="en-US" w:eastAsia="zh-CN"/>
              </w:rPr>
              <w:t>~</w:t>
            </w:r>
            <w:r>
              <w:rPr>
                <w:rFonts w:hint="default" w:ascii="Times New Roman" w:hAnsi="Times New Roman" w:cs="Times New Roman"/>
                <w:color w:val="auto"/>
                <w:sz w:val="21"/>
                <w:szCs w:val="21"/>
              </w:rPr>
              <w:t>1.5m/s，本项目取 0.</w:t>
            </w:r>
            <w:r>
              <w:rPr>
                <w:rFonts w:hint="eastAsia" w:cs="Times New Roman"/>
                <w:color w:val="auto"/>
                <w:sz w:val="21"/>
                <w:szCs w:val="21"/>
                <w:lang w:val="en-US" w:eastAsia="zh-CN"/>
              </w:rPr>
              <w:t>8</w:t>
            </w:r>
            <w:r>
              <w:rPr>
                <w:rFonts w:hint="default" w:ascii="Times New Roman" w:hAnsi="Times New Roman" w:cs="Times New Roman"/>
                <w:color w:val="auto"/>
                <w:sz w:val="21"/>
                <w:szCs w:val="21"/>
              </w:rPr>
              <w:t>m/s；</w:t>
            </w:r>
          </w:p>
          <w:p>
            <w:pPr>
              <w:adjustRightInd w:val="0"/>
              <w:snapToGrid w:val="0"/>
              <w:spacing w:line="360" w:lineRule="auto"/>
              <w:ind w:firstLine="420" w:firstLineChars="200"/>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经计算，本项目每台注塑机所需风量为</w:t>
            </w:r>
            <w:r>
              <w:rPr>
                <w:rFonts w:hint="eastAsia" w:cs="Times New Roman"/>
                <w:color w:val="auto"/>
                <w:sz w:val="21"/>
                <w:szCs w:val="21"/>
                <w:lang w:val="en-US" w:eastAsia="zh-CN"/>
              </w:rPr>
              <w:t>1331</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/h，故</w:t>
            </w:r>
            <w:r>
              <w:rPr>
                <w:rFonts w:hint="eastAsia" w:cs="Times New Roman"/>
                <w:color w:val="auto"/>
                <w:sz w:val="21"/>
                <w:szCs w:val="21"/>
                <w:lang w:val="en-US" w:eastAsia="zh-CN"/>
              </w:rPr>
              <w:t>5</w:t>
            </w:r>
            <w:r>
              <w:rPr>
                <w:rFonts w:hint="default" w:ascii="Times New Roman" w:hAnsi="Times New Roman" w:cs="Times New Roman"/>
                <w:color w:val="auto"/>
                <w:sz w:val="21"/>
                <w:szCs w:val="21"/>
              </w:rPr>
              <w:t>台注塑机所需风量为</w:t>
            </w:r>
            <w:r>
              <w:rPr>
                <w:rFonts w:hint="eastAsia" w:cs="Times New Roman"/>
                <w:color w:val="auto"/>
                <w:sz w:val="21"/>
                <w:szCs w:val="21"/>
                <w:lang w:val="en-US" w:eastAsia="zh-CN"/>
              </w:rPr>
              <w:t>6655</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/h。考虑管道阻力损失，风机风量预留约10%富余量，故项目风量取</w:t>
            </w:r>
            <w:r>
              <w:rPr>
                <w:rFonts w:hint="eastAsia" w:cs="Times New Roman"/>
                <w:color w:val="auto"/>
                <w:sz w:val="21"/>
                <w:szCs w:val="21"/>
                <w:lang w:val="en-US" w:eastAsia="zh-CN"/>
              </w:rPr>
              <w:t>8</w:t>
            </w:r>
            <w:r>
              <w:rPr>
                <w:rFonts w:hint="default" w:ascii="Times New Roman" w:hAnsi="Times New Roman" w:cs="Times New Roman"/>
                <w:color w:val="auto"/>
                <w:sz w:val="21"/>
                <w:szCs w:val="21"/>
              </w:rPr>
              <w:t>000m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/h</w:t>
            </w:r>
            <w:r>
              <w:rPr>
                <w:rFonts w:hint="eastAsia" w:cs="Times New Roman"/>
                <w:color w:val="auto"/>
                <w:sz w:val="21"/>
                <w:szCs w:val="21"/>
                <w:lang w:eastAsia="zh-CN"/>
              </w:rPr>
              <w:t>。</w:t>
            </w:r>
          </w:p>
          <w:p>
            <w:pPr>
              <w:adjustRightInd w:val="0"/>
              <w:snapToGrid w:val="0"/>
              <w:spacing w:line="360" w:lineRule="auto"/>
              <w:ind w:firstLine="422" w:firstLineChars="200"/>
              <w:rPr>
                <w:rFonts w:hint="default" w:ascii="Times New Roman" w:hAnsi="Times New Roman" w:cs="Times New Roman"/>
                <w:b/>
                <w:bCs/>
                <w:color w:val="auto"/>
                <w:sz w:val="21"/>
                <w:szCs w:val="21"/>
              </w:rPr>
            </w:pPr>
            <w:r>
              <w:rPr>
                <w:rFonts w:hint="eastAsia" w:cs="Times New Roman"/>
                <w:b/>
                <w:bCs/>
                <w:color w:val="auto"/>
                <w:sz w:val="21"/>
                <w:szCs w:val="21"/>
                <w:lang w:eastAsia="zh-CN"/>
              </w:rPr>
              <w:t>（</w:t>
            </w:r>
            <w:r>
              <w:rPr>
                <w:rFonts w:hint="eastAsia" w:cs="Times New Roman"/>
                <w:b/>
                <w:bCs/>
                <w:color w:val="auto"/>
                <w:sz w:val="21"/>
                <w:szCs w:val="21"/>
                <w:lang w:val="en-US" w:eastAsia="zh-CN"/>
              </w:rPr>
              <w:t>2</w:t>
            </w:r>
            <w:r>
              <w:rPr>
                <w:rFonts w:hint="eastAsia" w:cs="Times New Roman"/>
                <w:b/>
                <w:bCs/>
                <w:color w:val="auto"/>
                <w:sz w:val="21"/>
                <w:szCs w:val="21"/>
                <w:lang w:eastAsia="zh-CN"/>
              </w:rPr>
              <w:t>）</w:t>
            </w:r>
            <w:r>
              <w:rPr>
                <w:rFonts w:hint="default" w:ascii="Times New Roman" w:hAnsi="Times New Roman" w:cs="Times New Roman"/>
                <w:b/>
                <w:bCs/>
                <w:color w:val="auto"/>
                <w:sz w:val="21"/>
                <w:szCs w:val="21"/>
              </w:rPr>
              <w:t>有机废气治理工艺流程简述：</w:t>
            </w:r>
          </w:p>
          <w:p>
            <w:pPr>
              <w:adjustRightInd w:val="0"/>
              <w:snapToGrid w:val="0"/>
              <w:spacing w:line="360" w:lineRule="auto"/>
              <w:ind w:firstLine="420" w:firstLineChars="200"/>
              <w:rPr>
                <w:rFonts w:hint="default" w:cs="Times New Roman"/>
                <w:color w:val="auto"/>
                <w:sz w:val="21"/>
                <w:szCs w:val="21"/>
                <w:lang w:val="en-US" w:eastAsia="zh-CN"/>
              </w:rPr>
            </w:pPr>
            <w:r>
              <w:rPr>
                <w:rFonts w:hint="default" w:ascii="Times New Roman" w:hAnsi="Times New Roman" w:cs="Times New Roman"/>
                <w:color w:val="auto"/>
                <w:sz w:val="21"/>
                <w:szCs w:val="21"/>
              </w:rPr>
              <w:t>本项目有机废气治理设施采用一套</w:t>
            </w:r>
            <w:r>
              <w:rPr>
                <w:rFonts w:hint="default" w:cs="Times New Roman"/>
                <w:color w:val="auto"/>
                <w:sz w:val="21"/>
                <w:szCs w:val="21"/>
                <w:lang w:val="en-US" w:eastAsia="zh-CN"/>
              </w:rPr>
              <w:t>“</w:t>
            </w:r>
            <w:r>
              <w:rPr>
                <w:rFonts w:hint="eastAsia" w:cs="Times New Roman"/>
                <w:color w:val="auto"/>
                <w:sz w:val="21"/>
                <w:szCs w:val="21"/>
                <w:lang w:val="en-US" w:eastAsia="zh-CN"/>
              </w:rPr>
              <w:t>过滤棉箱</w:t>
            </w:r>
            <w:r>
              <w:rPr>
                <w:rFonts w:hint="default" w:cs="Times New Roman"/>
                <w:color w:val="auto"/>
                <w:sz w:val="21"/>
                <w:szCs w:val="21"/>
                <w:lang w:val="en-US" w:eastAsia="zh-CN"/>
              </w:rPr>
              <w:t>+活性炭吸附/脱附箱+催化燃烧设备”处理。活性炭吸附浓缩+催化燃烧法，该设备采用多气路连续工作，设备多个吸附床可交替使用。含有机物的废气经风机的作用，经过活性炭吸附层，有机物质被活性炭特有的吸附作用力截留在其内部，吸附去除效率达90%以上，吸附后的洁净气体经过风机由排气筒排出。</w:t>
            </w:r>
          </w:p>
          <w:p>
            <w:pPr>
              <w:adjustRightInd w:val="0"/>
              <w:snapToGrid w:val="0"/>
              <w:spacing w:line="360" w:lineRule="auto"/>
              <w:ind w:firstLine="420" w:firstLineChars="200"/>
              <w:rPr>
                <w:rFonts w:hint="default" w:cs="Times New Roman"/>
                <w:color w:val="auto"/>
                <w:sz w:val="21"/>
                <w:szCs w:val="21"/>
                <w:lang w:val="en-US" w:eastAsia="zh-CN"/>
              </w:rPr>
            </w:pPr>
            <w:r>
              <w:rPr>
                <w:rFonts w:hint="default" w:cs="Times New Roman"/>
                <w:color w:val="auto"/>
                <w:sz w:val="21"/>
                <w:szCs w:val="21"/>
                <w:lang w:val="en-US" w:eastAsia="zh-CN"/>
              </w:rPr>
              <w:t>经过一段时间后，活性炭达到饱和状态时，停止吸附，此时有机物已被浓缩在活性炭内，之后按照 PLC 自动控制程序将饱和的活性炭床与脱附后待用的活性炭床进行交替切换。CO（催化氧化设备）自动升温将热空气通过风机送入活性炭床使碳层升温将有机物从活性炭中“蒸”出，脱附出来的废气属于高浓度、小风量、高温度的有机废气。</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催化床催化燃烧： VOC-CH 型有机气体催化净化装置，是利用催化剂使</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有害气体中的可燃组分在较低的温度下氧化分解的净化方法。对于CnHm和有机溶剂蒸汽氧化分解生成 CO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和 H</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O 并释放出大量热。</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其反应过程为：</w:t>
            </w:r>
          </w:p>
          <w:p>
            <w:pPr>
              <w:adjustRightInd w:val="0"/>
              <w:snapToGrid w:val="0"/>
              <w:spacing w:line="360" w:lineRule="auto"/>
              <w:jc w:val="center"/>
              <w:rPr>
                <w:rFonts w:hint="default" w:ascii="Times New Roman" w:hAnsi="Times New Roman" w:cs="Times New Roman"/>
                <w:color w:val="auto"/>
                <w:sz w:val="21"/>
                <w:szCs w:val="21"/>
              </w:rPr>
            </w:pPr>
            <w:r>
              <w:rPr>
                <w:sz w:val="20"/>
              </w:rPr>
              <w:drawing>
                <wp:inline distT="0" distB="0" distL="0" distR="0">
                  <wp:extent cx="3058795" cy="466090"/>
                  <wp:effectExtent l="0" t="0" r="8255" b="10160"/>
                  <wp:docPr id="1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2.jpeg"/>
                          <pic:cNvPicPr>
                            <a:picLocks noChangeAspect="1"/>
                          </pic:cNvPicPr>
                        </pic:nvPicPr>
                        <pic:blipFill>
                          <a:blip r:embed="rId19" cstate="print"/>
                          <a:stretch>
                            <a:fillRect/>
                          </a:stretch>
                        </pic:blipFill>
                        <pic:spPr>
                          <a:xfrm>
                            <a:off x="0" y="0"/>
                            <a:ext cx="3058848" cy="466344"/>
                          </a:xfrm>
                          <a:prstGeom prst="rect">
                            <a:avLst/>
                          </a:prstGeom>
                        </pic:spPr>
                      </pic:pic>
                    </a:graphicData>
                  </a:graphic>
                </wp:inline>
              </w:drawing>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活性炭脱附出来的高浓度、小风量、高温度的有机废气进入催化燃烧炉的热交换器，和催化反应后的高温气体进行能量间接交换，此时废气源的温度得到第一次提升；具有一定温度的气体进入预热器，进行第二次的温度提升；之后进入第一级催化反应，此时有机废气在低温下部份分解，并释放出能量，对废气源进行直接加热，将气体温度提高到催化反应的最佳温度；经温度检测系统检测，温度符合催化反应的温度要求，进入催化燃烧室，有机气体得到彻底分解，同时释放出大量的热量；净化后的气体通过热交换器将热能转换给出冷气流，降温后气体由引风机排空。</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吸附单元活性炭介绍：</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活性炭常用于气体的吸附、分离和提纯、溶剂的回收、糖液、油脂、甘油、药物的脱色剂，饮用水或冰箱的除臭剂，防毒面具的滤毒剂，还可用作催化剂或金属盐催化剂的截体。</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当有机废气气体由风机提供动力，正压或负压进入塔体，由于活性炭固体表面上存在着未平衡和未饱和的分子引力或化学健力，因此当此固体表面与气体接触时，就能吸引气体分子，使其浓聚并保持在固体表面，污染物质及气味从而被吸附。</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根据建设单位提供资料，项目设有两个活性炭箱体，每个箱体装填活性炭</w:t>
            </w:r>
            <w:r>
              <w:rPr>
                <w:rFonts w:hint="eastAsia" w:cs="Times New Roman"/>
                <w:color w:val="auto"/>
                <w:sz w:val="21"/>
                <w:szCs w:val="21"/>
                <w:lang w:val="en-US" w:eastAsia="zh-CN"/>
              </w:rPr>
              <w:t>1</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，蜂窝活性炭密度按0.5*10</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kg/m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计，则2个箱体共盛装活性炭</w:t>
            </w:r>
            <w:r>
              <w:rPr>
                <w:rFonts w:hint="eastAsia" w:cs="Times New Roman"/>
                <w:color w:val="auto"/>
                <w:sz w:val="21"/>
                <w:szCs w:val="21"/>
                <w:lang w:val="en-US" w:eastAsia="zh-CN"/>
              </w:rPr>
              <w:t>1</w:t>
            </w:r>
            <w:r>
              <w:rPr>
                <w:rFonts w:hint="default" w:ascii="Times New Roman" w:hAnsi="Times New Roman" w:cs="Times New Roman"/>
                <w:color w:val="auto"/>
                <w:sz w:val="21"/>
                <w:szCs w:val="21"/>
              </w:rPr>
              <w:t>t。结合有机废气产生量及催化燃烧脱附模式，本项目活性炭更换频次为一年一次。</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催化燃烧单元：</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催化燃烧技术可以在较低温度（250至350℃）下实现对VOCs95%以上去除效率，反应完全，生成 CO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 xml:space="preserve"> 和 H</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O，是一种最节能和高效的废气处理技术之一。</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借助催化剂可使有机废气在较低的起燃温度条件下发生无焰燃烧，并氧化分解为CO</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 xml:space="preserve"> 和 H</w:t>
            </w:r>
            <w:r>
              <w:rPr>
                <w:rFonts w:hint="default" w:ascii="Times New Roman" w:hAnsi="Times New Roman" w:cs="Times New Roman"/>
                <w:color w:val="auto"/>
                <w:sz w:val="21"/>
                <w:szCs w:val="21"/>
                <w:vertAlign w:val="subscript"/>
              </w:rPr>
              <w:t>2</w:t>
            </w:r>
            <w:r>
              <w:rPr>
                <w:rFonts w:hint="default" w:ascii="Times New Roman" w:hAnsi="Times New Roman" w:cs="Times New Roman"/>
                <w:color w:val="auto"/>
                <w:sz w:val="21"/>
                <w:szCs w:val="21"/>
              </w:rPr>
              <w:t>O，同时放出大量热量。本项目催化剂采用进口技术合成高活性的1-2nm的铂基催化剂。</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催化炉由厚8mmQ235钢焊接，外壳采用 1.5mmQ235 中电喷涂，炉体采用 100mm 岩棉进行保温，外壳温度不大于60℃，该气体组分的起燃温度。</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脱附单元：</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热气流脱附，利用催化燃烧产生的烟气，经补冷风使其达到适合的温度由脱附风机吹入吸附箱脱附——吸附剂再生。脱附出来的高浓度有机废气直接引入催化燃烧单元的节能器加热后流过催化床燃烧。为预防脱附气体的热量在活性炭表面累积引起自燃，吸附箱都</w:t>
            </w:r>
            <w:r>
              <w:rPr>
                <w:rFonts w:hint="default" w:ascii="Times New Roman" w:hAnsi="Times New Roman" w:cs="Times New Roman"/>
                <w:color w:val="auto"/>
                <w:sz w:val="24"/>
                <w:szCs w:val="24"/>
              </w:rPr>
              <w:t>加</w:t>
            </w:r>
            <w:r>
              <w:rPr>
                <w:rFonts w:hint="default" w:ascii="Times New Roman" w:hAnsi="Times New Roman" w:cs="Times New Roman"/>
                <w:color w:val="auto"/>
                <w:sz w:val="21"/>
                <w:szCs w:val="21"/>
              </w:rPr>
              <w:t>装了喷淋装置。</w:t>
            </w:r>
          </w:p>
          <w:p>
            <w:pPr>
              <w:adjustRightInd w:val="0"/>
              <w:snapToGrid w:val="0"/>
              <w:spacing w:line="240" w:lineRule="auto"/>
              <w:jc w:val="center"/>
              <w:rPr>
                <w:rFonts w:hint="default" w:ascii="Times New Roman" w:hAnsi="Times New Roman" w:cs="Times New Roman"/>
                <w:color w:val="auto"/>
                <w:sz w:val="21"/>
                <w:szCs w:val="21"/>
              </w:rPr>
            </w:pPr>
            <w:r>
              <w:drawing>
                <wp:inline distT="0" distB="0" distL="0" distR="0">
                  <wp:extent cx="4419600" cy="2885440"/>
                  <wp:effectExtent l="0" t="0" r="0" b="10160"/>
                  <wp:docPr id="1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3.jpeg"/>
                          <pic:cNvPicPr>
                            <a:picLocks noChangeAspect="1"/>
                          </pic:cNvPicPr>
                        </pic:nvPicPr>
                        <pic:blipFill>
                          <a:blip r:embed="rId20" cstate="print"/>
                          <a:stretch>
                            <a:fillRect/>
                          </a:stretch>
                        </pic:blipFill>
                        <pic:spPr>
                          <a:xfrm>
                            <a:off x="0" y="0"/>
                            <a:ext cx="4419600" cy="2885440"/>
                          </a:xfrm>
                          <a:prstGeom prst="rect">
                            <a:avLst/>
                          </a:prstGeom>
                        </pic:spPr>
                      </pic:pic>
                    </a:graphicData>
                  </a:graphic>
                </wp:inline>
              </w:drawing>
            </w:r>
          </w:p>
          <w:p>
            <w:pPr>
              <w:bidi w:val="0"/>
              <w:jc w:val="center"/>
              <w:rPr>
                <w:b/>
                <w:bCs/>
                <w:sz w:val="21"/>
                <w:szCs w:val="21"/>
              </w:rPr>
            </w:pPr>
            <w:r>
              <w:rPr>
                <w:b/>
                <w:bCs/>
                <w:sz w:val="21"/>
                <w:szCs w:val="21"/>
              </w:rPr>
              <w:t xml:space="preserve">图 </w:t>
            </w:r>
            <w:r>
              <w:rPr>
                <w:rFonts w:hint="eastAsia"/>
                <w:b/>
                <w:bCs/>
                <w:sz w:val="21"/>
                <w:szCs w:val="21"/>
                <w:lang w:val="en-US" w:eastAsia="zh-CN"/>
              </w:rPr>
              <w:t xml:space="preserve">3  </w:t>
            </w:r>
            <w:r>
              <w:rPr>
                <w:b/>
                <w:bCs/>
                <w:sz w:val="21"/>
                <w:szCs w:val="21"/>
              </w:rPr>
              <w:t>有机废气处理装置工艺流程图</w:t>
            </w:r>
          </w:p>
          <w:p>
            <w:pPr>
              <w:adjustRightInd w:val="0"/>
              <w:snapToGrid w:val="0"/>
              <w:spacing w:line="360" w:lineRule="auto"/>
              <w:ind w:firstLine="420" w:firstLineChars="200"/>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rPr>
              <w:t>本项目有机废气处理工艺采用</w:t>
            </w:r>
            <w:r>
              <w:rPr>
                <w:rFonts w:hint="eastAsia" w:cs="Times New Roman"/>
                <w:color w:val="auto"/>
                <w:sz w:val="21"/>
                <w:szCs w:val="21"/>
                <w:lang w:eastAsia="zh-CN"/>
              </w:rPr>
              <w:t>过滤棉箱</w:t>
            </w:r>
            <w:r>
              <w:rPr>
                <w:rFonts w:hint="default" w:ascii="Times New Roman" w:hAnsi="Times New Roman" w:cs="Times New Roman"/>
                <w:color w:val="auto"/>
                <w:sz w:val="21"/>
                <w:szCs w:val="21"/>
              </w:rPr>
              <w:t>+活性炭吸附+催化燃烧处理工艺，其中吸附过程吸附介质为高效活性炭，催化燃烧工艺为离线脱附工艺。</w:t>
            </w:r>
          </w:p>
          <w:p>
            <w:pPr>
              <w:tabs>
                <w:tab w:val="left" w:pos="1593"/>
              </w:tabs>
              <w:spacing w:before="0" w:line="283" w:lineRule="exact"/>
              <w:ind w:left="0" w:right="437" w:firstLine="0"/>
              <w:jc w:val="center"/>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9"/>
                <w:sz w:val="21"/>
              </w:rPr>
              <w:t xml:space="preserve"> </w:t>
            </w:r>
            <w:r>
              <w:rPr>
                <w:rFonts w:hint="eastAsia" w:ascii="Times New Roman" w:eastAsia="宋体"/>
                <w:b/>
                <w:sz w:val="21"/>
                <w:lang w:val="en-US" w:eastAsia="zh-CN"/>
              </w:rPr>
              <w:t xml:space="preserve">21  </w:t>
            </w:r>
            <w:r>
              <w:rPr>
                <w:rFonts w:hint="eastAsia" w:ascii="Microsoft YaHei UI" w:eastAsia="Microsoft YaHei UI"/>
                <w:b/>
                <w:sz w:val="21"/>
              </w:rPr>
              <w:t>主要技术性能指标</w:t>
            </w:r>
          </w:p>
          <w:tbl>
            <w:tblPr>
              <w:tblStyle w:val="20"/>
              <w:tblW w:w="0" w:type="auto"/>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1191"/>
              <w:gridCol w:w="1830"/>
              <w:gridCol w:w="522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78" w:hRule="atLeast"/>
                <w:jc w:val="center"/>
              </w:trPr>
              <w:tc>
                <w:tcPr>
                  <w:tcW w:w="1191" w:type="dxa"/>
                  <w:vMerge w:val="restart"/>
                  <w:tcBorders>
                    <w:top w:val="single" w:color="000000" w:sz="8" w:space="0"/>
                    <w:left w:val="single" w:color="auto" w:sz="0"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设备名称</w:t>
                  </w:r>
                </w:p>
              </w:tc>
              <w:tc>
                <w:tcPr>
                  <w:tcW w:w="7050" w:type="dxa"/>
                  <w:gridSpan w:val="2"/>
                  <w:tcBorders>
                    <w:top w:val="single" w:color="000000" w:sz="8"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 xml:space="preserve">处理能力 </w:t>
                  </w:r>
                  <w:r>
                    <w:rPr>
                      <w:rFonts w:hint="eastAsia"/>
                      <w:sz w:val="21"/>
                      <w:szCs w:val="21"/>
                      <w:lang w:val="en-US" w:eastAsia="zh-CN"/>
                    </w:rPr>
                    <w:t>8</w:t>
                  </w:r>
                  <w:r>
                    <w:rPr>
                      <w:rFonts w:hint="default"/>
                      <w:sz w:val="21"/>
                      <w:szCs w:val="21"/>
                      <w:lang w:val="en-US" w:eastAsia="zh-CN"/>
                    </w:rPr>
                    <w:t>000m</w:t>
                  </w:r>
                  <w:r>
                    <w:rPr>
                      <w:rFonts w:hint="default"/>
                      <w:sz w:val="21"/>
                      <w:szCs w:val="21"/>
                      <w:vertAlign w:val="superscript"/>
                      <w:lang w:val="en-US" w:eastAsia="zh-CN"/>
                    </w:rPr>
                    <w:t>3</w:t>
                  </w:r>
                  <w:r>
                    <w:rPr>
                      <w:rFonts w:hint="default"/>
                      <w:sz w:val="21"/>
                      <w:szCs w:val="21"/>
                      <w:lang w:val="en-US" w:eastAsia="zh-CN"/>
                    </w:rPr>
                    <w:t>/h</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45"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指标</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参数</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83" w:hRule="atLeast"/>
                <w:jc w:val="center"/>
              </w:trPr>
              <w:tc>
                <w:tcPr>
                  <w:tcW w:w="1191" w:type="dxa"/>
                  <w:vMerge w:val="restart"/>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吸附净化装置</w:t>
                  </w: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吸附风量</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eastAsia"/>
                      <w:sz w:val="21"/>
                      <w:szCs w:val="21"/>
                      <w:lang w:val="en-US" w:eastAsia="zh-CN"/>
                    </w:rPr>
                    <w:t>8</w:t>
                  </w:r>
                  <w:r>
                    <w:rPr>
                      <w:rFonts w:hint="default"/>
                      <w:sz w:val="21"/>
                      <w:szCs w:val="21"/>
                      <w:lang w:val="en-US" w:eastAsia="zh-CN"/>
                    </w:rPr>
                    <w:t>000m</w:t>
                  </w:r>
                  <w:r>
                    <w:rPr>
                      <w:rFonts w:hint="default"/>
                      <w:sz w:val="21"/>
                      <w:szCs w:val="21"/>
                      <w:vertAlign w:val="superscript"/>
                      <w:lang w:val="en-US" w:eastAsia="zh-CN"/>
                    </w:rPr>
                    <w:t>3</w:t>
                  </w:r>
                  <w:r>
                    <w:rPr>
                      <w:rFonts w:hint="default"/>
                      <w:sz w:val="21"/>
                      <w:szCs w:val="21"/>
                      <w:lang w:val="en-US" w:eastAsia="zh-CN"/>
                    </w:rPr>
                    <w:t>/h</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15"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活性炭填充量</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设置 2 个活性炭箱，每个活性炭箱中活性炭填充量为</w:t>
                  </w:r>
                  <w:r>
                    <w:rPr>
                      <w:rFonts w:hint="eastAsia"/>
                      <w:sz w:val="21"/>
                      <w:szCs w:val="21"/>
                      <w:lang w:val="en-US" w:eastAsia="zh-CN"/>
                    </w:rPr>
                    <w:t>1</w:t>
                  </w:r>
                  <w:r>
                    <w:rPr>
                      <w:rFonts w:hint="default"/>
                      <w:sz w:val="21"/>
                      <w:szCs w:val="21"/>
                      <w:lang w:val="en-US" w:eastAsia="zh-CN"/>
                    </w:rPr>
                    <w:t>m</w:t>
                  </w:r>
                  <w:r>
                    <w:rPr>
                      <w:rFonts w:hint="default"/>
                      <w:sz w:val="21"/>
                      <w:szCs w:val="21"/>
                      <w:vertAlign w:val="superscript"/>
                      <w:lang w:val="en-US" w:eastAsia="zh-CN"/>
                    </w:rPr>
                    <w:t>3</w:t>
                  </w:r>
                  <w:r>
                    <w:rPr>
                      <w:rFonts w:hint="default"/>
                      <w:sz w:val="21"/>
                      <w:szCs w:val="21"/>
                      <w:lang w:val="en-US" w:eastAsia="zh-CN"/>
                    </w:rPr>
                    <w:t>，采用蜂窝状活性炭， 活性炭密度约为</w:t>
                  </w:r>
                  <w:r>
                    <w:rPr>
                      <w:rFonts w:hint="default" w:ascii="Times New Roman" w:hAnsi="Times New Roman" w:cs="Times New Roman"/>
                      <w:color w:val="auto"/>
                      <w:sz w:val="21"/>
                      <w:szCs w:val="21"/>
                    </w:rPr>
                    <w:t>0.5*10</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kg/m</w:t>
                  </w:r>
                  <w:r>
                    <w:rPr>
                      <w:rFonts w:hint="default" w:ascii="Times New Roman" w:hAnsi="Times New Roman" w:cs="Times New Roman"/>
                      <w:color w:val="auto"/>
                      <w:sz w:val="21"/>
                      <w:szCs w:val="21"/>
                      <w:vertAlign w:val="superscript"/>
                    </w:rPr>
                    <w:t>3</w:t>
                  </w:r>
                  <w:r>
                    <w:rPr>
                      <w:rFonts w:hint="default"/>
                      <w:sz w:val="21"/>
                      <w:szCs w:val="21"/>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9"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单箱吸附周期</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＞40h</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9"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活性炭比表面积</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1000m</w:t>
                  </w:r>
                  <w:r>
                    <w:rPr>
                      <w:rFonts w:hint="default"/>
                      <w:sz w:val="21"/>
                      <w:szCs w:val="21"/>
                      <w:vertAlign w:val="superscript"/>
                      <w:lang w:val="en-US" w:eastAsia="zh-CN"/>
                    </w:rPr>
                    <w:t>2</w:t>
                  </w:r>
                  <w:r>
                    <w:rPr>
                      <w:rFonts w:hint="default"/>
                      <w:sz w:val="21"/>
                      <w:szCs w:val="21"/>
                      <w:lang w:val="en-US" w:eastAsia="zh-CN"/>
                    </w:rPr>
                    <w:t>/g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9"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建议碘吸附值</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≥800mg/g</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57" w:hRule="atLeast"/>
                <w:jc w:val="center"/>
              </w:trPr>
              <w:tc>
                <w:tcPr>
                  <w:tcW w:w="1191"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830"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活性炭更换周期</w:t>
                  </w:r>
                </w:p>
              </w:tc>
              <w:tc>
                <w:tcPr>
                  <w:tcW w:w="5220" w:type="dxa"/>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eastAsia"/>
                      <w:sz w:val="21"/>
                      <w:szCs w:val="21"/>
                      <w:lang w:val="en-US" w:eastAsia="zh-CN"/>
                    </w:rPr>
                    <w:t>次/a</w:t>
                  </w:r>
                </w:p>
              </w:tc>
            </w:tr>
          </w:tbl>
          <w:p>
            <w:pPr>
              <w:adjustRightInd w:val="0"/>
              <w:snapToGrid w:val="0"/>
              <w:spacing w:line="360" w:lineRule="auto"/>
              <w:ind w:firstLine="420" w:firstLineChars="200"/>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w:t>
            </w:r>
            <w:r>
              <w:rPr>
                <w:rFonts w:hint="eastAsia" w:cs="Times New Roman"/>
                <w:color w:val="auto"/>
                <w:sz w:val="21"/>
                <w:szCs w:val="21"/>
                <w:lang w:val="en-US" w:eastAsia="zh-CN"/>
              </w:rPr>
              <w:t>3</w:t>
            </w:r>
            <w:r>
              <w:rPr>
                <w:rFonts w:hint="eastAsia" w:cs="Times New Roman"/>
                <w:color w:val="auto"/>
                <w:sz w:val="21"/>
                <w:szCs w:val="21"/>
                <w:lang w:eastAsia="zh-CN"/>
              </w:rPr>
              <w:t>）废气排放达标分析</w:t>
            </w:r>
          </w:p>
          <w:p>
            <w:pPr>
              <w:adjustRightInd w:val="0"/>
              <w:snapToGrid w:val="0"/>
              <w:spacing w:line="360" w:lineRule="auto"/>
              <w:ind w:firstLine="420" w:firstLineChars="200"/>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①有组织废气</w:t>
            </w:r>
          </w:p>
          <w:p>
            <w:pPr>
              <w:adjustRightInd w:val="0"/>
              <w:snapToGrid w:val="0"/>
              <w:spacing w:line="36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根据建设单位提供的设计资料，收集效率按90%计算，吸附状态时有机废气去除效率可达90%；脱附解吸后进入催化燃烧装置，有机废气去除效率可达98%，脱附时间最长为600h。</w:t>
            </w:r>
          </w:p>
          <w:p>
            <w:pPr>
              <w:adjustRightInd w:val="0"/>
              <w:snapToGrid w:val="0"/>
              <w:spacing w:line="240" w:lineRule="auto"/>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w:t>
            </w:r>
            <w:r>
              <w:rPr>
                <w:rFonts w:hint="eastAsia" w:ascii="Times New Roman" w:hAnsi="Times New Roman" w:cs="Times New Roman"/>
                <w:b/>
                <w:bCs/>
                <w:color w:val="auto"/>
                <w:sz w:val="21"/>
                <w:szCs w:val="21"/>
                <w:lang w:val="en-US" w:eastAsia="zh-CN"/>
              </w:rPr>
              <w:t>22</w:t>
            </w:r>
            <w:r>
              <w:rPr>
                <w:rFonts w:hint="default" w:ascii="Times New Roman" w:hAnsi="Times New Roman" w:cs="Times New Roman"/>
                <w:b/>
                <w:bCs/>
                <w:color w:val="auto"/>
                <w:sz w:val="21"/>
                <w:szCs w:val="21"/>
              </w:rPr>
              <w:t xml:space="preserve"> 有机废气吸附状态产生、排放情况一览表</w:t>
            </w:r>
          </w:p>
          <w:tbl>
            <w:tblPr>
              <w:tblStyle w:val="20"/>
              <w:tblW w:w="843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332"/>
              <w:gridCol w:w="1491"/>
              <w:gridCol w:w="1554"/>
              <w:gridCol w:w="1049"/>
              <w:gridCol w:w="1095"/>
              <w:gridCol w:w="1020"/>
              <w:gridCol w:w="897"/>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32"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类别</w:t>
                  </w:r>
                </w:p>
              </w:tc>
              <w:tc>
                <w:tcPr>
                  <w:tcW w:w="3045" w:type="dxa"/>
                  <w:gridSpan w:val="2"/>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非甲烷总烃产生情况</w:t>
                  </w:r>
                </w:p>
              </w:tc>
              <w:tc>
                <w:tcPr>
                  <w:tcW w:w="1049"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活性炭吸附效率</w:t>
                  </w:r>
                </w:p>
              </w:tc>
              <w:tc>
                <w:tcPr>
                  <w:tcW w:w="3012" w:type="dxa"/>
                  <w:gridSpan w:val="3"/>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排放情况</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312" w:hRule="atLeast"/>
                <w:jc w:val="center"/>
              </w:trPr>
              <w:tc>
                <w:tcPr>
                  <w:tcW w:w="133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3045" w:type="dxa"/>
                  <w:gridSpan w:val="2"/>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1049"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1095"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速率kg/h</w:t>
                  </w:r>
                </w:p>
              </w:tc>
              <w:tc>
                <w:tcPr>
                  <w:tcW w:w="1020"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浓度mg/m</w:t>
                  </w:r>
                  <w:r>
                    <w:rPr>
                      <w:rFonts w:hint="default" w:ascii="Times New Roman" w:hAnsi="Times New Roman" w:eastAsia="宋体" w:cs="Times New Roman"/>
                      <w:sz w:val="21"/>
                      <w:szCs w:val="21"/>
                      <w:vertAlign w:val="superscript"/>
                      <w:lang w:val="en-US" w:eastAsia="zh-CN"/>
                    </w:rPr>
                    <w:t>3</w:t>
                  </w:r>
                </w:p>
              </w:tc>
              <w:tc>
                <w:tcPr>
                  <w:tcW w:w="897"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排放量t</w:t>
                  </w:r>
                  <w:r>
                    <w:rPr>
                      <w:rFonts w:hint="default" w:ascii="Times New Roman" w:hAnsi="Times New Roman" w:eastAsia="宋体" w:cs="Times New Roman"/>
                      <w:sz w:val="21"/>
                      <w:szCs w:val="21"/>
                      <w:lang w:val="en-US" w:eastAsia="zh-CN"/>
                    </w:rPr>
                    <w:t>/a</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32"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1491"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产生量</w:t>
                  </w:r>
                  <w:r>
                    <w:rPr>
                      <w:rFonts w:hint="eastAsia" w:cs="Times New Roman"/>
                      <w:sz w:val="21"/>
                      <w:szCs w:val="21"/>
                      <w:lang w:val="en-US" w:eastAsia="zh-CN"/>
                    </w:rPr>
                    <w:t>t</w:t>
                  </w:r>
                  <w:r>
                    <w:rPr>
                      <w:rFonts w:hint="default" w:ascii="Times New Roman" w:hAnsi="Times New Roman" w:eastAsia="宋体" w:cs="Times New Roman"/>
                      <w:sz w:val="21"/>
                      <w:szCs w:val="21"/>
                      <w:lang w:val="en-US" w:eastAsia="zh-CN"/>
                    </w:rPr>
                    <w:t>/a</w:t>
                  </w:r>
                </w:p>
              </w:tc>
              <w:tc>
                <w:tcPr>
                  <w:tcW w:w="155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速率kg/h</w:t>
                  </w:r>
                </w:p>
              </w:tc>
              <w:tc>
                <w:tcPr>
                  <w:tcW w:w="1049"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1095"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102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897"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32"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注塑</w:t>
                  </w:r>
                </w:p>
              </w:tc>
              <w:tc>
                <w:tcPr>
                  <w:tcW w:w="1491"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1.215</w:t>
                  </w:r>
                </w:p>
              </w:tc>
              <w:tc>
                <w:tcPr>
                  <w:tcW w:w="155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0.51</w:t>
                  </w:r>
                </w:p>
              </w:tc>
              <w:tc>
                <w:tcPr>
                  <w:tcW w:w="1049"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90%</w:t>
                  </w:r>
                </w:p>
              </w:tc>
              <w:tc>
                <w:tcPr>
                  <w:tcW w:w="109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0.</w:t>
                  </w:r>
                  <w:r>
                    <w:rPr>
                      <w:rFonts w:hint="eastAsia" w:cs="Times New Roman"/>
                      <w:sz w:val="21"/>
                      <w:szCs w:val="21"/>
                      <w:lang w:val="en-US" w:eastAsia="zh-CN"/>
                    </w:rPr>
                    <w:t>045</w:t>
                  </w:r>
                </w:p>
              </w:tc>
              <w:tc>
                <w:tcPr>
                  <w:tcW w:w="102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5.68</w:t>
                  </w:r>
                </w:p>
              </w:tc>
              <w:tc>
                <w:tcPr>
                  <w:tcW w:w="897"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0.109</w:t>
                  </w:r>
                </w:p>
              </w:tc>
            </w:tr>
          </w:tbl>
          <w:p>
            <w:pPr>
              <w:adjustRightInd w:val="0"/>
              <w:snapToGrid w:val="0"/>
              <w:spacing w:line="240" w:lineRule="auto"/>
              <w:jc w:val="center"/>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表 2</w:t>
            </w:r>
            <w:r>
              <w:rPr>
                <w:rFonts w:hint="eastAsia" w:ascii="Times New Roman" w:hAnsi="Times New Roman" w:cs="Times New Roman"/>
                <w:b/>
                <w:bCs/>
                <w:color w:val="auto"/>
                <w:sz w:val="21"/>
                <w:szCs w:val="21"/>
                <w:lang w:val="en-US" w:eastAsia="zh-CN"/>
              </w:rPr>
              <w:t>3</w:t>
            </w:r>
            <w:r>
              <w:rPr>
                <w:rFonts w:hint="default" w:ascii="Times New Roman" w:hAnsi="Times New Roman" w:cs="Times New Roman"/>
                <w:b/>
                <w:bCs/>
                <w:color w:val="auto"/>
                <w:sz w:val="21"/>
                <w:szCs w:val="21"/>
              </w:rPr>
              <w:t xml:space="preserve">   有机废气脱附状态产生、排放情况一览表</w:t>
            </w:r>
          </w:p>
          <w:tbl>
            <w:tblPr>
              <w:tblStyle w:val="20"/>
              <w:tblW w:w="8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347"/>
              <w:gridCol w:w="1594"/>
              <w:gridCol w:w="1018"/>
              <w:gridCol w:w="1058"/>
              <w:gridCol w:w="1058"/>
              <w:gridCol w:w="879"/>
              <w:gridCol w:w="1534"/>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47"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污染物</w:t>
                  </w:r>
                </w:p>
              </w:tc>
              <w:tc>
                <w:tcPr>
                  <w:tcW w:w="1594"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 xml:space="preserve">进入催化燃烧装置污染物量 </w:t>
                  </w:r>
                  <w:r>
                    <w:rPr>
                      <w:rFonts w:hint="eastAsia" w:cs="Times New Roman"/>
                      <w:sz w:val="21"/>
                      <w:szCs w:val="21"/>
                      <w:lang w:val="en-US" w:eastAsia="zh-CN"/>
                    </w:rPr>
                    <w:t>t</w:t>
                  </w:r>
                  <w:r>
                    <w:rPr>
                      <w:rFonts w:hint="default" w:ascii="Times New Roman" w:hAnsi="Times New Roman" w:eastAsia="宋体" w:cs="Times New Roman"/>
                      <w:sz w:val="21"/>
                      <w:szCs w:val="21"/>
                      <w:lang w:val="en-US" w:eastAsia="zh-CN"/>
                    </w:rPr>
                    <w:t>/a</w:t>
                  </w:r>
                </w:p>
              </w:tc>
              <w:tc>
                <w:tcPr>
                  <w:tcW w:w="1018" w:type="dxa"/>
                  <w:vMerge w:val="restart"/>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脱附风量</w:t>
                  </w:r>
                  <w:r>
                    <w:rPr>
                      <w:rFonts w:hint="default" w:ascii="Times New Roman" w:hAnsi="Times New Roman" w:eastAsia="宋体" w:cs="Times New Roman"/>
                      <w:sz w:val="21"/>
                      <w:szCs w:val="21"/>
                      <w:lang w:val="en-US" w:eastAsia="zh-CN"/>
                    </w:rPr>
                    <w:t>m</w:t>
                  </w:r>
                  <w:r>
                    <w:rPr>
                      <w:rFonts w:hint="default" w:ascii="Times New Roman" w:hAnsi="Times New Roman" w:eastAsia="宋体" w:cs="Times New Roman"/>
                      <w:sz w:val="21"/>
                      <w:szCs w:val="21"/>
                      <w:vertAlign w:val="superscript"/>
                      <w:lang w:val="en-US" w:eastAsia="zh-CN"/>
                    </w:rPr>
                    <w:t>3</w:t>
                  </w:r>
                  <w:r>
                    <w:rPr>
                      <w:rFonts w:hint="default" w:ascii="Times New Roman" w:hAnsi="Times New Roman" w:eastAsia="宋体" w:cs="Times New Roman"/>
                      <w:sz w:val="21"/>
                      <w:szCs w:val="21"/>
                      <w:lang w:val="en-US" w:eastAsia="zh-CN"/>
                    </w:rPr>
                    <w:t>/h</w:t>
                  </w:r>
                </w:p>
              </w:tc>
              <w:tc>
                <w:tcPr>
                  <w:tcW w:w="1058" w:type="dxa"/>
                  <w:vMerge w:val="restart"/>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工作时间 h</w:t>
                  </w:r>
                </w:p>
              </w:tc>
              <w:tc>
                <w:tcPr>
                  <w:tcW w:w="3471" w:type="dxa"/>
                  <w:gridSpan w:val="3"/>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排放情况</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47" w:type="dxa"/>
                  <w:vMerge w:val="continue"/>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p>
              </w:tc>
              <w:tc>
                <w:tcPr>
                  <w:tcW w:w="1594" w:type="dxa"/>
                  <w:vMerge w:val="continue"/>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p>
              </w:tc>
              <w:tc>
                <w:tcPr>
                  <w:tcW w:w="1018" w:type="dxa"/>
                  <w:vMerge w:val="continue"/>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p>
              </w:tc>
              <w:tc>
                <w:tcPr>
                  <w:tcW w:w="1058" w:type="dxa"/>
                  <w:vMerge w:val="continue"/>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p>
              </w:tc>
              <w:tc>
                <w:tcPr>
                  <w:tcW w:w="1058" w:type="dxa"/>
                  <w:tcBorders>
                    <w:tl2br w:val="nil"/>
                    <w:tr2bl w:val="nil"/>
                  </w:tcBorders>
                  <w:vAlign w:val="center"/>
                </w:tcPr>
                <w:p>
                  <w:pPr>
                    <w:bidi w:val="0"/>
                    <w:spacing w:line="240" w:lineRule="auto"/>
                    <w:ind w:firstLine="0" w:firstLineChars="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排放量t</w:t>
                  </w:r>
                  <w:r>
                    <w:rPr>
                      <w:rFonts w:hint="default" w:ascii="Times New Roman" w:hAnsi="Times New Roman" w:eastAsia="宋体" w:cs="Times New Roman"/>
                      <w:sz w:val="21"/>
                      <w:szCs w:val="21"/>
                      <w:lang w:val="en-US" w:eastAsia="zh-CN"/>
                    </w:rPr>
                    <w:t>/a</w:t>
                  </w:r>
                </w:p>
              </w:tc>
              <w:tc>
                <w:tcPr>
                  <w:tcW w:w="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速率kg/h</w:t>
                  </w:r>
                </w:p>
              </w:tc>
              <w:tc>
                <w:tcPr>
                  <w:tcW w:w="153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浓度mg/m</w:t>
                  </w:r>
                  <w:r>
                    <w:rPr>
                      <w:rFonts w:hint="default" w:ascii="Times New Roman" w:hAnsi="Times New Roman" w:eastAsia="宋体" w:cs="Times New Roman"/>
                      <w:sz w:val="21"/>
                      <w:szCs w:val="21"/>
                      <w:vertAlign w:val="superscript"/>
                      <w:lang w:val="en-US" w:eastAsia="zh-CN"/>
                    </w:rPr>
                    <w:t>3</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47"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注塑</w:t>
                  </w:r>
                </w:p>
              </w:tc>
              <w:tc>
                <w:tcPr>
                  <w:tcW w:w="159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0.98415</w:t>
                  </w:r>
                </w:p>
              </w:tc>
              <w:tc>
                <w:tcPr>
                  <w:tcW w:w="1018"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1600</w:t>
                  </w:r>
                </w:p>
              </w:tc>
              <w:tc>
                <w:tcPr>
                  <w:tcW w:w="1058"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600</w:t>
                  </w:r>
                </w:p>
              </w:tc>
              <w:tc>
                <w:tcPr>
                  <w:tcW w:w="1058" w:type="dxa"/>
                  <w:tcBorders>
                    <w:tl2br w:val="nil"/>
                    <w:tr2bl w:val="nil"/>
                  </w:tcBorders>
                  <w:vAlign w:val="center"/>
                </w:tcPr>
                <w:p>
                  <w:pPr>
                    <w:bidi w:val="0"/>
                    <w:spacing w:line="240" w:lineRule="auto"/>
                    <w:ind w:firstLine="0" w:firstLineChars="0"/>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0.02</w:t>
                  </w:r>
                </w:p>
              </w:tc>
              <w:tc>
                <w:tcPr>
                  <w:tcW w:w="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0.0</w:t>
                  </w:r>
                  <w:r>
                    <w:rPr>
                      <w:rFonts w:hint="eastAsia" w:cs="Times New Roman"/>
                      <w:sz w:val="21"/>
                      <w:szCs w:val="21"/>
                      <w:lang w:val="en-US" w:eastAsia="zh-CN"/>
                    </w:rPr>
                    <w:t>3</w:t>
                  </w:r>
                </w:p>
              </w:tc>
              <w:tc>
                <w:tcPr>
                  <w:tcW w:w="153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20.8</w:t>
                  </w:r>
                </w:p>
              </w:tc>
            </w:tr>
          </w:tbl>
          <w:p>
            <w:pPr>
              <w:adjustRightInd w:val="0"/>
              <w:snapToGrid w:val="0"/>
              <w:spacing w:line="360" w:lineRule="auto"/>
              <w:ind w:firstLine="420" w:firstLineChars="200"/>
              <w:rPr>
                <w:rFonts w:hint="default" w:ascii="Times New Roman" w:hAnsi="Times New Roman" w:cs="Times New Roman"/>
                <w:color w:val="auto"/>
                <w:sz w:val="21"/>
                <w:szCs w:val="21"/>
              </w:rPr>
            </w:pPr>
            <w:r>
              <w:rPr>
                <w:rFonts w:hint="eastAsia" w:cs="Times New Roman"/>
                <w:color w:val="auto"/>
                <w:sz w:val="21"/>
                <w:szCs w:val="21"/>
                <w:lang w:val="en-US" w:eastAsia="zh-CN"/>
              </w:rPr>
              <w:t>经上表可知</w:t>
            </w:r>
            <w:r>
              <w:rPr>
                <w:rFonts w:hint="default" w:ascii="Times New Roman" w:hAnsi="Times New Roman" w:cs="Times New Roman"/>
                <w:color w:val="auto"/>
                <w:sz w:val="21"/>
                <w:szCs w:val="21"/>
              </w:rPr>
              <w:t>非甲烷总烃排放浓度满足《合成树脂工业污染物排放标准》（GB 31572-2015）表 5 大气污染物特别排放限值非甲烷总烃 60mg/m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，同时满足河北省十一个行业重污染天气应急减排措施制定技术指南（试行）中塑料制品行业绩效分级指标（B 级企业）排放限值非甲烷总烃30mg/m</w:t>
            </w:r>
            <w:r>
              <w:rPr>
                <w:rFonts w:hint="default" w:ascii="Times New Roman" w:hAnsi="Times New Roman" w:cs="Times New Roman"/>
                <w:color w:val="auto"/>
                <w:sz w:val="21"/>
                <w:szCs w:val="21"/>
                <w:vertAlign w:val="superscript"/>
              </w:rPr>
              <w:t>3</w:t>
            </w:r>
            <w:r>
              <w:rPr>
                <w:rFonts w:hint="default" w:ascii="Times New Roman" w:hAnsi="Times New Roman" w:cs="Times New Roman"/>
                <w:color w:val="auto"/>
                <w:sz w:val="21"/>
                <w:szCs w:val="21"/>
              </w:rPr>
              <w:t>，去除效率≥80%的要求。</w:t>
            </w:r>
          </w:p>
          <w:p>
            <w:pPr>
              <w:adjustRightInd w:val="0"/>
              <w:snapToGrid w:val="0"/>
              <w:spacing w:line="240" w:lineRule="auto"/>
              <w:jc w:val="center"/>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9"/>
                <w:sz w:val="21"/>
              </w:rPr>
              <w:t xml:space="preserve"> </w:t>
            </w:r>
            <w:r>
              <w:rPr>
                <w:rFonts w:hint="eastAsia" w:ascii="Times New Roman" w:eastAsia="宋体"/>
                <w:b/>
                <w:sz w:val="21"/>
                <w:lang w:val="en-US" w:eastAsia="zh-CN"/>
              </w:rPr>
              <w:t>24</w:t>
            </w:r>
            <w:r>
              <w:rPr>
                <w:rFonts w:ascii="Times New Roman" w:eastAsia="Times New Roman"/>
                <w:b/>
                <w:sz w:val="21"/>
              </w:rPr>
              <w:tab/>
            </w:r>
            <w:r>
              <w:rPr>
                <w:rFonts w:hint="eastAsia" w:ascii="Microsoft YaHei UI" w:eastAsia="Microsoft YaHei UI"/>
                <w:b/>
                <w:sz w:val="21"/>
              </w:rPr>
              <w:t>废气排放口基本情况表一览表</w:t>
            </w:r>
          </w:p>
          <w:tbl>
            <w:tblPr>
              <w:tblStyle w:val="20"/>
              <w:tblW w:w="8535"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438"/>
              <w:gridCol w:w="908"/>
              <w:gridCol w:w="678"/>
              <w:gridCol w:w="1071"/>
              <w:gridCol w:w="1022"/>
              <w:gridCol w:w="666"/>
              <w:gridCol w:w="697"/>
              <w:gridCol w:w="888"/>
              <w:gridCol w:w="910"/>
              <w:gridCol w:w="125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265" w:hRule="atLeast"/>
                <w:jc w:val="center"/>
              </w:trPr>
              <w:tc>
                <w:tcPr>
                  <w:tcW w:w="438" w:type="dxa"/>
                  <w:vMerge w:val="restart"/>
                  <w:tcBorders>
                    <w:top w:val="single" w:color="000000" w:sz="8" w:space="0"/>
                    <w:left w:val="single" w:color="auto" w:sz="0"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序号</w:t>
                  </w:r>
                </w:p>
              </w:tc>
              <w:tc>
                <w:tcPr>
                  <w:tcW w:w="908"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排放口名称</w:t>
                  </w:r>
                </w:p>
              </w:tc>
              <w:tc>
                <w:tcPr>
                  <w:tcW w:w="678"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排放口编号</w:t>
                  </w:r>
                </w:p>
              </w:tc>
              <w:tc>
                <w:tcPr>
                  <w:tcW w:w="2093" w:type="dxa"/>
                  <w:gridSpan w:val="2"/>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排放口地理坐标</w:t>
                  </w:r>
                </w:p>
              </w:tc>
              <w:tc>
                <w:tcPr>
                  <w:tcW w:w="666"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排放口高度/m</w:t>
                  </w:r>
                </w:p>
              </w:tc>
              <w:tc>
                <w:tcPr>
                  <w:tcW w:w="697"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排气筒内径/m</w:t>
                  </w:r>
                </w:p>
              </w:tc>
              <w:tc>
                <w:tcPr>
                  <w:tcW w:w="888"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烟气流速</w:t>
                  </w:r>
                </w:p>
                <w:p>
                  <w:pPr>
                    <w:bidi w:val="0"/>
                    <w:spacing w:line="240" w:lineRule="auto"/>
                    <w:jc w:val="center"/>
                    <w:rPr>
                      <w:rFonts w:hint="default"/>
                      <w:sz w:val="21"/>
                      <w:szCs w:val="21"/>
                      <w:lang w:val="en-US" w:eastAsia="zh-CN"/>
                    </w:rPr>
                  </w:pPr>
                  <w:r>
                    <w:rPr>
                      <w:rFonts w:hint="default"/>
                      <w:sz w:val="21"/>
                      <w:szCs w:val="21"/>
                      <w:lang w:val="en-US" w:eastAsia="zh-CN"/>
                    </w:rPr>
                    <w:t>/（m/s）</w:t>
                  </w:r>
                </w:p>
              </w:tc>
              <w:tc>
                <w:tcPr>
                  <w:tcW w:w="910" w:type="dxa"/>
                  <w:vMerge w:val="restart"/>
                  <w:tcBorders>
                    <w:top w:val="single" w:color="000000" w:sz="8"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温度/℃</w:t>
                  </w:r>
                </w:p>
              </w:tc>
              <w:tc>
                <w:tcPr>
                  <w:tcW w:w="1257" w:type="dxa"/>
                  <w:vMerge w:val="restart"/>
                  <w:tcBorders>
                    <w:top w:val="single" w:color="000000" w:sz="8"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排放口类型</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25" w:hRule="atLeast"/>
                <w:jc w:val="center"/>
              </w:trPr>
              <w:tc>
                <w:tcPr>
                  <w:tcW w:w="438"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908"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678"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071"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经度</w:t>
                  </w:r>
                </w:p>
              </w:tc>
              <w:tc>
                <w:tcPr>
                  <w:tcW w:w="1022" w:type="dxa"/>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纬度</w:t>
                  </w:r>
                </w:p>
              </w:tc>
              <w:tc>
                <w:tcPr>
                  <w:tcW w:w="666"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697"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888"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910" w:type="dxa"/>
                  <w:vMerge w:val="continue"/>
                  <w:tcBorders>
                    <w:top w:val="single" w:color="000000" w:sz="4" w:space="0"/>
                    <w:left w:val="single" w:color="000000" w:sz="4" w:space="0"/>
                    <w:bottom w:val="single" w:color="000000" w:sz="4" w:space="0"/>
                    <w:right w:val="single" w:color="000000" w:sz="4" w:space="0"/>
                  </w:tcBorders>
                  <w:vAlign w:val="center"/>
                </w:tcPr>
                <w:p>
                  <w:pPr>
                    <w:bidi w:val="0"/>
                    <w:spacing w:line="240" w:lineRule="auto"/>
                    <w:jc w:val="center"/>
                    <w:rPr>
                      <w:rFonts w:hint="default"/>
                      <w:sz w:val="21"/>
                      <w:szCs w:val="21"/>
                      <w:lang w:val="en-US" w:eastAsia="zh-CN"/>
                    </w:rPr>
                  </w:pPr>
                </w:p>
              </w:tc>
              <w:tc>
                <w:tcPr>
                  <w:tcW w:w="1257" w:type="dxa"/>
                  <w:vMerge w:val="continue"/>
                  <w:tcBorders>
                    <w:top w:val="single" w:color="000000" w:sz="4" w:space="0"/>
                    <w:left w:val="single" w:color="000000" w:sz="4" w:space="0"/>
                    <w:bottom w:val="single" w:color="000000" w:sz="4" w:space="0"/>
                    <w:right w:val="single" w:color="000000" w:sz="8" w:space="0"/>
                  </w:tcBorders>
                  <w:vAlign w:val="center"/>
                </w:tcPr>
                <w:p>
                  <w:pPr>
                    <w:bidi w:val="0"/>
                    <w:spacing w:line="240" w:lineRule="auto"/>
                    <w:jc w:val="center"/>
                    <w:rPr>
                      <w:rFonts w:hint="default"/>
                      <w:sz w:val="21"/>
                      <w:szCs w:val="21"/>
                      <w:lang w:val="en-US" w:eastAsia="zh-CN"/>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20" w:hRule="atLeast"/>
                <w:jc w:val="center"/>
              </w:trPr>
              <w:tc>
                <w:tcPr>
                  <w:tcW w:w="438"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1</w:t>
                  </w:r>
                </w:p>
              </w:tc>
              <w:tc>
                <w:tcPr>
                  <w:tcW w:w="908"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eastAsia"/>
                      <w:sz w:val="21"/>
                      <w:szCs w:val="21"/>
                      <w:lang w:val="en-US" w:eastAsia="zh-CN"/>
                    </w:rPr>
                    <w:t>注塑</w:t>
                  </w:r>
                  <w:r>
                    <w:rPr>
                      <w:rFonts w:hint="default"/>
                      <w:sz w:val="21"/>
                      <w:szCs w:val="21"/>
                      <w:lang w:val="en-US" w:eastAsia="zh-CN"/>
                    </w:rPr>
                    <w:t>废气</w:t>
                  </w:r>
                </w:p>
                <w:p>
                  <w:pPr>
                    <w:bidi w:val="0"/>
                    <w:spacing w:line="240" w:lineRule="auto"/>
                    <w:jc w:val="center"/>
                    <w:rPr>
                      <w:rFonts w:hint="default"/>
                      <w:sz w:val="21"/>
                      <w:szCs w:val="21"/>
                      <w:lang w:val="en-US" w:eastAsia="zh-CN"/>
                    </w:rPr>
                  </w:pPr>
                  <w:r>
                    <w:rPr>
                      <w:rFonts w:hint="default"/>
                      <w:sz w:val="21"/>
                      <w:szCs w:val="21"/>
                      <w:lang w:val="en-US" w:eastAsia="zh-CN"/>
                    </w:rPr>
                    <w:t>排放口</w:t>
                  </w:r>
                </w:p>
              </w:tc>
              <w:tc>
                <w:tcPr>
                  <w:tcW w:w="678"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DA001</w:t>
                  </w:r>
                </w:p>
              </w:tc>
              <w:tc>
                <w:tcPr>
                  <w:tcW w:w="1071"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118.67128°</w:t>
                  </w:r>
                </w:p>
              </w:tc>
              <w:tc>
                <w:tcPr>
                  <w:tcW w:w="1022"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39.87217°</w:t>
                  </w:r>
                </w:p>
              </w:tc>
              <w:tc>
                <w:tcPr>
                  <w:tcW w:w="666"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15</w:t>
                  </w:r>
                </w:p>
              </w:tc>
              <w:tc>
                <w:tcPr>
                  <w:tcW w:w="697"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0.</w:t>
                  </w:r>
                  <w:r>
                    <w:rPr>
                      <w:rFonts w:hint="eastAsia"/>
                      <w:sz w:val="21"/>
                      <w:szCs w:val="21"/>
                      <w:lang w:val="en-US" w:eastAsia="zh-CN"/>
                    </w:rPr>
                    <w:t>4</w:t>
                  </w:r>
                </w:p>
              </w:tc>
              <w:tc>
                <w:tcPr>
                  <w:tcW w:w="888"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eastAsia"/>
                      <w:sz w:val="21"/>
                      <w:szCs w:val="21"/>
                      <w:lang w:val="en-US" w:eastAsia="zh-CN"/>
                    </w:rPr>
                    <w:t>15.48</w:t>
                  </w:r>
                </w:p>
              </w:tc>
              <w:tc>
                <w:tcPr>
                  <w:tcW w:w="910" w:type="dxa"/>
                  <w:tcBorders>
                    <w:top w:val="single" w:color="000000" w:sz="4" w:space="0"/>
                    <w:left w:val="single" w:color="000000" w:sz="4" w:space="0"/>
                    <w:bottom w:val="single" w:color="000000" w:sz="8" w:space="0"/>
                    <w:right w:val="single" w:color="000000" w:sz="4"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40</w:t>
                  </w:r>
                </w:p>
              </w:tc>
              <w:tc>
                <w:tcPr>
                  <w:tcW w:w="1257" w:type="dxa"/>
                  <w:tcBorders>
                    <w:top w:val="single" w:color="000000" w:sz="4" w:space="0"/>
                    <w:left w:val="single" w:color="000000" w:sz="4" w:space="0"/>
                    <w:bottom w:val="single" w:color="000000" w:sz="8" w:space="0"/>
                    <w:right w:val="single" w:color="000000" w:sz="8" w:space="0"/>
                  </w:tcBorders>
                  <w:vAlign w:val="center"/>
                </w:tcPr>
                <w:p>
                  <w:pPr>
                    <w:bidi w:val="0"/>
                    <w:spacing w:line="240" w:lineRule="auto"/>
                    <w:jc w:val="center"/>
                    <w:rPr>
                      <w:rFonts w:hint="default"/>
                      <w:sz w:val="21"/>
                      <w:szCs w:val="21"/>
                      <w:lang w:val="en-US" w:eastAsia="zh-CN"/>
                    </w:rPr>
                  </w:pPr>
                  <w:r>
                    <w:rPr>
                      <w:rFonts w:hint="default"/>
                      <w:sz w:val="21"/>
                      <w:szCs w:val="21"/>
                      <w:lang w:val="en-US" w:eastAsia="zh-CN"/>
                    </w:rPr>
                    <w:t>一般排放</w:t>
                  </w:r>
                </w:p>
                <w:p>
                  <w:pPr>
                    <w:bidi w:val="0"/>
                    <w:spacing w:line="240" w:lineRule="auto"/>
                    <w:jc w:val="center"/>
                    <w:rPr>
                      <w:rFonts w:hint="default"/>
                      <w:sz w:val="21"/>
                      <w:szCs w:val="21"/>
                      <w:lang w:val="en-US" w:eastAsia="zh-CN"/>
                    </w:rPr>
                  </w:pPr>
                  <w:r>
                    <w:rPr>
                      <w:rFonts w:hint="default"/>
                      <w:sz w:val="21"/>
                      <w:szCs w:val="21"/>
                      <w:lang w:val="en-US" w:eastAsia="zh-CN"/>
                    </w:rPr>
                    <w:t>口</w:t>
                  </w:r>
                </w:p>
              </w:tc>
            </w:tr>
          </w:tbl>
          <w:p>
            <w:pPr>
              <w:bidi w:val="0"/>
              <w:ind w:firstLine="420" w:firstLineChars="200"/>
              <w:rPr>
                <w:rFonts w:hint="eastAsia" w:cs="Times New Roman"/>
                <w:color w:val="auto"/>
                <w:sz w:val="21"/>
                <w:szCs w:val="21"/>
                <w:lang w:val="en-US" w:eastAsia="zh-CN"/>
              </w:rPr>
            </w:pPr>
          </w:p>
          <w:p>
            <w:pPr>
              <w:bidi w:val="0"/>
              <w:ind w:firstLine="420" w:firstLineChars="200"/>
              <w:rPr>
                <w:rFonts w:hint="default" w:ascii="Times New Roman" w:hAnsi="Times New Roman" w:eastAsia="宋体" w:cs="Times New Roman"/>
                <w:sz w:val="21"/>
                <w:szCs w:val="21"/>
                <w:lang w:val="en-US" w:eastAsia="zh-CN"/>
              </w:rPr>
            </w:pPr>
            <w:r>
              <w:rPr>
                <w:rFonts w:hint="eastAsia" w:cs="Times New Roman"/>
                <w:color w:val="auto"/>
                <w:sz w:val="21"/>
                <w:szCs w:val="21"/>
                <w:lang w:val="en-US" w:eastAsia="zh-CN"/>
              </w:rPr>
              <w:t>②无组织废气</w:t>
            </w:r>
          </w:p>
          <w:p>
            <w:pPr>
              <w:bidi w:val="0"/>
              <w:ind w:firstLine="420" w:firstLineChars="200"/>
              <w:rPr>
                <w:rFonts w:hint="default" w:ascii="Times New Roman" w:hAnsi="Times New Roman" w:cs="Times New Roman"/>
                <w:sz w:val="21"/>
                <w:szCs w:val="21"/>
                <w:lang w:val="en-US" w:eastAsia="zh-CN"/>
              </w:rPr>
            </w:pPr>
            <w:r>
              <w:rPr>
                <w:rFonts w:hint="default" w:ascii="Times New Roman" w:hAnsi="Times New Roman" w:eastAsia="宋体" w:cs="Times New Roman"/>
                <w:sz w:val="21"/>
                <w:szCs w:val="21"/>
                <w:lang w:val="en-US" w:eastAsia="zh-CN"/>
              </w:rPr>
              <w:t>未被收集的</w:t>
            </w:r>
            <w:r>
              <w:rPr>
                <w:rFonts w:hint="default" w:ascii="Times New Roman" w:hAnsi="Times New Roman" w:cs="Times New Roman"/>
                <w:sz w:val="21"/>
                <w:szCs w:val="21"/>
                <w:lang w:val="en-US" w:eastAsia="zh-CN"/>
              </w:rPr>
              <w:t>非甲烷总烃 0.1</w:t>
            </w:r>
            <w:r>
              <w:rPr>
                <w:rFonts w:hint="eastAsia" w:cs="Times New Roman"/>
                <w:sz w:val="21"/>
                <w:szCs w:val="21"/>
                <w:lang w:val="en-US" w:eastAsia="zh-CN"/>
              </w:rPr>
              <w:t>21</w:t>
            </w:r>
            <w:r>
              <w:rPr>
                <w:rFonts w:hint="default" w:ascii="Times New Roman" w:hAnsi="Times New Roman" w:cs="Times New Roman"/>
                <w:sz w:val="21"/>
                <w:szCs w:val="21"/>
                <w:lang w:val="en-US" w:eastAsia="zh-CN"/>
              </w:rPr>
              <w:t>5t/a，以无组织形式在车间内排放，经估算项目有机废气无组织排放浓度能够满足《工业企业挥发性有机物排放控制标准》（DB13/2322-2016）表 2 厂界无组织监控浓度限值 非甲烷总烃 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；同时满足《挥发性有机物无组织排放控制标准》（GB37822-2019）控制要求（厂房外监控点处任意一次浓度20mg/m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，监控点处 1h 平均浓度 6mg/m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w:t>
            </w:r>
          </w:p>
          <w:p>
            <w:pPr>
              <w:bidi w:val="0"/>
              <w:spacing w:line="240" w:lineRule="auto"/>
              <w:ind w:firstLine="422" w:firstLineChars="200"/>
              <w:jc w:val="center"/>
              <w:rPr>
                <w:rFonts w:hint="default" w:ascii="Times New Roman" w:hAnsi="Times New Roman" w:cs="Times New Roman"/>
                <w:b/>
                <w:bCs/>
                <w:sz w:val="21"/>
                <w:szCs w:val="21"/>
                <w:lang w:val="en-US" w:eastAsia="zh-CN"/>
              </w:rPr>
            </w:pPr>
            <w:r>
              <w:rPr>
                <w:rFonts w:hint="eastAsia" w:ascii="Times New Roman" w:hAnsi="Times New Roman" w:cs="Times New Roman"/>
                <w:b/>
                <w:bCs/>
                <w:sz w:val="21"/>
                <w:szCs w:val="21"/>
                <w:lang w:val="en-US" w:eastAsia="zh-CN"/>
              </w:rPr>
              <w:t>表25 废气处置措施及排放情况一览表</w:t>
            </w:r>
          </w:p>
          <w:tbl>
            <w:tblPr>
              <w:tblStyle w:val="20"/>
              <w:tblW w:w="8427"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565"/>
              <w:gridCol w:w="535"/>
              <w:gridCol w:w="1237"/>
              <w:gridCol w:w="330"/>
              <w:gridCol w:w="534"/>
              <w:gridCol w:w="554"/>
              <w:gridCol w:w="855"/>
              <w:gridCol w:w="577"/>
              <w:gridCol w:w="3240"/>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65" w:type="dxa"/>
                  <w:tcBorders>
                    <w:tl2br w:val="nil"/>
                    <w:tr2bl w:val="nil"/>
                  </w:tcBorders>
                  <w:vAlign w:val="center"/>
                </w:tcPr>
                <w:p>
                  <w:pPr>
                    <w:bidi w:val="0"/>
                    <w:spacing w:line="240" w:lineRule="auto"/>
                    <w:jc w:val="center"/>
                    <w:rPr>
                      <w:sz w:val="21"/>
                      <w:szCs w:val="21"/>
                    </w:rPr>
                  </w:pPr>
                  <w:r>
                    <w:rPr>
                      <w:sz w:val="21"/>
                      <w:szCs w:val="21"/>
                    </w:rPr>
                    <w:t>污染物种类</w:t>
                  </w:r>
                </w:p>
              </w:tc>
              <w:tc>
                <w:tcPr>
                  <w:tcW w:w="535" w:type="dxa"/>
                  <w:tcBorders>
                    <w:tl2br w:val="nil"/>
                    <w:tr2bl w:val="nil"/>
                  </w:tcBorders>
                  <w:vAlign w:val="center"/>
                </w:tcPr>
                <w:p>
                  <w:pPr>
                    <w:bidi w:val="0"/>
                    <w:spacing w:line="240" w:lineRule="auto"/>
                    <w:jc w:val="center"/>
                    <w:rPr>
                      <w:sz w:val="21"/>
                      <w:szCs w:val="21"/>
                    </w:rPr>
                  </w:pPr>
                  <w:r>
                    <w:rPr>
                      <w:sz w:val="21"/>
                      <w:szCs w:val="21"/>
                    </w:rPr>
                    <w:t>排放形式</w:t>
                  </w:r>
                </w:p>
              </w:tc>
              <w:tc>
                <w:tcPr>
                  <w:tcW w:w="1237" w:type="dxa"/>
                  <w:tcBorders>
                    <w:tl2br w:val="nil"/>
                    <w:tr2bl w:val="nil"/>
                  </w:tcBorders>
                  <w:vAlign w:val="center"/>
                </w:tcPr>
                <w:p>
                  <w:pPr>
                    <w:bidi w:val="0"/>
                    <w:spacing w:line="240" w:lineRule="auto"/>
                    <w:jc w:val="center"/>
                    <w:rPr>
                      <w:sz w:val="21"/>
                      <w:szCs w:val="21"/>
                    </w:rPr>
                  </w:pPr>
                  <w:r>
                    <w:rPr>
                      <w:sz w:val="21"/>
                      <w:szCs w:val="21"/>
                    </w:rPr>
                    <w:t>治理设施</w:t>
                  </w:r>
                </w:p>
              </w:tc>
              <w:tc>
                <w:tcPr>
                  <w:tcW w:w="864" w:type="dxa"/>
                  <w:gridSpan w:val="2"/>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产污环节</w:t>
                  </w:r>
                </w:p>
              </w:tc>
              <w:tc>
                <w:tcPr>
                  <w:tcW w:w="554" w:type="dxa"/>
                  <w:tcBorders>
                    <w:tl2br w:val="nil"/>
                    <w:tr2bl w:val="nil"/>
                  </w:tcBorders>
                  <w:vAlign w:val="center"/>
                </w:tcPr>
                <w:p>
                  <w:pPr>
                    <w:bidi w:val="0"/>
                    <w:spacing w:line="240" w:lineRule="auto"/>
                    <w:jc w:val="center"/>
                    <w:rPr>
                      <w:sz w:val="21"/>
                      <w:szCs w:val="21"/>
                    </w:rPr>
                  </w:pPr>
                  <w:r>
                    <w:rPr>
                      <w:rFonts w:hint="eastAsia"/>
                      <w:sz w:val="21"/>
                      <w:szCs w:val="21"/>
                      <w:lang w:val="en-US" w:eastAsia="zh-CN"/>
                    </w:rPr>
                    <w:t>排放速率kg/h</w:t>
                  </w:r>
                </w:p>
              </w:tc>
              <w:tc>
                <w:tcPr>
                  <w:tcW w:w="855" w:type="dxa"/>
                  <w:tcBorders>
                    <w:tl2br w:val="nil"/>
                    <w:tr2bl w:val="nil"/>
                  </w:tcBorders>
                  <w:vAlign w:val="center"/>
                </w:tcPr>
                <w:p>
                  <w:pPr>
                    <w:bidi w:val="0"/>
                    <w:spacing w:line="240" w:lineRule="auto"/>
                    <w:jc w:val="center"/>
                    <w:rPr>
                      <w:sz w:val="21"/>
                      <w:szCs w:val="21"/>
                    </w:rPr>
                  </w:pPr>
                  <w:r>
                    <w:rPr>
                      <w:sz w:val="21"/>
                      <w:szCs w:val="21"/>
                    </w:rPr>
                    <w:t>排放浓度mg/m</w:t>
                  </w:r>
                  <w:r>
                    <w:rPr>
                      <w:sz w:val="21"/>
                      <w:szCs w:val="21"/>
                      <w:vertAlign w:val="superscript"/>
                    </w:rPr>
                    <w:t>3</w:t>
                  </w:r>
                </w:p>
              </w:tc>
              <w:tc>
                <w:tcPr>
                  <w:tcW w:w="577" w:type="dxa"/>
                  <w:tcBorders>
                    <w:tl2br w:val="nil"/>
                    <w:tr2bl w:val="nil"/>
                  </w:tcBorders>
                  <w:vAlign w:val="center"/>
                </w:tcPr>
                <w:p>
                  <w:pPr>
                    <w:bidi w:val="0"/>
                    <w:spacing w:line="240" w:lineRule="auto"/>
                    <w:jc w:val="center"/>
                    <w:rPr>
                      <w:rFonts w:hint="default" w:eastAsia="宋体"/>
                      <w:sz w:val="21"/>
                      <w:szCs w:val="21"/>
                      <w:lang w:val="en-US" w:eastAsia="zh-CN"/>
                    </w:rPr>
                  </w:pPr>
                  <w:r>
                    <w:rPr>
                      <w:sz w:val="21"/>
                      <w:szCs w:val="21"/>
                    </w:rPr>
                    <w:t>排放量t/a</w:t>
                  </w:r>
                </w:p>
              </w:tc>
              <w:tc>
                <w:tcPr>
                  <w:tcW w:w="3240" w:type="dxa"/>
                  <w:tcBorders>
                    <w:tl2br w:val="nil"/>
                    <w:tr2bl w:val="nil"/>
                  </w:tcBorders>
                  <w:vAlign w:val="center"/>
                </w:tcPr>
                <w:p>
                  <w:pPr>
                    <w:bidi w:val="0"/>
                    <w:spacing w:line="240" w:lineRule="auto"/>
                    <w:jc w:val="center"/>
                    <w:rPr>
                      <w:sz w:val="21"/>
                      <w:szCs w:val="21"/>
                    </w:rPr>
                  </w:pPr>
                  <w:r>
                    <w:rPr>
                      <w:sz w:val="21"/>
                      <w:szCs w:val="21"/>
                    </w:rPr>
                    <w:t>排放标准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023" w:hRule="atLeast"/>
                <w:jc w:val="center"/>
              </w:trPr>
              <w:tc>
                <w:tcPr>
                  <w:tcW w:w="565" w:type="dxa"/>
                  <w:vMerge w:val="restart"/>
                  <w:tcBorders>
                    <w:tl2br w:val="nil"/>
                    <w:tr2bl w:val="nil"/>
                  </w:tcBorders>
                  <w:vAlign w:val="center"/>
                </w:tcPr>
                <w:p>
                  <w:pPr>
                    <w:bidi w:val="0"/>
                    <w:spacing w:line="240" w:lineRule="auto"/>
                    <w:jc w:val="center"/>
                    <w:rPr>
                      <w:sz w:val="21"/>
                      <w:szCs w:val="21"/>
                    </w:rPr>
                  </w:pPr>
                  <w:r>
                    <w:rPr>
                      <w:sz w:val="21"/>
                      <w:szCs w:val="21"/>
                    </w:rPr>
                    <w:t>非甲</w:t>
                  </w:r>
                </w:p>
                <w:p>
                  <w:pPr>
                    <w:bidi w:val="0"/>
                    <w:spacing w:line="240" w:lineRule="auto"/>
                    <w:jc w:val="center"/>
                    <w:rPr>
                      <w:sz w:val="21"/>
                      <w:szCs w:val="21"/>
                    </w:rPr>
                  </w:pPr>
                  <w:r>
                    <w:rPr>
                      <w:sz w:val="21"/>
                      <w:szCs w:val="21"/>
                    </w:rPr>
                    <w:t>烷总</w:t>
                  </w:r>
                </w:p>
                <w:p>
                  <w:pPr>
                    <w:bidi w:val="0"/>
                    <w:spacing w:line="240" w:lineRule="auto"/>
                    <w:jc w:val="center"/>
                    <w:rPr>
                      <w:sz w:val="21"/>
                      <w:szCs w:val="21"/>
                    </w:rPr>
                  </w:pPr>
                  <w:r>
                    <w:rPr>
                      <w:sz w:val="21"/>
                      <w:szCs w:val="21"/>
                    </w:rPr>
                    <w:t>烃</w:t>
                  </w:r>
                </w:p>
              </w:tc>
              <w:tc>
                <w:tcPr>
                  <w:tcW w:w="535" w:type="dxa"/>
                  <w:vMerge w:val="restart"/>
                  <w:tcBorders>
                    <w:tl2br w:val="nil"/>
                    <w:tr2bl w:val="nil"/>
                  </w:tcBorders>
                  <w:vAlign w:val="center"/>
                </w:tcPr>
                <w:p>
                  <w:pPr>
                    <w:bidi w:val="0"/>
                    <w:spacing w:line="240" w:lineRule="auto"/>
                    <w:jc w:val="center"/>
                    <w:rPr>
                      <w:sz w:val="21"/>
                      <w:szCs w:val="21"/>
                    </w:rPr>
                  </w:pPr>
                  <w:r>
                    <w:rPr>
                      <w:sz w:val="21"/>
                      <w:szCs w:val="21"/>
                    </w:rPr>
                    <w:t>有组织</w:t>
                  </w:r>
                </w:p>
              </w:tc>
              <w:tc>
                <w:tcPr>
                  <w:tcW w:w="1237" w:type="dxa"/>
                  <w:vMerge w:val="restart"/>
                  <w:tcBorders>
                    <w:tl2br w:val="nil"/>
                    <w:tr2bl w:val="nil"/>
                  </w:tcBorders>
                  <w:vAlign w:val="center"/>
                </w:tcPr>
                <w:p>
                  <w:pPr>
                    <w:bidi w:val="0"/>
                    <w:spacing w:line="240" w:lineRule="auto"/>
                    <w:jc w:val="center"/>
                    <w:rPr>
                      <w:rFonts w:hint="default" w:eastAsia="宋体"/>
                      <w:sz w:val="21"/>
                      <w:szCs w:val="21"/>
                      <w:lang w:val="en-US" w:eastAsia="zh-CN"/>
                    </w:rPr>
                  </w:pPr>
                  <w:r>
                    <w:rPr>
                      <w:rFonts w:hint="default" w:ascii="Times New Roman" w:hAnsi="Times New Roman" w:cs="Times New Roman"/>
                      <w:sz w:val="21"/>
                      <w:szCs w:val="21"/>
                    </w:rPr>
                    <w:t>注塑机上方设置集气罩（</w:t>
                  </w:r>
                  <w:r>
                    <w:rPr>
                      <w:rFonts w:hint="eastAsia" w:cs="Times New Roman"/>
                      <w:sz w:val="21"/>
                      <w:szCs w:val="21"/>
                      <w:lang w:eastAsia="zh-CN"/>
                    </w:rPr>
                    <w:t>0.6m×0.5m</w:t>
                  </w:r>
                  <w:r>
                    <w:rPr>
                      <w:rFonts w:hint="default" w:ascii="Times New Roman" w:hAnsi="Times New Roman" w:cs="Times New Roman"/>
                      <w:sz w:val="21"/>
                      <w:szCs w:val="21"/>
                    </w:rPr>
                    <w:t>）， 经管道引入</w:t>
                  </w:r>
                  <w:r>
                    <w:rPr>
                      <w:rFonts w:hint="default" w:ascii="Times New Roman" w:hAnsi="Times New Roman" w:cs="Times New Roman"/>
                      <w:sz w:val="21"/>
                      <w:szCs w:val="21"/>
                      <w:lang w:val="en-US" w:eastAsia="zh-CN"/>
                    </w:rPr>
                    <w:t>1套过滤棉箱+活性炭吸</w:t>
                  </w:r>
                  <w:r>
                    <w:rPr>
                      <w:rFonts w:hint="eastAsia"/>
                      <w:sz w:val="21"/>
                      <w:szCs w:val="21"/>
                      <w:lang w:val="en-US" w:eastAsia="zh-CN"/>
                    </w:rPr>
                    <w:t>附/脱附+催化燃烧装置处理后经15m高排气筒DA001排放</w:t>
                  </w:r>
                </w:p>
              </w:tc>
              <w:tc>
                <w:tcPr>
                  <w:tcW w:w="330" w:type="dxa"/>
                  <w:vMerge w:val="restart"/>
                  <w:tcBorders>
                    <w:tl2br w:val="nil"/>
                    <w:tr2bl w:val="nil"/>
                  </w:tcBorders>
                  <w:vAlign w:val="center"/>
                </w:tcPr>
                <w:p>
                  <w:pPr>
                    <w:bidi w:val="0"/>
                    <w:spacing w:line="240" w:lineRule="auto"/>
                    <w:ind w:firstLine="0" w:firstLineChars="0"/>
                    <w:jc w:val="center"/>
                    <w:rPr>
                      <w:rFonts w:hint="eastAsia" w:ascii="Times New Roman" w:hAnsi="Times New Roman" w:eastAsia="宋体" w:cs="Times New Roman"/>
                      <w:kern w:val="2"/>
                      <w:sz w:val="21"/>
                      <w:szCs w:val="21"/>
                      <w:lang w:val="en-US" w:eastAsia="zh-CN" w:bidi="ar-SA"/>
                    </w:rPr>
                  </w:pPr>
                  <w:r>
                    <w:rPr>
                      <w:sz w:val="21"/>
                      <w:szCs w:val="21"/>
                    </w:rPr>
                    <w:t>注塑工序</w:t>
                  </w:r>
                </w:p>
              </w:tc>
              <w:tc>
                <w:tcPr>
                  <w:tcW w:w="534" w:type="dxa"/>
                  <w:tcBorders>
                    <w:tl2br w:val="nil"/>
                    <w:tr2bl w:val="nil"/>
                  </w:tcBorders>
                  <w:vAlign w:val="center"/>
                </w:tcPr>
                <w:p>
                  <w:pPr>
                    <w:bidi w:val="0"/>
                    <w:spacing w:line="240" w:lineRule="auto"/>
                    <w:ind w:firstLine="0" w:firstLineChars="0"/>
                    <w:jc w:val="center"/>
                    <w:rPr>
                      <w:rFonts w:hint="default" w:eastAsia="宋体"/>
                      <w:sz w:val="21"/>
                      <w:szCs w:val="21"/>
                      <w:lang w:val="en-US" w:eastAsia="zh-CN"/>
                    </w:rPr>
                  </w:pPr>
                  <w:r>
                    <w:rPr>
                      <w:rFonts w:hint="eastAsia"/>
                      <w:sz w:val="21"/>
                      <w:szCs w:val="21"/>
                      <w:lang w:val="en-US" w:eastAsia="zh-CN"/>
                    </w:rPr>
                    <w:t>活性炭吸附</w:t>
                  </w:r>
                </w:p>
              </w:tc>
              <w:tc>
                <w:tcPr>
                  <w:tcW w:w="554" w:type="dxa"/>
                  <w:tcBorders>
                    <w:tl2br w:val="nil"/>
                    <w:tr2bl w:val="nil"/>
                  </w:tcBorders>
                  <w:vAlign w:val="center"/>
                </w:tcPr>
                <w:p>
                  <w:pPr>
                    <w:bidi w:val="0"/>
                    <w:spacing w:line="240" w:lineRule="auto"/>
                    <w:ind w:firstLine="0" w:firstLineChars="0"/>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sz w:val="21"/>
                      <w:szCs w:val="21"/>
                      <w:lang w:val="en-US" w:eastAsia="zh-CN"/>
                    </w:rPr>
                    <w:t>0.</w:t>
                  </w:r>
                  <w:r>
                    <w:rPr>
                      <w:rFonts w:hint="eastAsia" w:cs="Times New Roman"/>
                      <w:sz w:val="21"/>
                      <w:szCs w:val="21"/>
                      <w:lang w:val="en-US" w:eastAsia="zh-CN"/>
                    </w:rPr>
                    <w:t>045</w:t>
                  </w:r>
                </w:p>
              </w:tc>
              <w:tc>
                <w:tcPr>
                  <w:tcW w:w="855" w:type="dxa"/>
                  <w:tcBorders>
                    <w:tl2br w:val="nil"/>
                    <w:tr2bl w:val="nil"/>
                  </w:tcBorders>
                  <w:vAlign w:val="center"/>
                </w:tcPr>
                <w:p>
                  <w:pPr>
                    <w:bidi w:val="0"/>
                    <w:spacing w:line="240" w:lineRule="auto"/>
                    <w:ind w:firstLine="0" w:firstLineChars="0"/>
                    <w:jc w:val="center"/>
                    <w:rPr>
                      <w:rFonts w:hint="default" w:ascii="Times New Roman" w:hAnsi="Times New Roman" w:eastAsia="宋体" w:cs="Times New Roman"/>
                      <w:kern w:val="2"/>
                      <w:sz w:val="21"/>
                      <w:szCs w:val="21"/>
                      <w:lang w:val="en-US" w:eastAsia="zh-CN" w:bidi="ar-SA"/>
                    </w:rPr>
                  </w:pPr>
                  <w:r>
                    <w:rPr>
                      <w:rFonts w:hint="eastAsia" w:cs="Times New Roman"/>
                      <w:sz w:val="21"/>
                      <w:szCs w:val="21"/>
                      <w:lang w:val="en-US" w:eastAsia="zh-CN"/>
                    </w:rPr>
                    <w:t>5.68</w:t>
                  </w:r>
                </w:p>
              </w:tc>
              <w:tc>
                <w:tcPr>
                  <w:tcW w:w="577" w:type="dxa"/>
                  <w:tcBorders>
                    <w:tl2br w:val="nil"/>
                    <w:tr2bl w:val="nil"/>
                  </w:tcBorders>
                  <w:vAlign w:val="center"/>
                </w:tcPr>
                <w:p>
                  <w:pPr>
                    <w:bidi w:val="0"/>
                    <w:spacing w:line="240" w:lineRule="auto"/>
                    <w:ind w:firstLine="0" w:firstLineChars="0"/>
                    <w:jc w:val="center"/>
                    <w:rPr>
                      <w:rFonts w:hint="default" w:ascii="Times New Roman" w:hAnsi="Times New Roman" w:eastAsia="宋体" w:cs="Times New Roman"/>
                      <w:kern w:val="2"/>
                      <w:sz w:val="21"/>
                      <w:szCs w:val="21"/>
                      <w:lang w:val="en-US" w:eastAsia="zh-CN" w:bidi="ar-SA"/>
                    </w:rPr>
                  </w:pPr>
                  <w:r>
                    <w:rPr>
                      <w:rFonts w:hint="eastAsia" w:cs="Times New Roman"/>
                      <w:sz w:val="21"/>
                      <w:szCs w:val="21"/>
                      <w:lang w:val="en-US" w:eastAsia="zh-CN"/>
                    </w:rPr>
                    <w:t>0.109</w:t>
                  </w:r>
                </w:p>
              </w:tc>
              <w:tc>
                <w:tcPr>
                  <w:tcW w:w="3240" w:type="dxa"/>
                  <w:vMerge w:val="restart"/>
                  <w:tcBorders>
                    <w:tl2br w:val="nil"/>
                    <w:tr2bl w:val="nil"/>
                  </w:tcBorders>
                  <w:vAlign w:val="center"/>
                </w:tcPr>
                <w:p>
                  <w:pPr>
                    <w:bidi w:val="0"/>
                    <w:spacing w:line="240" w:lineRule="auto"/>
                    <w:jc w:val="both"/>
                    <w:rPr>
                      <w:sz w:val="21"/>
                      <w:szCs w:val="21"/>
                    </w:rPr>
                  </w:pPr>
                  <w:r>
                    <w:rPr>
                      <w:sz w:val="21"/>
                      <w:szCs w:val="21"/>
                    </w:rPr>
                    <w:t>《合成树脂行业污染物排放标准（GB31572-2015）中表5非甲烷总烃排放限值60mg/m</w:t>
                  </w:r>
                  <w:r>
                    <w:rPr>
                      <w:sz w:val="21"/>
                      <w:szCs w:val="21"/>
                      <w:vertAlign w:val="superscript"/>
                    </w:rPr>
                    <w:t>3</w:t>
                  </w:r>
                  <w:r>
                    <w:rPr>
                      <w:rFonts w:hint="eastAsia"/>
                      <w:sz w:val="21"/>
                      <w:szCs w:val="21"/>
                      <w:lang w:val="en-US" w:eastAsia="zh-CN"/>
                    </w:rPr>
                    <w:t>)</w:t>
                  </w:r>
                  <w:r>
                    <w:rPr>
                      <w:sz w:val="21"/>
                      <w:szCs w:val="21"/>
                    </w:rPr>
                    <w:t>；同时满足《关于做好2021年重点行业绩效分级和应急减排清单修订工作的通知》（冀气领办[2021]92号）附件-《河北省十一个行业重污染天气应急减排措施制定技术指南（试行）》中“塑料制品行业绩效分级指标”中B级排放限值要求：车间或生产设施排气筒非甲烷总烃浓度低于30mg/m³，去除效率需达到80%</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1818" w:hRule="atLeast"/>
                <w:jc w:val="center"/>
              </w:trPr>
              <w:tc>
                <w:tcPr>
                  <w:tcW w:w="565" w:type="dxa"/>
                  <w:vMerge w:val="continue"/>
                  <w:tcBorders>
                    <w:tl2br w:val="nil"/>
                    <w:tr2bl w:val="nil"/>
                  </w:tcBorders>
                  <w:vAlign w:val="center"/>
                </w:tcPr>
                <w:p>
                  <w:pPr>
                    <w:bidi w:val="0"/>
                    <w:spacing w:line="240" w:lineRule="auto"/>
                    <w:ind w:firstLine="0" w:firstLineChars="0"/>
                    <w:jc w:val="center"/>
                  </w:pPr>
                </w:p>
              </w:tc>
              <w:tc>
                <w:tcPr>
                  <w:tcW w:w="535" w:type="dxa"/>
                  <w:vMerge w:val="continue"/>
                  <w:tcBorders>
                    <w:tl2br w:val="nil"/>
                    <w:tr2bl w:val="nil"/>
                  </w:tcBorders>
                  <w:vAlign w:val="center"/>
                </w:tcPr>
                <w:p>
                  <w:pPr>
                    <w:bidi w:val="0"/>
                    <w:spacing w:line="240" w:lineRule="auto"/>
                    <w:ind w:firstLine="0" w:firstLineChars="0"/>
                    <w:jc w:val="center"/>
                  </w:pPr>
                </w:p>
              </w:tc>
              <w:tc>
                <w:tcPr>
                  <w:tcW w:w="1237" w:type="dxa"/>
                  <w:vMerge w:val="continue"/>
                  <w:tcBorders>
                    <w:tl2br w:val="nil"/>
                    <w:tr2bl w:val="nil"/>
                  </w:tcBorders>
                  <w:vAlign w:val="center"/>
                </w:tcPr>
                <w:p>
                  <w:pPr>
                    <w:bidi w:val="0"/>
                    <w:spacing w:line="240" w:lineRule="auto"/>
                    <w:ind w:firstLine="0" w:firstLineChars="0"/>
                    <w:jc w:val="center"/>
                  </w:pPr>
                </w:p>
              </w:tc>
              <w:tc>
                <w:tcPr>
                  <w:tcW w:w="330" w:type="dxa"/>
                  <w:vMerge w:val="continue"/>
                  <w:tcBorders>
                    <w:tl2br w:val="nil"/>
                    <w:tr2bl w:val="nil"/>
                  </w:tcBorders>
                  <w:vAlign w:val="center"/>
                </w:tcPr>
                <w:p>
                  <w:pPr>
                    <w:bidi w:val="0"/>
                    <w:spacing w:line="240" w:lineRule="auto"/>
                    <w:ind w:firstLine="0" w:firstLineChars="0"/>
                    <w:jc w:val="center"/>
                  </w:pPr>
                </w:p>
              </w:tc>
              <w:tc>
                <w:tcPr>
                  <w:tcW w:w="534" w:type="dxa"/>
                  <w:tcBorders>
                    <w:tl2br w:val="nil"/>
                    <w:tr2bl w:val="nil"/>
                  </w:tcBorders>
                  <w:vAlign w:val="center"/>
                </w:tcPr>
                <w:p>
                  <w:pPr>
                    <w:bidi w:val="0"/>
                    <w:spacing w:line="240" w:lineRule="auto"/>
                    <w:ind w:firstLine="0" w:firstLineChars="0"/>
                    <w:jc w:val="center"/>
                    <w:rPr>
                      <w:rFonts w:hint="default" w:eastAsia="宋体"/>
                      <w:sz w:val="21"/>
                      <w:szCs w:val="21"/>
                      <w:lang w:val="en-US" w:eastAsia="zh-CN"/>
                    </w:rPr>
                  </w:pPr>
                  <w:r>
                    <w:rPr>
                      <w:rFonts w:hint="eastAsia"/>
                      <w:sz w:val="21"/>
                      <w:szCs w:val="21"/>
                      <w:lang w:val="en-US" w:eastAsia="zh-CN"/>
                    </w:rPr>
                    <w:t>脱附</w:t>
                  </w:r>
                </w:p>
              </w:tc>
              <w:tc>
                <w:tcPr>
                  <w:tcW w:w="554" w:type="dxa"/>
                  <w:tcBorders>
                    <w:tl2br w:val="nil"/>
                    <w:tr2bl w:val="nil"/>
                  </w:tcBorders>
                  <w:vAlign w:val="center"/>
                </w:tcPr>
                <w:p>
                  <w:pPr>
                    <w:bidi w:val="0"/>
                    <w:spacing w:line="240" w:lineRule="auto"/>
                    <w:ind w:firstLine="0" w:firstLineChars="0"/>
                    <w:jc w:val="center"/>
                    <w:rPr>
                      <w:sz w:val="21"/>
                      <w:szCs w:val="21"/>
                    </w:rPr>
                  </w:pPr>
                  <w:r>
                    <w:rPr>
                      <w:rFonts w:hint="default" w:ascii="Times New Roman" w:hAnsi="Times New Roman" w:eastAsia="宋体" w:cs="Times New Roman"/>
                      <w:sz w:val="21"/>
                      <w:szCs w:val="21"/>
                      <w:lang w:val="en-US" w:eastAsia="zh-CN"/>
                    </w:rPr>
                    <w:t>0.0</w:t>
                  </w:r>
                  <w:r>
                    <w:rPr>
                      <w:rFonts w:hint="eastAsia" w:cs="Times New Roman"/>
                      <w:sz w:val="21"/>
                      <w:szCs w:val="21"/>
                      <w:lang w:val="en-US" w:eastAsia="zh-CN"/>
                    </w:rPr>
                    <w:t>3</w:t>
                  </w:r>
                </w:p>
              </w:tc>
              <w:tc>
                <w:tcPr>
                  <w:tcW w:w="855" w:type="dxa"/>
                  <w:tcBorders>
                    <w:tl2br w:val="nil"/>
                    <w:tr2bl w:val="nil"/>
                  </w:tcBorders>
                  <w:vAlign w:val="center"/>
                </w:tcPr>
                <w:p>
                  <w:pPr>
                    <w:bidi w:val="0"/>
                    <w:spacing w:line="240" w:lineRule="auto"/>
                    <w:ind w:firstLine="0" w:firstLineChars="0"/>
                    <w:jc w:val="center"/>
                    <w:rPr>
                      <w:rFonts w:hint="default"/>
                      <w:sz w:val="21"/>
                      <w:szCs w:val="21"/>
                      <w:lang w:val="en-US"/>
                    </w:rPr>
                  </w:pPr>
                  <w:r>
                    <w:rPr>
                      <w:rFonts w:hint="eastAsia" w:cs="Times New Roman"/>
                      <w:sz w:val="21"/>
                      <w:szCs w:val="21"/>
                      <w:lang w:val="en-US" w:eastAsia="zh-CN"/>
                    </w:rPr>
                    <w:t>20.8</w:t>
                  </w:r>
                </w:p>
              </w:tc>
              <w:tc>
                <w:tcPr>
                  <w:tcW w:w="577" w:type="dxa"/>
                  <w:tcBorders>
                    <w:tl2br w:val="nil"/>
                    <w:tr2bl w:val="nil"/>
                  </w:tcBorders>
                  <w:vAlign w:val="center"/>
                </w:tcPr>
                <w:p>
                  <w:pPr>
                    <w:bidi w:val="0"/>
                    <w:spacing w:line="240" w:lineRule="auto"/>
                    <w:ind w:firstLine="0" w:firstLineChars="0"/>
                    <w:jc w:val="center"/>
                    <w:rPr>
                      <w:sz w:val="21"/>
                      <w:szCs w:val="21"/>
                    </w:rPr>
                  </w:pPr>
                  <w:r>
                    <w:rPr>
                      <w:rFonts w:hint="eastAsia" w:cs="Times New Roman"/>
                      <w:sz w:val="21"/>
                      <w:szCs w:val="21"/>
                      <w:lang w:val="en-US" w:eastAsia="zh-CN"/>
                    </w:rPr>
                    <w:t>0.02</w:t>
                  </w:r>
                </w:p>
              </w:tc>
              <w:tc>
                <w:tcPr>
                  <w:tcW w:w="3240" w:type="dxa"/>
                  <w:vMerge w:val="continue"/>
                  <w:tcBorders>
                    <w:tl2br w:val="nil"/>
                    <w:tr2bl w:val="nil"/>
                  </w:tcBorders>
                  <w:vAlign w:val="center"/>
                </w:tcPr>
                <w:p>
                  <w:pPr>
                    <w:bidi w:val="0"/>
                    <w:spacing w:line="240" w:lineRule="auto"/>
                    <w:ind w:firstLine="0" w:firstLineChars="0"/>
                    <w:jc w:val="center"/>
                    <w:rPr>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65" w:type="dxa"/>
                  <w:vMerge w:val="continue"/>
                  <w:tcBorders>
                    <w:tl2br w:val="nil"/>
                    <w:tr2bl w:val="nil"/>
                  </w:tcBorders>
                  <w:vAlign w:val="center"/>
                </w:tcPr>
                <w:p>
                  <w:pPr>
                    <w:bidi w:val="0"/>
                    <w:spacing w:line="240" w:lineRule="auto"/>
                    <w:jc w:val="center"/>
                    <w:rPr>
                      <w:sz w:val="21"/>
                      <w:szCs w:val="21"/>
                    </w:rPr>
                  </w:pPr>
                </w:p>
              </w:tc>
              <w:tc>
                <w:tcPr>
                  <w:tcW w:w="535" w:type="dxa"/>
                  <w:tcBorders>
                    <w:tl2br w:val="nil"/>
                    <w:tr2bl w:val="nil"/>
                  </w:tcBorders>
                  <w:vAlign w:val="center"/>
                </w:tcPr>
                <w:p>
                  <w:pPr>
                    <w:bidi w:val="0"/>
                    <w:spacing w:line="240" w:lineRule="auto"/>
                    <w:jc w:val="center"/>
                    <w:rPr>
                      <w:rFonts w:hint="eastAsia" w:eastAsia="宋体"/>
                      <w:sz w:val="21"/>
                      <w:szCs w:val="21"/>
                      <w:lang w:val="en-US" w:eastAsia="zh-CN"/>
                    </w:rPr>
                  </w:pPr>
                  <w:r>
                    <w:rPr>
                      <w:rFonts w:hint="eastAsia"/>
                      <w:sz w:val="21"/>
                      <w:szCs w:val="21"/>
                      <w:lang w:val="en-US" w:eastAsia="zh-CN"/>
                    </w:rPr>
                    <w:t>无组织</w:t>
                  </w:r>
                </w:p>
              </w:tc>
              <w:tc>
                <w:tcPr>
                  <w:tcW w:w="2101" w:type="dxa"/>
                  <w:gridSpan w:val="3"/>
                  <w:tcBorders>
                    <w:tl2br w:val="nil"/>
                    <w:tr2bl w:val="nil"/>
                  </w:tcBorders>
                  <w:vAlign w:val="center"/>
                </w:tcPr>
                <w:p>
                  <w:pPr>
                    <w:bidi w:val="0"/>
                    <w:spacing w:line="240" w:lineRule="auto"/>
                    <w:jc w:val="center"/>
                    <w:rPr>
                      <w:rFonts w:hint="eastAsia" w:eastAsia="宋体"/>
                      <w:sz w:val="21"/>
                      <w:szCs w:val="21"/>
                      <w:lang w:val="en-US" w:eastAsia="zh-CN"/>
                    </w:rPr>
                  </w:pPr>
                  <w:r>
                    <w:rPr>
                      <w:rFonts w:hint="eastAsia"/>
                      <w:sz w:val="21"/>
                      <w:szCs w:val="21"/>
                      <w:lang w:val="en-US" w:eastAsia="zh-CN"/>
                    </w:rPr>
                    <w:t>封闭生产车间</w:t>
                  </w:r>
                </w:p>
              </w:tc>
              <w:tc>
                <w:tcPr>
                  <w:tcW w:w="554" w:type="dxa"/>
                  <w:tcBorders>
                    <w:tl2br w:val="nil"/>
                    <w:tr2bl w:val="nil"/>
                  </w:tcBorders>
                  <w:vAlign w:val="center"/>
                </w:tcPr>
                <w:p>
                  <w:pPr>
                    <w:bidi w:val="0"/>
                    <w:spacing w:line="240" w:lineRule="auto"/>
                    <w:jc w:val="center"/>
                    <w:rPr>
                      <w:rFonts w:hint="default" w:eastAsia="宋体"/>
                      <w:sz w:val="21"/>
                      <w:szCs w:val="21"/>
                      <w:lang w:val="en-US" w:eastAsia="zh-CN"/>
                    </w:rPr>
                  </w:pPr>
                  <w:r>
                    <w:rPr>
                      <w:rFonts w:hint="eastAsia"/>
                      <w:sz w:val="21"/>
                      <w:szCs w:val="21"/>
                      <w:lang w:val="en-US" w:eastAsia="zh-CN"/>
                    </w:rPr>
                    <w:t>0.05</w:t>
                  </w:r>
                </w:p>
              </w:tc>
              <w:tc>
                <w:tcPr>
                  <w:tcW w:w="855" w:type="dxa"/>
                  <w:tcBorders>
                    <w:tl2br w:val="nil"/>
                    <w:tr2bl w:val="nil"/>
                  </w:tcBorders>
                  <w:vAlign w:val="center"/>
                </w:tcPr>
                <w:p>
                  <w:pPr>
                    <w:bidi w:val="0"/>
                    <w:spacing w:line="240" w:lineRule="auto"/>
                    <w:jc w:val="center"/>
                    <w:rPr>
                      <w:rFonts w:hint="default" w:eastAsia="宋体"/>
                      <w:sz w:val="21"/>
                      <w:szCs w:val="21"/>
                      <w:lang w:val="en-US" w:eastAsia="zh-CN"/>
                    </w:rPr>
                  </w:pPr>
                  <w:r>
                    <w:rPr>
                      <w:rFonts w:hint="eastAsia"/>
                      <w:sz w:val="21"/>
                      <w:szCs w:val="21"/>
                      <w:lang w:val="en-US" w:eastAsia="zh-CN"/>
                    </w:rPr>
                    <w:t>＜2.0</w:t>
                  </w:r>
                </w:p>
              </w:tc>
              <w:tc>
                <w:tcPr>
                  <w:tcW w:w="577" w:type="dxa"/>
                  <w:tcBorders>
                    <w:tl2br w:val="nil"/>
                    <w:tr2bl w:val="nil"/>
                  </w:tcBorders>
                  <w:vAlign w:val="center"/>
                </w:tcPr>
                <w:p>
                  <w:pPr>
                    <w:bidi w:val="0"/>
                    <w:spacing w:line="240" w:lineRule="auto"/>
                    <w:jc w:val="center"/>
                    <w:rPr>
                      <w:rFonts w:hint="default" w:eastAsia="宋体"/>
                      <w:sz w:val="21"/>
                      <w:szCs w:val="21"/>
                      <w:lang w:val="en-US" w:eastAsia="zh-CN"/>
                    </w:rPr>
                  </w:pPr>
                  <w:r>
                    <w:rPr>
                      <w:rFonts w:hint="eastAsia"/>
                      <w:sz w:val="21"/>
                      <w:szCs w:val="21"/>
                      <w:lang w:val="en-US" w:eastAsia="zh-CN"/>
                    </w:rPr>
                    <w:t>0.1215</w:t>
                  </w:r>
                </w:p>
              </w:tc>
              <w:tc>
                <w:tcPr>
                  <w:tcW w:w="3240" w:type="dxa"/>
                  <w:tcBorders>
                    <w:tl2br w:val="nil"/>
                    <w:tr2bl w:val="nil"/>
                  </w:tcBorders>
                  <w:vAlign w:val="center"/>
                </w:tcPr>
                <w:p>
                  <w:pPr>
                    <w:bidi w:val="0"/>
                    <w:spacing w:line="240" w:lineRule="auto"/>
                    <w:jc w:val="both"/>
                    <w:rPr>
                      <w:sz w:val="21"/>
                      <w:szCs w:val="21"/>
                    </w:rPr>
                  </w:pPr>
                  <w:r>
                    <w:rPr>
                      <w:rFonts w:hint="default" w:ascii="Times New Roman" w:hAnsi="Times New Roman" w:cs="Times New Roman"/>
                      <w:sz w:val="21"/>
                      <w:szCs w:val="21"/>
                      <w:lang w:val="en-US" w:eastAsia="zh-CN"/>
                    </w:rPr>
                    <w:t>《工业企业挥发性有机物排放控制标准》（DB13/2322-2016）表2 厂界无组织监控浓度限值 非甲烷总烃 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；同时满足《挥发性有机物无组织排放控制标准》（GB37822-2019）控制要求（厂房外监控点处任意一次浓度 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，监控点处1h平均浓度 6mg/m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w:t>
                  </w:r>
                </w:p>
              </w:tc>
            </w:tr>
          </w:tbl>
          <w:p>
            <w:pPr>
              <w:bidi w:val="0"/>
              <w:ind w:firstLine="420" w:firstLineChars="200"/>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为确保废气污染物持续稳定达标排放，本次提出：</w:t>
            </w:r>
          </w:p>
          <w:p>
            <w:pPr>
              <w:bidi w:val="0"/>
              <w:ind w:firstLine="420" w:firstLineChars="200"/>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①主要生产设施、环保治理设施安装分表计电设施。</w:t>
            </w:r>
          </w:p>
          <w:p>
            <w:pPr>
              <w:bidi w:val="0"/>
              <w:ind w:firstLine="420" w:firstLineChars="200"/>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②每年更换一次活性炭，每2年更换一次催化剂。</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lang w:val="en-US" w:eastAsia="zh-CN"/>
              </w:rPr>
              <w:t>本项目有机废气处理采用过滤棉箱+活性炭吸附/脱附+催化燃烧工艺，根据</w:t>
            </w:r>
            <w:r>
              <w:rPr>
                <w:rFonts w:hint="default" w:ascii="Times New Roman" w:hAnsi="Times New Roman" w:cs="Times New Roman"/>
                <w:sz w:val="21"/>
                <w:szCs w:val="21"/>
              </w:rPr>
              <w:t>《排污许可证申请与核发技术规范 橡胶和塑料制品工业》（HJ1122—2020）中第二部分 塑料制品工业，采用活性炭吸附+催化燃烧的组合技术处理注塑废气，为可行技术；根据《工业企业挥发性有机物排放控制标准》（DB13/2322-2016）、《挥发性有机物无组织排放控制标准》（GB 37822-2019）结合《唐山市生态环境局关于开展涉挥发性有机物企业提标改造的通知》(唐环气〔2022〕1 号)：“科学选择适宜废气处理技术。①塑料制品行业产生的VOCs 废气采用燃烧方式或喷淋、吸附、低温等离子、生物法等二级及以上组合工艺处理。使用原包料且 VOCs 产生量较小（&lt;3kg/d）的企业，如采用 UV 光解活性炭吸附或低温等离子等技术处理废气时， 应在前端设置降温、除湿、除尘等预处理措施。”本项目使用原包料，VOCs 产生量较小，有机废气治理采用过滤棉箱进行预处理，采用活性炭吸附+催化燃烧治理工艺，措施可行。</w:t>
            </w:r>
          </w:p>
          <w:p>
            <w:pPr>
              <w:bidi w:val="0"/>
              <w:rPr>
                <w:rFonts w:hint="default" w:ascii="Times New Roman" w:hAnsi="Times New Roman" w:cs="Times New Roman"/>
                <w:b/>
                <w:bCs/>
                <w:sz w:val="21"/>
                <w:szCs w:val="21"/>
              </w:rPr>
            </w:pPr>
            <w:r>
              <w:rPr>
                <w:rFonts w:hint="eastAsia" w:cs="Times New Roman"/>
                <w:b/>
                <w:bCs/>
                <w:sz w:val="21"/>
                <w:szCs w:val="21"/>
                <w:lang w:val="en-US" w:eastAsia="zh-CN"/>
              </w:rPr>
              <w:t>1.3</w:t>
            </w:r>
            <w:r>
              <w:rPr>
                <w:rFonts w:hint="default" w:ascii="Times New Roman" w:hAnsi="Times New Roman" w:cs="Times New Roman"/>
                <w:b/>
                <w:bCs/>
                <w:sz w:val="21"/>
                <w:szCs w:val="21"/>
              </w:rPr>
              <w:t>非正常生产状况下废气污染源排放情况分析</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rPr>
              <w:t>结合项目工艺、设备及废气污染物产排特点，非正常生产状况主要是工艺装置开、停车、检修及环保设施故障造成。</w:t>
            </w:r>
          </w:p>
          <w:p>
            <w:pPr>
              <w:bidi w:val="0"/>
              <w:ind w:firstLine="420" w:firstLineChars="200"/>
              <w:rPr>
                <w:rFonts w:hint="default" w:ascii="Times New Roman" w:hAnsi="Times New Roman" w:cs="Times New Roman"/>
                <w:sz w:val="21"/>
                <w:szCs w:val="21"/>
              </w:rPr>
            </w:pPr>
            <w:r>
              <w:rPr>
                <w:rFonts w:hint="eastAsia" w:cs="Times New Roman"/>
                <w:sz w:val="21"/>
                <w:szCs w:val="21"/>
                <w:lang w:eastAsia="zh-CN"/>
              </w:rPr>
              <w:t>（</w:t>
            </w:r>
            <w:r>
              <w:rPr>
                <w:rFonts w:hint="eastAsia" w:cs="Times New Roman"/>
                <w:sz w:val="21"/>
                <w:szCs w:val="21"/>
                <w:lang w:val="en-US" w:eastAsia="zh-CN"/>
              </w:rPr>
              <w:t>1</w:t>
            </w:r>
            <w:r>
              <w:rPr>
                <w:rFonts w:hint="eastAsia" w:cs="Times New Roman"/>
                <w:sz w:val="21"/>
                <w:szCs w:val="21"/>
                <w:lang w:eastAsia="zh-CN"/>
              </w:rPr>
              <w:t>）</w:t>
            </w:r>
            <w:r>
              <w:rPr>
                <w:rFonts w:hint="default" w:ascii="Times New Roman" w:hAnsi="Times New Roman" w:cs="Times New Roman"/>
                <w:sz w:val="21"/>
                <w:szCs w:val="21"/>
              </w:rPr>
              <w:t>工艺装置开、停车、检修时废气污染物排放分析</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rPr>
              <w:t>各工艺装置进行有计划检修开停车及临时性故障停车时，各工艺及环保设施均处于正常运行状态，开车时物料投料量加大、停车时物料停止投料，装置内物料量均较正常生产时小的多。本项目废气主要为非甲烷总烃，开车前先开启环保设施， 停车后再关闭环保设施，废气均能按正常操作进入各工艺及环保设施，进行有效处理，废气污染物均可实现达标排放，不会对环境造成影响。</w:t>
            </w:r>
          </w:p>
          <w:p>
            <w:pPr>
              <w:bidi w:val="0"/>
              <w:ind w:firstLine="420" w:firstLineChars="200"/>
              <w:rPr>
                <w:rFonts w:hint="default" w:ascii="Times New Roman" w:hAnsi="Times New Roman" w:cs="Times New Roman"/>
                <w:sz w:val="21"/>
                <w:szCs w:val="21"/>
              </w:rPr>
            </w:pPr>
            <w:r>
              <w:rPr>
                <w:rFonts w:hint="eastAsia" w:cs="Times New Roman"/>
                <w:sz w:val="21"/>
                <w:szCs w:val="21"/>
                <w:lang w:eastAsia="zh-CN"/>
              </w:rPr>
              <w:t>（</w:t>
            </w:r>
            <w:r>
              <w:rPr>
                <w:rFonts w:hint="eastAsia" w:cs="Times New Roman"/>
                <w:sz w:val="21"/>
                <w:szCs w:val="21"/>
                <w:lang w:val="en-US" w:eastAsia="zh-CN"/>
              </w:rPr>
              <w:t>2</w:t>
            </w:r>
            <w:r>
              <w:rPr>
                <w:rFonts w:hint="eastAsia" w:cs="Times New Roman"/>
                <w:sz w:val="21"/>
                <w:szCs w:val="21"/>
                <w:lang w:eastAsia="zh-CN"/>
              </w:rPr>
              <w:t>）</w:t>
            </w:r>
            <w:r>
              <w:rPr>
                <w:rFonts w:hint="default" w:ascii="Times New Roman" w:hAnsi="Times New Roman" w:cs="Times New Roman"/>
                <w:sz w:val="21"/>
                <w:szCs w:val="21"/>
              </w:rPr>
              <w:t xml:space="preserve"> 环保设施不正常运行污染物排放</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rPr>
              <w:t>当环保设施不正常运行时可直接导致废气中污染物浓度超标排放。一般来讲， 废气处理环保设施存在多环节的故障隐患，但同时出现的概率极低，一年出现故障的次数不超过 2 次，每次出现事故持续时间一般不会超过 0.5h，可紧急抢修修复。根据前文按事故一年发生 2 次，每次持续时间 0.5h 计算，则非甲烷总烃排放量0.</w:t>
            </w:r>
            <w:r>
              <w:rPr>
                <w:rFonts w:hint="eastAsia" w:cs="Times New Roman"/>
                <w:sz w:val="21"/>
                <w:szCs w:val="21"/>
                <w:lang w:val="en-US" w:eastAsia="zh-CN"/>
              </w:rPr>
              <w:t>228</w:t>
            </w:r>
            <w:r>
              <w:rPr>
                <w:rFonts w:hint="default" w:ascii="Times New Roman" w:hAnsi="Times New Roman" w:cs="Times New Roman"/>
                <w:sz w:val="21"/>
                <w:szCs w:val="21"/>
              </w:rPr>
              <w:t>kg</w:t>
            </w:r>
            <w:r>
              <w:rPr>
                <w:rFonts w:hint="eastAsia" w:cs="Times New Roman"/>
                <w:sz w:val="21"/>
                <w:szCs w:val="21"/>
                <w:lang w:val="en-US" w:eastAsia="zh-CN"/>
              </w:rPr>
              <w:t>.</w:t>
            </w:r>
            <w:r>
              <w:rPr>
                <w:rFonts w:hint="default" w:ascii="Times New Roman" w:hAnsi="Times New Roman" w:cs="Times New Roman"/>
                <w:sz w:val="21"/>
                <w:szCs w:val="21"/>
              </w:rPr>
              <w:t>非正常工况下持续时间短，对环境影响不大。一旦环保设施出现故障，影响废气处理效率，应立即关闭该生产线。</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rPr>
              <w:t>为减少非正常工况，应对设备加强日常维护，定期检修维护，确保废气净化装置稳定运行，污染物达标排放。</w:t>
            </w:r>
          </w:p>
          <w:p>
            <w:pPr>
              <w:bidi w:val="0"/>
              <w:rPr>
                <w:rFonts w:hint="default" w:ascii="Times New Roman" w:hAnsi="Times New Roman" w:cs="Times New Roman"/>
                <w:b/>
                <w:bCs/>
                <w:sz w:val="21"/>
                <w:szCs w:val="21"/>
              </w:rPr>
            </w:pPr>
            <w:r>
              <w:rPr>
                <w:rFonts w:hint="eastAsia" w:cs="Times New Roman"/>
                <w:b/>
                <w:bCs/>
                <w:sz w:val="21"/>
                <w:szCs w:val="21"/>
                <w:lang w:val="en-US" w:eastAsia="zh-CN"/>
              </w:rPr>
              <w:t>1.4</w:t>
            </w:r>
            <w:r>
              <w:rPr>
                <w:rFonts w:hint="default" w:ascii="Times New Roman" w:hAnsi="Times New Roman" w:cs="Times New Roman"/>
                <w:b/>
                <w:bCs/>
                <w:sz w:val="21"/>
                <w:szCs w:val="21"/>
              </w:rPr>
              <w:t>废气排放环境影响分析</w:t>
            </w:r>
          </w:p>
          <w:p>
            <w:pPr>
              <w:bidi w:val="0"/>
              <w:ind w:firstLine="420" w:firstLineChars="200"/>
              <w:rPr>
                <w:rFonts w:hint="default" w:ascii="Times New Roman" w:hAnsi="Times New Roman" w:cs="Times New Roman"/>
                <w:sz w:val="21"/>
                <w:szCs w:val="21"/>
              </w:rPr>
            </w:pPr>
            <w:r>
              <w:rPr>
                <w:rFonts w:hint="default" w:ascii="Times New Roman" w:hAnsi="Times New Roman" w:cs="Times New Roman"/>
                <w:sz w:val="21"/>
                <w:szCs w:val="21"/>
              </w:rPr>
              <w:t>本项目有机废气经过滤棉箱+活性炭吸附/脱附+催化燃烧装置处理后达标排放，经分析厂界污染物浓度满足标准限值，项目废气全部达标排放，根据《排污许可证申请与核发技术规范 橡胶和塑料制品工业》（HJ 1122—2020）中表 A.2 塑料制品工业排污单位废气污染防治可行技术参考表，项目采用的废气治理措施为可行技术；</w:t>
            </w:r>
            <w:r>
              <w:rPr>
                <w:rFonts w:hint="eastAsia" w:cs="Times New Roman"/>
                <w:sz w:val="21"/>
                <w:szCs w:val="21"/>
                <w:lang w:val="en-US" w:eastAsia="zh-CN"/>
              </w:rPr>
              <w:t>本项目废气可达标排放</w:t>
            </w:r>
            <w:r>
              <w:rPr>
                <w:rFonts w:hint="default" w:ascii="Times New Roman" w:hAnsi="Times New Roman" w:cs="Times New Roman"/>
                <w:sz w:val="21"/>
                <w:szCs w:val="21"/>
              </w:rPr>
              <w:t>。</w:t>
            </w:r>
          </w:p>
          <w:p>
            <w:pPr>
              <w:bidi w:val="0"/>
              <w:rPr>
                <w:rFonts w:hint="default" w:ascii="Times New Roman" w:hAnsi="Times New Roman" w:cs="Times New Roman"/>
                <w:b/>
                <w:bCs/>
                <w:sz w:val="21"/>
                <w:szCs w:val="21"/>
              </w:rPr>
            </w:pPr>
            <w:r>
              <w:rPr>
                <w:rFonts w:hint="default" w:ascii="Times New Roman" w:hAnsi="Times New Roman" w:cs="Times New Roman"/>
                <w:b/>
                <w:bCs/>
                <w:sz w:val="21"/>
                <w:szCs w:val="21"/>
              </w:rPr>
              <w:t>2废水</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sz w:val="21"/>
                <w:szCs w:val="21"/>
              </w:rPr>
              <w:t>项目生产过程中冷却水</w:t>
            </w:r>
            <w:r>
              <w:rPr>
                <w:rFonts w:hint="default" w:ascii="Times New Roman" w:hAnsi="Times New Roman" w:cs="Times New Roman"/>
                <w:color w:val="auto"/>
                <w:sz w:val="21"/>
                <w:szCs w:val="21"/>
              </w:rPr>
              <w:t>循环使用，不外排；项目无宿舍、食堂、浴室等设施，厕所为</w:t>
            </w:r>
            <w:r>
              <w:rPr>
                <w:rFonts w:hint="eastAsia" w:cs="Times New Roman"/>
                <w:color w:val="auto"/>
                <w:sz w:val="21"/>
                <w:szCs w:val="21"/>
                <w:lang w:val="en-US" w:eastAsia="zh-CN"/>
              </w:rPr>
              <w:t>防渗旱厕</w:t>
            </w:r>
            <w:r>
              <w:rPr>
                <w:rFonts w:hint="default" w:ascii="Times New Roman" w:hAnsi="Times New Roman" w:cs="Times New Roman"/>
                <w:color w:val="auto"/>
                <w:sz w:val="21"/>
                <w:szCs w:val="21"/>
              </w:rPr>
              <w:t>。生活用水主要为职工盥洗用水，废水中主要污染物为COD、BOD5、氨氮、SS，生活污水</w:t>
            </w:r>
            <w:r>
              <w:rPr>
                <w:rFonts w:hint="eastAsia" w:cs="Times New Roman"/>
                <w:color w:val="auto"/>
                <w:sz w:val="21"/>
                <w:szCs w:val="21"/>
                <w:lang w:val="en-US" w:eastAsia="zh-CN"/>
              </w:rPr>
              <w:t>泼洒抑尘不外排</w:t>
            </w:r>
            <w:r>
              <w:rPr>
                <w:rFonts w:hint="default" w:ascii="Times New Roman" w:hAnsi="Times New Roman" w:cs="Times New Roman"/>
                <w:color w:val="auto"/>
                <w:sz w:val="21"/>
                <w:szCs w:val="21"/>
              </w:rPr>
              <w:t>。项目无生产生活废水外排。</w:t>
            </w:r>
          </w:p>
          <w:p>
            <w:pPr>
              <w:bidi w:val="0"/>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3噪声</w:t>
            </w:r>
          </w:p>
          <w:p>
            <w:pPr>
              <w:bidi w:val="0"/>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3.1噪声源种类和源强参数</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项目噪声源主要为</w:t>
            </w:r>
            <w:r>
              <w:rPr>
                <w:rFonts w:hint="eastAsia" w:ascii="Times New Roman" w:hAnsi="Times New Roman" w:cs="Times New Roman"/>
                <w:color w:val="auto"/>
                <w:sz w:val="21"/>
                <w:szCs w:val="21"/>
                <w:lang w:val="en-US" w:eastAsia="zh-CN"/>
              </w:rPr>
              <w:t>生产</w:t>
            </w:r>
            <w:r>
              <w:rPr>
                <w:rFonts w:hint="default" w:ascii="Times New Roman" w:hAnsi="Times New Roman" w:cs="Times New Roman"/>
                <w:color w:val="auto"/>
                <w:sz w:val="21"/>
                <w:szCs w:val="21"/>
              </w:rPr>
              <w:t>设备运行过程中产生的噪声，其源强为70~</w:t>
            </w:r>
            <w:r>
              <w:rPr>
                <w:rFonts w:hint="eastAsia" w:ascii="Times New Roman" w:hAnsi="Times New Roman" w:cs="Times New Roman"/>
                <w:color w:val="auto"/>
                <w:sz w:val="21"/>
                <w:szCs w:val="21"/>
                <w:lang w:val="en-US" w:eastAsia="zh-CN"/>
              </w:rPr>
              <w:t>85</w:t>
            </w:r>
            <w:r>
              <w:rPr>
                <w:rFonts w:hint="default" w:ascii="Times New Roman" w:hAnsi="Times New Roman" w:cs="Times New Roman"/>
                <w:color w:val="auto"/>
                <w:sz w:val="21"/>
                <w:szCs w:val="21"/>
              </w:rPr>
              <w:t>dB(A)。以本项目以厂区西</w:t>
            </w:r>
            <w:r>
              <w:rPr>
                <w:rFonts w:hint="eastAsia" w:ascii="Times New Roman" w:hAnsi="Times New Roman" w:cs="Times New Roman"/>
                <w:color w:val="auto"/>
                <w:sz w:val="21"/>
                <w:szCs w:val="21"/>
                <w:lang w:val="en-US" w:eastAsia="zh-CN"/>
              </w:rPr>
              <w:t>北</w:t>
            </w:r>
            <w:r>
              <w:rPr>
                <w:rFonts w:hint="default" w:ascii="Times New Roman" w:hAnsi="Times New Roman" w:cs="Times New Roman"/>
                <w:color w:val="auto"/>
                <w:sz w:val="21"/>
                <w:szCs w:val="21"/>
              </w:rPr>
              <w:t>角为坐标原点（0，0，0），噪声设备源强及降噪措施见</w:t>
            </w:r>
            <w:r>
              <w:rPr>
                <w:rFonts w:hint="eastAsia" w:cs="Times New Roman"/>
                <w:color w:val="auto"/>
                <w:sz w:val="21"/>
                <w:szCs w:val="21"/>
                <w:lang w:val="en-US" w:eastAsia="zh-CN"/>
              </w:rPr>
              <w:t>下</w:t>
            </w:r>
            <w:r>
              <w:rPr>
                <w:rFonts w:hint="default" w:ascii="Times New Roman" w:hAnsi="Times New Roman" w:cs="Times New Roman"/>
                <w:color w:val="auto"/>
                <w:sz w:val="21"/>
                <w:szCs w:val="21"/>
              </w:rPr>
              <w:t>表。</w:t>
            </w:r>
          </w:p>
          <w:p>
            <w:pPr>
              <w:tabs>
                <w:tab w:val="left" w:pos="1806"/>
              </w:tabs>
              <w:spacing w:before="20" w:line="240" w:lineRule="auto"/>
              <w:ind w:left="738" w:right="0" w:firstLine="0"/>
              <w:jc w:val="center"/>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9"/>
                <w:sz w:val="21"/>
              </w:rPr>
              <w:t xml:space="preserve"> </w:t>
            </w:r>
            <w:r>
              <w:rPr>
                <w:rFonts w:hint="eastAsia" w:ascii="Times New Roman" w:eastAsia="宋体"/>
                <w:b/>
                <w:sz w:val="21"/>
                <w:lang w:val="en-US" w:eastAsia="zh-CN"/>
              </w:rPr>
              <w:t>26</w:t>
            </w:r>
            <w:r>
              <w:rPr>
                <w:rFonts w:ascii="Times New Roman" w:eastAsia="Times New Roman"/>
                <w:b/>
                <w:sz w:val="21"/>
              </w:rPr>
              <w:tab/>
            </w:r>
            <w:r>
              <w:rPr>
                <w:rFonts w:hint="eastAsia" w:ascii="Microsoft YaHei UI" w:eastAsia="Microsoft YaHei UI"/>
                <w:b/>
                <w:sz w:val="21"/>
              </w:rPr>
              <w:t>噪声源强及治理措施一览表</w:t>
            </w:r>
          </w:p>
          <w:tbl>
            <w:tblPr>
              <w:tblStyle w:val="20"/>
              <w:tblW w:w="8484"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540"/>
              <w:gridCol w:w="629"/>
              <w:gridCol w:w="526"/>
              <w:gridCol w:w="435"/>
              <w:gridCol w:w="917"/>
              <w:gridCol w:w="1423"/>
              <w:gridCol w:w="804"/>
              <w:gridCol w:w="780"/>
              <w:gridCol w:w="840"/>
              <w:gridCol w:w="690"/>
              <w:gridCol w:w="900"/>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建筑物名称</w:t>
                  </w:r>
                </w:p>
              </w:tc>
              <w:tc>
                <w:tcPr>
                  <w:tcW w:w="629"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声源名称</w:t>
                  </w:r>
                </w:p>
              </w:tc>
              <w:tc>
                <w:tcPr>
                  <w:tcW w:w="526"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源强</w:t>
                  </w:r>
                </w:p>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/dB(A)</w:t>
                  </w:r>
                </w:p>
              </w:tc>
              <w:tc>
                <w:tcPr>
                  <w:tcW w:w="435"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数量台/套</w:t>
                  </w:r>
                </w:p>
              </w:tc>
              <w:tc>
                <w:tcPr>
                  <w:tcW w:w="917"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声源控制措施</w:t>
                  </w:r>
                </w:p>
              </w:tc>
              <w:tc>
                <w:tcPr>
                  <w:tcW w:w="1423"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中心坐标</w:t>
                  </w:r>
                </w:p>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（x,y,z）</w:t>
                  </w:r>
                </w:p>
              </w:tc>
              <w:tc>
                <w:tcPr>
                  <w:tcW w:w="804"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距室内边界距离/m</w:t>
                  </w:r>
                </w:p>
              </w:tc>
              <w:tc>
                <w:tcPr>
                  <w:tcW w:w="78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室内边界声级</w:t>
                  </w:r>
                </w:p>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/dB(A)</w:t>
                  </w:r>
                </w:p>
              </w:tc>
              <w:tc>
                <w:tcPr>
                  <w:tcW w:w="84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建筑物插入损失/dB(A)</w:t>
                  </w:r>
                </w:p>
              </w:tc>
              <w:tc>
                <w:tcPr>
                  <w:tcW w:w="1590"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建筑物外噪声</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29"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526"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435"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917"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423"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804"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78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84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9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声压级</w:t>
                  </w:r>
                </w:p>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/dB(A)</w:t>
                  </w:r>
                </w:p>
              </w:tc>
              <w:tc>
                <w:tcPr>
                  <w:tcW w:w="90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建筑物外距离</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生产车间</w:t>
                  </w:r>
                </w:p>
              </w:tc>
              <w:tc>
                <w:tcPr>
                  <w:tcW w:w="629"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注塑机</w:t>
                  </w:r>
                </w:p>
              </w:tc>
              <w:tc>
                <w:tcPr>
                  <w:tcW w:w="52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70</w:t>
                  </w:r>
                </w:p>
              </w:tc>
              <w:tc>
                <w:tcPr>
                  <w:tcW w:w="43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5</w:t>
                  </w:r>
                </w:p>
              </w:tc>
              <w:tc>
                <w:tcPr>
                  <w:tcW w:w="917"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选用低噪声设备、合理布局；砖混</w:t>
                  </w:r>
                  <w:r>
                    <w:rPr>
                      <w:rFonts w:hint="default" w:ascii="Times New Roman" w:hAnsi="Times New Roman" w:cs="Times New Roman"/>
                      <w:sz w:val="21"/>
                      <w:szCs w:val="21"/>
                      <w:lang w:val="en-US" w:eastAsia="zh-CN"/>
                    </w:rPr>
                    <w:t>+</w:t>
                  </w:r>
                  <w:r>
                    <w:rPr>
                      <w:rFonts w:hint="default" w:ascii="Times New Roman" w:hAnsi="Times New Roman" w:cs="Times New Roman"/>
                      <w:sz w:val="21"/>
                      <w:szCs w:val="21"/>
                    </w:rPr>
                    <w:t>双层彩钢结构车间内间</w:t>
                  </w:r>
                  <w:r>
                    <w:rPr>
                      <w:rFonts w:hint="default" w:ascii="Times New Roman" w:hAnsi="Times New Roman" w:cs="Times New Roman"/>
                      <w:sz w:val="21"/>
                      <w:szCs w:val="21"/>
                      <w:lang w:eastAsia="zh-CN"/>
                    </w:rPr>
                    <w:t>；</w:t>
                  </w:r>
                  <w:r>
                    <w:rPr>
                      <w:rFonts w:hint="default" w:ascii="Times New Roman" w:hAnsi="Times New Roman" w:cs="Times New Roman"/>
                      <w:sz w:val="21"/>
                      <w:szCs w:val="21"/>
                    </w:rPr>
                    <w:t>设备底部加装基础减振</w:t>
                  </w:r>
                </w:p>
              </w:tc>
              <w:tc>
                <w:tcPr>
                  <w:tcW w:w="1423"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w:t>
                  </w:r>
                  <w:r>
                    <w:rPr>
                      <w:rFonts w:hint="eastAsia" w:ascii="Times New Roman" w:hAnsi="Times New Roman" w:cs="Times New Roman"/>
                      <w:sz w:val="21"/>
                      <w:szCs w:val="21"/>
                      <w:lang w:val="en-US" w:eastAsia="zh-CN"/>
                    </w:rPr>
                    <w:t>5</w:t>
                  </w:r>
                  <w:r>
                    <w:rPr>
                      <w:rFonts w:hint="default" w:ascii="Times New Roman" w:hAnsi="Times New Roman" w:cs="Times New Roman"/>
                      <w:sz w:val="21"/>
                      <w:szCs w:val="21"/>
                    </w:rPr>
                    <w:t>，</w:t>
                  </w:r>
                  <w:r>
                    <w:rPr>
                      <w:rFonts w:hint="default" w:ascii="Times New Roman" w:hAnsi="Times New Roman" w:cs="Times New Roman"/>
                      <w:sz w:val="21"/>
                      <w:szCs w:val="21"/>
                      <w:lang w:val="en-US" w:eastAsia="zh-CN"/>
                    </w:rPr>
                    <w:t>10</w:t>
                  </w:r>
                  <w:r>
                    <w:rPr>
                      <w:rFonts w:hint="default" w:ascii="Times New Roman" w:hAnsi="Times New Roman" w:cs="Times New Roman"/>
                      <w:sz w:val="21"/>
                      <w:szCs w:val="21"/>
                    </w:rPr>
                    <w:t>～</w:t>
                  </w:r>
                  <w:r>
                    <w:rPr>
                      <w:rFonts w:hint="default" w:ascii="Times New Roman" w:hAnsi="Times New Roman" w:cs="Times New Roman"/>
                      <w:sz w:val="21"/>
                      <w:szCs w:val="21"/>
                      <w:lang w:val="en-US" w:eastAsia="zh-CN"/>
                    </w:rPr>
                    <w:t>40</w:t>
                  </w:r>
                  <w:r>
                    <w:rPr>
                      <w:rFonts w:hint="default" w:ascii="Times New Roman" w:hAnsi="Times New Roman" w:cs="Times New Roman"/>
                      <w:sz w:val="21"/>
                      <w:szCs w:val="21"/>
                    </w:rPr>
                    <w:t>，1）</w:t>
                  </w:r>
                </w:p>
              </w:tc>
              <w:tc>
                <w:tcPr>
                  <w:tcW w:w="80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val="en-US" w:eastAsia="zh-CN"/>
                    </w:rPr>
                    <w:t>5</w:t>
                  </w:r>
                </w:p>
              </w:tc>
              <w:tc>
                <w:tcPr>
                  <w:tcW w:w="78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56</w:t>
                  </w:r>
                </w:p>
              </w:tc>
              <w:tc>
                <w:tcPr>
                  <w:tcW w:w="84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20</w:t>
                  </w:r>
                </w:p>
              </w:tc>
              <w:tc>
                <w:tcPr>
                  <w:tcW w:w="690" w:type="dxa"/>
                  <w:vMerge w:val="restart"/>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49.01</w:t>
                  </w:r>
                </w:p>
              </w:tc>
              <w:tc>
                <w:tcPr>
                  <w:tcW w:w="900" w:type="dxa"/>
                  <w:vMerge w:val="restart"/>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r>
                    <w:rPr>
                      <w:rFonts w:hint="default" w:ascii="Times New Roman" w:hAnsi="Times New Roman" w:cs="Times New Roman"/>
                      <w:sz w:val="21"/>
                      <w:szCs w:val="21"/>
                    </w:rPr>
                    <w:t>1</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29"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上料</w:t>
                  </w:r>
                  <w:r>
                    <w:rPr>
                      <w:rFonts w:hint="default" w:ascii="Times New Roman" w:hAnsi="Times New Roman" w:cs="Times New Roman"/>
                      <w:sz w:val="21"/>
                      <w:szCs w:val="21"/>
                    </w:rPr>
                    <w:t>机</w:t>
                  </w:r>
                </w:p>
              </w:tc>
              <w:tc>
                <w:tcPr>
                  <w:tcW w:w="526"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70</w:t>
                  </w:r>
                </w:p>
              </w:tc>
              <w:tc>
                <w:tcPr>
                  <w:tcW w:w="435"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val="en-US" w:eastAsia="zh-CN"/>
                    </w:rPr>
                    <w:t>5</w:t>
                  </w:r>
                </w:p>
              </w:tc>
              <w:tc>
                <w:tcPr>
                  <w:tcW w:w="917"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423"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w:t>
                  </w:r>
                  <w:r>
                    <w:rPr>
                      <w:rFonts w:hint="eastAsia" w:ascii="Times New Roman" w:hAnsi="Times New Roman" w:cs="Times New Roman"/>
                      <w:sz w:val="21"/>
                      <w:szCs w:val="21"/>
                      <w:lang w:val="en-US" w:eastAsia="zh-CN"/>
                    </w:rPr>
                    <w:t>4</w:t>
                  </w:r>
                  <w:r>
                    <w:rPr>
                      <w:rFonts w:hint="default" w:ascii="Times New Roman" w:hAnsi="Times New Roman" w:cs="Times New Roman"/>
                      <w:sz w:val="21"/>
                      <w:szCs w:val="21"/>
                      <w:lang w:val="en-US" w:eastAsia="zh-CN"/>
                    </w:rPr>
                    <w:t>，10</w:t>
                  </w:r>
                  <w:r>
                    <w:rPr>
                      <w:rFonts w:hint="default" w:ascii="Times New Roman" w:hAnsi="Times New Roman" w:cs="Times New Roman"/>
                      <w:sz w:val="21"/>
                      <w:szCs w:val="21"/>
                    </w:rPr>
                    <w:t>～4</w:t>
                  </w:r>
                  <w:r>
                    <w:rPr>
                      <w:rFonts w:hint="default" w:ascii="Times New Roman" w:hAnsi="Times New Roman" w:cs="Times New Roman"/>
                      <w:sz w:val="21"/>
                      <w:szCs w:val="21"/>
                      <w:lang w:val="en-US" w:eastAsia="zh-CN"/>
                    </w:rPr>
                    <w:t>0</w:t>
                  </w:r>
                  <w:r>
                    <w:rPr>
                      <w:rFonts w:hint="default" w:ascii="Times New Roman" w:hAnsi="Times New Roman" w:cs="Times New Roman"/>
                      <w:sz w:val="21"/>
                      <w:szCs w:val="21"/>
                    </w:rPr>
                    <w:t>，1）</w:t>
                  </w:r>
                </w:p>
              </w:tc>
              <w:tc>
                <w:tcPr>
                  <w:tcW w:w="80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val="en-US" w:eastAsia="zh-CN"/>
                    </w:rPr>
                    <w:t>4</w:t>
                  </w:r>
                </w:p>
              </w:tc>
              <w:tc>
                <w:tcPr>
                  <w:tcW w:w="78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64.8</w:t>
                  </w:r>
                </w:p>
              </w:tc>
              <w:tc>
                <w:tcPr>
                  <w:tcW w:w="840"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20</w:t>
                  </w:r>
                </w:p>
              </w:tc>
              <w:tc>
                <w:tcPr>
                  <w:tcW w:w="69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90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29" w:type="dxa"/>
                  <w:tcBorders>
                    <w:tl2br w:val="nil"/>
                    <w:tr2bl w:val="nil"/>
                  </w:tcBorders>
                  <w:vAlign w:val="center"/>
                </w:tcPr>
                <w:p>
                  <w:pPr>
                    <w:bidi w:val="0"/>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color w:val="auto"/>
                      <w:sz w:val="21"/>
                      <w:szCs w:val="21"/>
                      <w:lang w:val="en-US" w:eastAsia="zh-CN"/>
                    </w:rPr>
                    <w:t>钢筋调直</w:t>
                  </w:r>
                  <w:r>
                    <w:rPr>
                      <w:rFonts w:hint="default" w:ascii="Times New Roman" w:hAnsi="Times New Roman" w:cs="Times New Roman"/>
                      <w:color w:val="auto"/>
                      <w:sz w:val="21"/>
                      <w:szCs w:val="21"/>
                    </w:rPr>
                    <w:t>机</w:t>
                  </w:r>
                </w:p>
              </w:tc>
              <w:tc>
                <w:tcPr>
                  <w:tcW w:w="526"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7</w:t>
                  </w:r>
                  <w:r>
                    <w:rPr>
                      <w:rFonts w:hint="eastAsia" w:ascii="Times New Roman" w:hAnsi="Times New Roman" w:cs="Times New Roman"/>
                      <w:sz w:val="21"/>
                      <w:szCs w:val="21"/>
                      <w:lang w:val="en-US" w:eastAsia="zh-CN"/>
                    </w:rPr>
                    <w:t>0</w:t>
                  </w:r>
                </w:p>
              </w:tc>
              <w:tc>
                <w:tcPr>
                  <w:tcW w:w="435" w:type="dxa"/>
                  <w:tcBorders>
                    <w:tl2br w:val="nil"/>
                    <w:tr2bl w:val="nil"/>
                  </w:tcBorders>
                  <w:vAlign w:val="center"/>
                </w:tcPr>
                <w:p>
                  <w:pPr>
                    <w:bidi w:val="0"/>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3</w:t>
                  </w:r>
                </w:p>
              </w:tc>
              <w:tc>
                <w:tcPr>
                  <w:tcW w:w="917"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423"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w:t>
                  </w:r>
                  <w:r>
                    <w:rPr>
                      <w:rFonts w:hint="default" w:ascii="Times New Roman" w:hAnsi="Times New Roman" w:cs="Times New Roman"/>
                      <w:sz w:val="21"/>
                      <w:szCs w:val="21"/>
                      <w:lang w:val="en-US" w:eastAsia="zh-CN"/>
                    </w:rPr>
                    <w:t>12，15</w:t>
                  </w:r>
                  <w:r>
                    <w:rPr>
                      <w:rFonts w:hint="default" w:ascii="Times New Roman" w:hAnsi="Times New Roman" w:cs="Times New Roman"/>
                      <w:sz w:val="21"/>
                      <w:szCs w:val="21"/>
                    </w:rPr>
                    <w:t>～</w:t>
                  </w:r>
                  <w:r>
                    <w:rPr>
                      <w:rFonts w:hint="default" w:ascii="Times New Roman" w:hAnsi="Times New Roman" w:cs="Times New Roman"/>
                      <w:sz w:val="21"/>
                      <w:szCs w:val="21"/>
                      <w:lang w:val="en-US" w:eastAsia="zh-CN"/>
                    </w:rPr>
                    <w:t>30</w:t>
                  </w:r>
                  <w:r>
                    <w:rPr>
                      <w:rFonts w:hint="default" w:ascii="Times New Roman" w:hAnsi="Times New Roman" w:cs="Times New Roman"/>
                      <w:sz w:val="21"/>
                      <w:szCs w:val="21"/>
                    </w:rPr>
                    <w:t>，1）</w:t>
                  </w:r>
                </w:p>
              </w:tc>
              <w:tc>
                <w:tcPr>
                  <w:tcW w:w="80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12</w:t>
                  </w:r>
                </w:p>
              </w:tc>
              <w:tc>
                <w:tcPr>
                  <w:tcW w:w="78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48.4</w:t>
                  </w:r>
                </w:p>
              </w:tc>
              <w:tc>
                <w:tcPr>
                  <w:tcW w:w="84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20</w:t>
                  </w:r>
                </w:p>
              </w:tc>
              <w:tc>
                <w:tcPr>
                  <w:tcW w:w="69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900" w:type="dxa"/>
                  <w:vMerge w:val="continue"/>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540"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629" w:type="dxa"/>
                  <w:tcBorders>
                    <w:tl2br w:val="nil"/>
                    <w:tr2bl w:val="nil"/>
                  </w:tcBorders>
                  <w:vAlign w:val="center"/>
                </w:tcPr>
                <w:p>
                  <w:pPr>
                    <w:bidi w:val="0"/>
                    <w:spacing w:line="240" w:lineRule="auto"/>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风机</w:t>
                  </w:r>
                </w:p>
              </w:tc>
              <w:tc>
                <w:tcPr>
                  <w:tcW w:w="526" w:type="dxa"/>
                  <w:tcBorders>
                    <w:tl2br w:val="nil"/>
                    <w:tr2bl w:val="nil"/>
                  </w:tcBorders>
                  <w:vAlign w:val="center"/>
                </w:tcPr>
                <w:p>
                  <w:pPr>
                    <w:bidi w:val="0"/>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85</w:t>
                  </w:r>
                </w:p>
              </w:tc>
              <w:tc>
                <w:tcPr>
                  <w:tcW w:w="435" w:type="dxa"/>
                  <w:tcBorders>
                    <w:tl2br w:val="nil"/>
                    <w:tr2bl w:val="nil"/>
                  </w:tcBorders>
                  <w:vAlign w:val="center"/>
                </w:tcPr>
                <w:p>
                  <w:pPr>
                    <w:bidi w:val="0"/>
                    <w:spacing w:line="24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1</w:t>
                  </w:r>
                </w:p>
              </w:tc>
              <w:tc>
                <w:tcPr>
                  <w:tcW w:w="917"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42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eastAsia="zh-CN"/>
                    </w:rPr>
                  </w:pPr>
                  <w:r>
                    <w:rPr>
                      <w:rFonts w:hint="default" w:ascii="Times New Roman" w:hAnsi="Times New Roman" w:cs="Times New Roman"/>
                      <w:sz w:val="21"/>
                      <w:szCs w:val="21"/>
                      <w:lang w:eastAsia="zh-CN"/>
                    </w:rPr>
                    <w:t>（</w:t>
                  </w:r>
                  <w:r>
                    <w:rPr>
                      <w:rFonts w:hint="default" w:ascii="Times New Roman" w:hAnsi="Times New Roman" w:cs="Times New Roman"/>
                      <w:sz w:val="21"/>
                      <w:szCs w:val="21"/>
                      <w:lang w:val="en-US" w:eastAsia="zh-CN"/>
                    </w:rPr>
                    <w:t>8，30，1</w:t>
                  </w:r>
                  <w:r>
                    <w:rPr>
                      <w:rFonts w:hint="default" w:ascii="Times New Roman" w:hAnsi="Times New Roman" w:cs="Times New Roman"/>
                      <w:sz w:val="21"/>
                      <w:szCs w:val="21"/>
                      <w:lang w:eastAsia="zh-CN"/>
                    </w:rPr>
                    <w:t>）</w:t>
                  </w:r>
                </w:p>
              </w:tc>
              <w:tc>
                <w:tcPr>
                  <w:tcW w:w="804"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10</w:t>
                  </w:r>
                </w:p>
              </w:tc>
              <w:tc>
                <w:tcPr>
                  <w:tcW w:w="78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65</w:t>
                  </w:r>
                </w:p>
              </w:tc>
              <w:tc>
                <w:tcPr>
                  <w:tcW w:w="840"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20</w:t>
                  </w:r>
                </w:p>
              </w:tc>
              <w:tc>
                <w:tcPr>
                  <w:tcW w:w="690" w:type="dxa"/>
                  <w:vMerge w:val="continue"/>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p>
              </w:tc>
              <w:tc>
                <w:tcPr>
                  <w:tcW w:w="900" w:type="dxa"/>
                  <w:vMerge w:val="continue"/>
                  <w:tcBorders>
                    <w:tl2br w:val="nil"/>
                    <w:tr2bl w:val="nil"/>
                  </w:tcBorders>
                  <w:vAlign w:val="center"/>
                </w:tcPr>
                <w:p>
                  <w:pPr>
                    <w:bidi w:val="0"/>
                    <w:spacing w:line="240" w:lineRule="auto"/>
                    <w:jc w:val="center"/>
                    <w:rPr>
                      <w:rFonts w:hint="eastAsia" w:ascii="Times New Roman" w:hAnsi="Times New Roman" w:eastAsia="宋体" w:cs="Times New Roman"/>
                      <w:sz w:val="21"/>
                      <w:szCs w:val="21"/>
                      <w:lang w:val="en-US" w:eastAsia="zh-CN"/>
                    </w:rPr>
                  </w:pPr>
                </w:p>
              </w:tc>
            </w:tr>
          </w:tbl>
          <w:p>
            <w:pPr>
              <w:adjustRightInd w:val="0"/>
              <w:snapToGrid w:val="0"/>
              <w:spacing w:line="360" w:lineRule="auto"/>
              <w:jc w:val="left"/>
              <w:rPr>
                <w:rFonts w:ascii="宋体" w:hAnsi="宋体" w:cs="宋体"/>
                <w:b/>
                <w:bCs/>
                <w:color w:val="auto"/>
                <w:sz w:val="21"/>
                <w:szCs w:val="21"/>
              </w:rPr>
            </w:pPr>
            <w:r>
              <w:rPr>
                <w:rFonts w:hint="eastAsia" w:ascii="宋体" w:hAnsi="宋体" w:cs="宋体"/>
                <w:b/>
                <w:bCs/>
                <w:color w:val="auto"/>
                <w:sz w:val="21"/>
                <w:szCs w:val="21"/>
                <w:lang w:val="en-US" w:eastAsia="zh-CN"/>
              </w:rPr>
              <w:t>3.2</w:t>
            </w:r>
            <w:r>
              <w:rPr>
                <w:rFonts w:ascii="宋体" w:hAnsi="宋体" w:cs="宋体"/>
                <w:b/>
                <w:bCs/>
                <w:color w:val="auto"/>
                <w:sz w:val="21"/>
                <w:szCs w:val="21"/>
              </w:rPr>
              <w:t xml:space="preserve">厂界噪声影响预测及达标分析 </w:t>
            </w:r>
          </w:p>
          <w:p>
            <w:pPr>
              <w:adjustRightInd w:val="0"/>
              <w:snapToGrid w:val="0"/>
              <w:spacing w:line="360" w:lineRule="auto"/>
              <w:ind w:firstLine="480"/>
              <w:jc w:val="left"/>
              <w:rPr>
                <w:color w:val="auto"/>
                <w:sz w:val="21"/>
                <w:szCs w:val="21"/>
              </w:rPr>
            </w:pPr>
            <w:r>
              <w:rPr>
                <w:rFonts w:hint="eastAsia"/>
                <w:color w:val="auto"/>
                <w:sz w:val="21"/>
                <w:szCs w:val="21"/>
              </w:rPr>
              <w:t>（1）</w:t>
            </w:r>
            <w:r>
              <w:rPr>
                <w:color w:val="auto"/>
                <w:sz w:val="21"/>
                <w:szCs w:val="21"/>
              </w:rPr>
              <w:t>预测因子：等效 A 声级</w:t>
            </w:r>
          </w:p>
          <w:p>
            <w:pPr>
              <w:bidi w:val="0"/>
              <w:ind w:firstLine="420" w:firstLineChars="200"/>
              <w:rPr>
                <w:rFonts w:hint="default" w:ascii="Times New Roman" w:hAnsi="Times New Roman" w:eastAsia="宋体" w:cs="Times New Roman"/>
                <w:sz w:val="21"/>
                <w:szCs w:val="21"/>
              </w:rPr>
            </w:pPr>
            <w:r>
              <w:rPr>
                <w:rFonts w:hint="eastAsia"/>
                <w:color w:val="auto"/>
                <w:sz w:val="21"/>
                <w:szCs w:val="21"/>
              </w:rPr>
              <w:t>（2）</w:t>
            </w:r>
            <w:r>
              <w:rPr>
                <w:color w:val="auto"/>
                <w:sz w:val="21"/>
                <w:szCs w:val="21"/>
              </w:rPr>
              <w:t>预测方位：厂界</w:t>
            </w:r>
            <w:r>
              <w:rPr>
                <w:rFonts w:hint="default" w:ascii="Times New Roman" w:hAnsi="Times New Roman" w:eastAsia="宋体" w:cs="Times New Roman"/>
                <w:sz w:val="21"/>
                <w:szCs w:val="21"/>
              </w:rPr>
              <w:t>外 1m</w:t>
            </w:r>
          </w:p>
          <w:p>
            <w:pPr>
              <w:bidi w:val="0"/>
              <w:ind w:firstLine="420" w:firstLineChars="200"/>
              <w:rPr>
                <w:rFonts w:hint="default" w:ascii="Times New Roman" w:hAnsi="Times New Roman" w:eastAsia="宋体" w:cs="Times New Roman"/>
                <w:sz w:val="21"/>
                <w:szCs w:val="21"/>
              </w:rPr>
            </w:pPr>
            <w:r>
              <w:rPr>
                <w:rFonts w:hint="eastAsia" w:ascii="Times New Roman" w:hAnsi="Times New Roman" w:eastAsia="宋体" w:cs="Times New Roman"/>
                <w:sz w:val="21"/>
                <w:szCs w:val="21"/>
              </w:rPr>
              <w:t>（3）</w:t>
            </w:r>
            <w:r>
              <w:rPr>
                <w:rFonts w:hint="default" w:ascii="Times New Roman" w:hAnsi="Times New Roman" w:eastAsia="宋体" w:cs="Times New Roman"/>
                <w:sz w:val="21"/>
                <w:szCs w:val="21"/>
              </w:rPr>
              <w:t>预测模式</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①室外点声源对厂界噪声预测点贡献值预测模式户外声传播衰减包括几何发散（Adiv）、大气吸收（Aatm）、地面效应（Agr）、障碍物屏蔽（Abar）、其他多方面效应（Amisc）引起的衰减。</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a）在环境影响评价中，应根据声源声功率级或参考位置处的声压级、户外声传播衰减，计算预测点的声级，分别按式（A.1）或式（A.2）计算。</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Lp(r)＝Lw+DC－(Adiv＋Aatm＋Agr＋Abar＋Amisc)（A.1）</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式中：Lp(r) ——预测点处声压级，dB；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Lw ——由点声源产生的声功率级（A 计权或倍频带），dB；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DC ——指向性校正，它描述点声源的等效连续声压级与产生声功率级 Lw 的全向点声源在规定方向的声级的偏差程度，dB；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Adiv ——几何发散引起的衰减，dB；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Aatm ——大气吸收引起的衰减，dB；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Agr ——地面效应引起的衰减，dB；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Abar ——障碍物屏蔽引起的衰减，dB；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Amisc ——其他多方面效应引起的衰减，dB。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Lp(r)＝Lp(r0)+DC－(Adiv＋Aatm＋Agr＋Abar＋Amisc) （A.2）</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式中：Lp(r) ——预测点处声压级，dB；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Lp(r0) ——参考位置 r0处的声压级，dB；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DC ——指向性校正，它描述点声源的等效连续声压级与产生声功率级 Lw 的全向点声源在规定方向的声级的偏差程度，dB；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Adiv ——几何发散引起的衰减，dB；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Aatm ——大气吸收引起的衰减，dB；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Agr ——地面效应引起的衰减，dB；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Abar ——障碍物屏蔽引起的衰减，dB；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Amisc ——其他多方面效应引起的衰减，dB。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几何发散对于室外点声源，不考虑其指向性，几何发散衰减计算公式为：LA(r)=LA(r0)－20Lg(r/r0)B、遮挡物引起的衰减遮挡物引起的衰减，只考虑各声源所在厂房围护结构的屏蔽效应，(1)中已计算，其他忽略不计。</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C、空气吸收引起的衰减</w:t>
            </w:r>
          </w:p>
          <w:p>
            <w:pPr>
              <w:bidi w:val="0"/>
              <w:ind w:firstLine="420" w:firstLineChars="200"/>
              <w:rPr>
                <w:color w:val="auto"/>
                <w:sz w:val="21"/>
                <w:szCs w:val="21"/>
              </w:rPr>
            </w:pPr>
            <w:r>
              <w:rPr>
                <w:rFonts w:hint="default" w:ascii="Times New Roman" w:hAnsi="Times New Roman" w:eastAsia="宋体" w:cs="Times New Roman"/>
                <w:sz w:val="21"/>
                <w:szCs w:val="21"/>
              </w:rPr>
              <w:t>空气吸收引起的衰减按下式计</w:t>
            </w:r>
            <w:r>
              <w:rPr>
                <w:color w:val="auto"/>
                <w:sz w:val="21"/>
                <w:szCs w:val="21"/>
              </w:rPr>
              <w:t>算：</w:t>
            </w:r>
          </w:p>
          <w:p>
            <w:pPr>
              <w:adjustRightInd w:val="0"/>
              <w:snapToGrid w:val="0"/>
              <w:spacing w:line="360" w:lineRule="auto"/>
              <w:ind w:firstLine="480"/>
              <w:jc w:val="center"/>
              <w:rPr>
                <w:color w:val="auto"/>
                <w:sz w:val="21"/>
                <w:szCs w:val="21"/>
              </w:rPr>
            </w:pPr>
            <w:r>
              <w:rPr>
                <w:rFonts w:hint="eastAsia"/>
                <w:color w:val="auto"/>
                <w:sz w:val="21"/>
                <w:szCs w:val="21"/>
              </w:rPr>
              <w:drawing>
                <wp:inline distT="0" distB="0" distL="114300" distR="114300">
                  <wp:extent cx="1238250" cy="445135"/>
                  <wp:effectExtent l="0" t="0" r="0" b="12065"/>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21" cstate="print"/>
                          <a:stretch>
                            <a:fillRect/>
                          </a:stretch>
                        </pic:blipFill>
                        <pic:spPr>
                          <a:xfrm>
                            <a:off x="0" y="0"/>
                            <a:ext cx="1238250" cy="445135"/>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color w:val="auto"/>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r—预测点距声源的距离，m；</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r0—参考点距声源的距离，m；</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α—每 1000m 空气吸收系数。</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②室内点声源对厂界噪声预测点贡献值预测模式声源位于室内，室内声源可采用等效室外声源声功率级法进行计算。设靠近开口处（或窗户）室内、室外某倍频带的声压级或 A 声级分别为 Lp1 和Lp2。若声源所在室内声场为近似扩散声场，则室外的倍频带声压级可按式（B.1）近似求出：</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1460500" cy="377825"/>
                  <wp:effectExtent l="0" t="0" r="6350" b="3175"/>
                  <wp:docPr id="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pic:cNvPicPr>
                            <a:picLocks noChangeAspect="1"/>
                          </pic:cNvPicPr>
                        </pic:nvPicPr>
                        <pic:blipFill>
                          <a:blip r:embed="rId22" cstate="print"/>
                          <a:srcRect t="28513"/>
                          <a:stretch>
                            <a:fillRect/>
                          </a:stretch>
                        </pic:blipFill>
                        <pic:spPr>
                          <a:xfrm>
                            <a:off x="0" y="0"/>
                            <a:ext cx="1460500" cy="377825"/>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Lp1——靠近开口处（或窗户）室内某倍频带的声压级或A 声级，dB；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Lp2——靠近开口处（或窗户）室外某倍频带的声压级或 A 声级，dB；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TL——隔墙（或窗户）倍频带或 A 声级的隔声量，dB。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也可按式（B.2）计算某一室内声源靠近围护结构处产生的倍频带声压级或 A 声级：</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2813685" cy="596900"/>
                  <wp:effectExtent l="0" t="0" r="5715" b="12700"/>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23" cstate="print"/>
                          <a:stretch>
                            <a:fillRect/>
                          </a:stretch>
                        </pic:blipFill>
                        <pic:spPr>
                          <a:xfrm>
                            <a:off x="0" y="0"/>
                            <a:ext cx="2813685" cy="596900"/>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Loct，1 为某个室内声源在靠近围护结构处产生的倍频带声压级；</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Lwoct 为某个声源的倍频带声功率级；</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r1 为室内某个声源与靠近围护结构处的距离</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R 为房间常数；</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Q 为方向性因子。</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然后按式（B.3）计算出所有室内声源在围护结构处产生的 i 倍频带叠加声压级：</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2433320" cy="461010"/>
                  <wp:effectExtent l="0" t="0" r="5080" b="15240"/>
                  <wp:docPr id="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pic:cNvPicPr>
                            <a:picLocks noChangeAspect="1"/>
                          </pic:cNvPicPr>
                        </pic:nvPicPr>
                        <pic:blipFill>
                          <a:blip r:embed="rId24" cstate="print"/>
                          <a:srcRect t="7889" b="7889"/>
                          <a:stretch>
                            <a:fillRect/>
                          </a:stretch>
                        </pic:blipFill>
                        <pic:spPr>
                          <a:xfrm>
                            <a:off x="0" y="0"/>
                            <a:ext cx="2433320" cy="461010"/>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 oct，1 T ——靠近围护结构处室内 N 个声源 i 倍频带的叠加声压级，dB；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Loct 1(i)——室内 j 声源 i 倍频带的声压级，dB；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N ——室内声源总数。</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在室内近似为扩散声场时，按式（B.4）计算出靠近室外围护结构处的声压级：</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2643505" cy="354330"/>
                  <wp:effectExtent l="0" t="0" r="4445" b="7620"/>
                  <wp:docPr id="1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
                          <pic:cNvPicPr>
                            <a:picLocks noChangeAspect="1"/>
                          </pic:cNvPicPr>
                        </pic:nvPicPr>
                        <pic:blipFill>
                          <a:blip r:embed="rId25" cstate="print"/>
                          <a:srcRect t="20030" b="6342"/>
                          <a:stretch>
                            <a:fillRect/>
                          </a:stretch>
                        </pic:blipFill>
                        <pic:spPr>
                          <a:xfrm>
                            <a:off x="0" y="0"/>
                            <a:ext cx="2643505" cy="354330"/>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式中：TLoct 为围护结构倍频带隔声损失，厂房内的噪声与围护结构距离较近，整个厂房实际起着一个大隔声罩的作用。在本次预测中，利用实测结果，确定以25dB(A)作为厂房围护的隔声量。</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然后按式（B.5）将室外声源的声压级和透过面积换算成等效的室外声源，计算出中心位置位于透 声面积（S）处的等效声源的倍频带声功率级。</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2965450" cy="330835"/>
                  <wp:effectExtent l="0" t="0" r="6350" b="12065"/>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26" cstate="print"/>
                          <a:srcRect t="8086" b="6979"/>
                          <a:stretch>
                            <a:fillRect/>
                          </a:stretch>
                        </pic:blipFill>
                        <pic:spPr>
                          <a:xfrm>
                            <a:off x="0" y="0"/>
                            <a:ext cx="2965450" cy="330835"/>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Lwoct ——中心位置位于透声面积（S）处的等效声源的倍频带声功率级，dB；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Loct2(T)——靠近围护结构处室外声源的声压级，dB；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S 为透声面积，m</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然后按室外声源预测方法计算预测点处的A声级。如预测点在靠近声源处，但不能满足点声源条件时，需按线声源或面声源模型计算。预测值计算噪声预测值（ Leq ）计算公式为：</w:t>
            </w:r>
          </w:p>
          <w:p>
            <w:pPr>
              <w:bidi w:val="0"/>
              <w:spacing w:line="240" w:lineRule="auto"/>
              <w:ind w:firstLine="420" w:firstLineChars="20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2522855" cy="365760"/>
                  <wp:effectExtent l="0" t="0" r="10795" b="15240"/>
                  <wp:docPr id="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pic:cNvPicPr>
                            <a:picLocks noChangeAspect="1"/>
                          </pic:cNvPicPr>
                        </pic:nvPicPr>
                        <pic:blipFill>
                          <a:blip r:embed="rId27" cstate="print"/>
                          <a:srcRect t="8571" b="10452"/>
                          <a:stretch>
                            <a:fillRect/>
                          </a:stretch>
                        </pic:blipFill>
                        <pic:spPr>
                          <a:xfrm>
                            <a:off x="0" y="0"/>
                            <a:ext cx="2522855" cy="365760"/>
                          </a:xfrm>
                          <a:prstGeom prst="rect">
                            <a:avLst/>
                          </a:prstGeom>
                          <a:noFill/>
                          <a:ln>
                            <a:noFill/>
                          </a:ln>
                        </pic:spPr>
                      </pic:pic>
                    </a:graphicData>
                  </a:graphic>
                </wp:inline>
              </w:drawing>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式中：</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Leq ——预测点的噪声预测值，dB；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Leqg ——建设项目声源在预测点产生的噪声贡献值，dB；</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Leqb ——预测点的背景噪声值，dB。</w:t>
            </w:r>
          </w:p>
          <w:p>
            <w:pPr>
              <w:bidi w:val="0"/>
              <w:rPr>
                <w:rFonts w:hint="default" w:ascii="Times New Roman" w:hAnsi="Times New Roman" w:eastAsia="宋体" w:cs="Times New Roman"/>
                <w:b/>
                <w:bCs/>
                <w:sz w:val="21"/>
                <w:szCs w:val="21"/>
              </w:rPr>
            </w:pPr>
            <w:r>
              <w:rPr>
                <w:rFonts w:hint="eastAsia" w:ascii="Times New Roman" w:hAnsi="Times New Roman" w:eastAsia="宋体" w:cs="Times New Roman"/>
                <w:b/>
                <w:bCs/>
                <w:sz w:val="21"/>
                <w:szCs w:val="21"/>
                <w:lang w:val="en-US" w:eastAsia="zh-CN"/>
              </w:rPr>
              <w:t>3.3</w:t>
            </w:r>
            <w:r>
              <w:rPr>
                <w:rFonts w:hint="default" w:ascii="Times New Roman" w:hAnsi="Times New Roman" w:eastAsia="宋体" w:cs="Times New Roman"/>
                <w:b/>
                <w:bCs/>
                <w:sz w:val="21"/>
                <w:szCs w:val="21"/>
              </w:rPr>
              <w:t>预测结果与评价</w:t>
            </w:r>
          </w:p>
          <w:p>
            <w:pPr>
              <w:bidi w:val="0"/>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生产车间距厂区边界距离及噪声预测结果见</w:t>
            </w:r>
            <w:r>
              <w:rPr>
                <w:rFonts w:hint="eastAsia" w:ascii="Times New Roman" w:hAnsi="Times New Roman" w:eastAsia="宋体" w:cs="Times New Roman"/>
                <w:sz w:val="21"/>
                <w:szCs w:val="21"/>
                <w:lang w:val="en-US" w:eastAsia="zh-CN"/>
              </w:rPr>
              <w:t>下</w:t>
            </w:r>
            <w:r>
              <w:rPr>
                <w:rFonts w:hint="default" w:ascii="Times New Roman" w:hAnsi="Times New Roman" w:eastAsia="宋体" w:cs="Times New Roman"/>
                <w:sz w:val="21"/>
                <w:szCs w:val="21"/>
              </w:rPr>
              <w:t>表。</w:t>
            </w:r>
          </w:p>
          <w:p>
            <w:pPr>
              <w:tabs>
                <w:tab w:val="left" w:pos="4457"/>
                <w:tab w:val="left" w:pos="7720"/>
              </w:tabs>
              <w:spacing w:before="0" w:line="344" w:lineRule="exact"/>
              <w:ind w:left="2547" w:right="0" w:firstLine="0"/>
              <w:jc w:val="left"/>
              <w:rPr>
                <w:rFonts w:ascii="Times New Roman" w:eastAsia="Times New Roman"/>
                <w:b/>
                <w:sz w:val="21"/>
              </w:rPr>
            </w:pPr>
            <w:r>
              <w:rPr>
                <w:rFonts w:hint="eastAsia" w:ascii="Microsoft YaHei UI" w:eastAsia="Microsoft YaHei UI"/>
                <w:b/>
                <w:sz w:val="21"/>
              </w:rPr>
              <w:t>表</w:t>
            </w:r>
            <w:r>
              <w:rPr>
                <w:rFonts w:hint="eastAsia" w:ascii="Microsoft YaHei UI" w:eastAsia="Microsoft YaHei UI"/>
                <w:b/>
                <w:spacing w:val="-9"/>
                <w:sz w:val="21"/>
              </w:rPr>
              <w:t xml:space="preserve"> </w:t>
            </w:r>
            <w:r>
              <w:rPr>
                <w:rFonts w:hint="eastAsia" w:ascii="Times New Roman" w:eastAsia="宋体"/>
                <w:b/>
                <w:sz w:val="21"/>
                <w:lang w:val="en-US" w:eastAsia="zh-CN"/>
              </w:rPr>
              <w:t xml:space="preserve">27  </w:t>
            </w:r>
            <w:r>
              <w:rPr>
                <w:rFonts w:hint="eastAsia" w:ascii="Microsoft YaHei UI" w:eastAsia="Microsoft YaHei UI"/>
                <w:b/>
                <w:sz w:val="21"/>
              </w:rPr>
              <w:t>噪声预测结果一览表</w:t>
            </w:r>
            <w:r>
              <w:rPr>
                <w:rFonts w:hint="eastAsia" w:ascii="Microsoft YaHei UI" w:eastAsia="宋体"/>
                <w:b/>
                <w:sz w:val="21"/>
                <w:lang w:val="en-US" w:eastAsia="zh-CN"/>
              </w:rPr>
              <w:t xml:space="preserve">  </w:t>
            </w:r>
            <w:r>
              <w:rPr>
                <w:rFonts w:hint="eastAsia" w:ascii="Microsoft YaHei UI" w:eastAsia="Microsoft YaHei UI"/>
                <w:b/>
                <w:sz w:val="21"/>
              </w:rPr>
              <w:t>单位：</w:t>
            </w:r>
            <w:r>
              <w:rPr>
                <w:rFonts w:ascii="Times New Roman" w:eastAsia="Times New Roman"/>
                <w:b/>
                <w:sz w:val="21"/>
              </w:rPr>
              <w:t>dB(A)</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507"/>
              <w:gridCol w:w="1003"/>
              <w:gridCol w:w="1029"/>
              <w:gridCol w:w="1135"/>
              <w:gridCol w:w="1133"/>
              <w:gridCol w:w="1135"/>
              <w:gridCol w:w="105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预测点</w:t>
                  </w:r>
                </w:p>
              </w:tc>
              <w:tc>
                <w:tcPr>
                  <w:tcW w:w="2032"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贡献值</w:t>
                  </w:r>
                </w:p>
              </w:tc>
              <w:tc>
                <w:tcPr>
                  <w:tcW w:w="2268"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标准值</w:t>
                  </w:r>
                </w:p>
              </w:tc>
              <w:tc>
                <w:tcPr>
                  <w:tcW w:w="2193" w:type="dxa"/>
                  <w:gridSpan w:val="2"/>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达标情况</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003"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昼间</w:t>
                  </w:r>
                </w:p>
              </w:tc>
              <w:tc>
                <w:tcPr>
                  <w:tcW w:w="1029"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夜间</w:t>
                  </w: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昼间</w:t>
                  </w:r>
                </w:p>
              </w:tc>
              <w:tc>
                <w:tcPr>
                  <w:tcW w:w="1133"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夜间</w:t>
                  </w: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昼间</w:t>
                  </w:r>
                </w:p>
              </w:tc>
              <w:tc>
                <w:tcPr>
                  <w:tcW w:w="105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夜间</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东厂界</w:t>
                  </w:r>
                </w:p>
              </w:tc>
              <w:tc>
                <w:tcPr>
                  <w:tcW w:w="100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36.9</w:t>
                  </w:r>
                </w:p>
              </w:tc>
              <w:tc>
                <w:tcPr>
                  <w:tcW w:w="1029" w:type="dxa"/>
                  <w:tcBorders>
                    <w:tl2br w:val="nil"/>
                    <w:tr2bl w:val="nil"/>
                  </w:tcBorders>
                  <w:vAlign w:val="center"/>
                </w:tcPr>
                <w:p>
                  <w:pPr>
                    <w:bidi w:val="0"/>
                    <w:spacing w:line="240" w:lineRule="auto"/>
                    <w:ind w:firstLine="0" w:firstLineChars="0"/>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36.9</w:t>
                  </w:r>
                </w:p>
              </w:tc>
              <w:tc>
                <w:tcPr>
                  <w:tcW w:w="1135"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60</w:t>
                  </w:r>
                </w:p>
              </w:tc>
              <w:tc>
                <w:tcPr>
                  <w:tcW w:w="1133" w:type="dxa"/>
                  <w:vMerge w:val="restart"/>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50</w:t>
                  </w: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c>
                <w:tcPr>
                  <w:tcW w:w="105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南厂界</w:t>
                  </w:r>
                </w:p>
              </w:tc>
              <w:tc>
                <w:tcPr>
                  <w:tcW w:w="100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35.1</w:t>
                  </w:r>
                </w:p>
              </w:tc>
              <w:tc>
                <w:tcPr>
                  <w:tcW w:w="1029" w:type="dxa"/>
                  <w:tcBorders>
                    <w:tl2br w:val="nil"/>
                    <w:tr2bl w:val="nil"/>
                  </w:tcBorders>
                  <w:vAlign w:val="center"/>
                </w:tcPr>
                <w:p>
                  <w:pPr>
                    <w:bidi w:val="0"/>
                    <w:spacing w:line="240" w:lineRule="auto"/>
                    <w:ind w:firstLine="0" w:firstLineChars="0"/>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35.1</w:t>
                  </w:r>
                </w:p>
              </w:tc>
              <w:tc>
                <w:tcPr>
                  <w:tcW w:w="1135"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3"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c>
                <w:tcPr>
                  <w:tcW w:w="105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西厂界</w:t>
                  </w:r>
                </w:p>
              </w:tc>
              <w:tc>
                <w:tcPr>
                  <w:tcW w:w="100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36.9</w:t>
                  </w:r>
                </w:p>
              </w:tc>
              <w:tc>
                <w:tcPr>
                  <w:tcW w:w="1029" w:type="dxa"/>
                  <w:tcBorders>
                    <w:tl2br w:val="nil"/>
                    <w:tr2bl w:val="nil"/>
                  </w:tcBorders>
                  <w:vAlign w:val="center"/>
                </w:tcPr>
                <w:p>
                  <w:pPr>
                    <w:bidi w:val="0"/>
                    <w:spacing w:line="240" w:lineRule="auto"/>
                    <w:ind w:firstLine="0" w:firstLineChars="0"/>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36.9</w:t>
                  </w:r>
                </w:p>
              </w:tc>
              <w:tc>
                <w:tcPr>
                  <w:tcW w:w="1135"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3"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c>
                <w:tcPr>
                  <w:tcW w:w="105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07"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北厂界</w:t>
                  </w:r>
                </w:p>
              </w:tc>
              <w:tc>
                <w:tcPr>
                  <w:tcW w:w="1003" w:type="dxa"/>
                  <w:tcBorders>
                    <w:tl2br w:val="nil"/>
                    <w:tr2bl w:val="nil"/>
                  </w:tcBorders>
                  <w:vAlign w:val="center"/>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33.4</w:t>
                  </w:r>
                </w:p>
              </w:tc>
              <w:tc>
                <w:tcPr>
                  <w:tcW w:w="1029" w:type="dxa"/>
                  <w:tcBorders>
                    <w:tl2br w:val="nil"/>
                    <w:tr2bl w:val="nil"/>
                  </w:tcBorders>
                  <w:vAlign w:val="center"/>
                </w:tcPr>
                <w:p>
                  <w:pPr>
                    <w:bidi w:val="0"/>
                    <w:spacing w:line="240" w:lineRule="auto"/>
                    <w:ind w:firstLine="0" w:firstLineChars="0"/>
                    <w:jc w:val="center"/>
                    <w:rPr>
                      <w:rFonts w:hint="default" w:ascii="Times New Roman" w:hAnsi="Times New Roman" w:cs="Times New Roman"/>
                      <w:sz w:val="21"/>
                      <w:szCs w:val="21"/>
                    </w:rPr>
                  </w:pPr>
                  <w:r>
                    <w:rPr>
                      <w:rFonts w:hint="eastAsia" w:ascii="Times New Roman" w:hAnsi="Times New Roman" w:cs="Times New Roman"/>
                      <w:sz w:val="21"/>
                      <w:szCs w:val="21"/>
                      <w:lang w:val="en-US" w:eastAsia="zh-CN"/>
                    </w:rPr>
                    <w:t>33.4</w:t>
                  </w:r>
                </w:p>
              </w:tc>
              <w:tc>
                <w:tcPr>
                  <w:tcW w:w="1135"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3" w:type="dxa"/>
                  <w:vMerge w:val="continue"/>
                  <w:tcBorders>
                    <w:tl2br w:val="nil"/>
                    <w:tr2bl w:val="nil"/>
                  </w:tcBorders>
                  <w:vAlign w:val="center"/>
                </w:tcPr>
                <w:p>
                  <w:pPr>
                    <w:bidi w:val="0"/>
                    <w:spacing w:line="240" w:lineRule="auto"/>
                    <w:jc w:val="center"/>
                    <w:rPr>
                      <w:rFonts w:hint="default" w:ascii="Times New Roman" w:hAnsi="Times New Roman" w:cs="Times New Roman"/>
                      <w:sz w:val="21"/>
                      <w:szCs w:val="21"/>
                    </w:rPr>
                  </w:pPr>
                </w:p>
              </w:tc>
              <w:tc>
                <w:tcPr>
                  <w:tcW w:w="1135"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c>
                <w:tcPr>
                  <w:tcW w:w="1058" w:type="dxa"/>
                  <w:tcBorders>
                    <w:tl2br w:val="nil"/>
                    <w:tr2bl w:val="nil"/>
                  </w:tcBorders>
                  <w:vAlign w:val="center"/>
                </w:tcPr>
                <w:p>
                  <w:pPr>
                    <w:bidi w:val="0"/>
                    <w:spacing w:line="240" w:lineRule="auto"/>
                    <w:jc w:val="center"/>
                    <w:rPr>
                      <w:rFonts w:hint="default" w:ascii="Times New Roman" w:hAnsi="Times New Roman" w:cs="Times New Roman"/>
                      <w:sz w:val="21"/>
                      <w:szCs w:val="21"/>
                    </w:rPr>
                  </w:pPr>
                  <w:r>
                    <w:rPr>
                      <w:rFonts w:hint="default" w:ascii="Times New Roman" w:hAnsi="Times New Roman" w:cs="Times New Roman"/>
                      <w:sz w:val="21"/>
                      <w:szCs w:val="21"/>
                    </w:rPr>
                    <w:t>达标</w:t>
                  </w:r>
                </w:p>
              </w:tc>
            </w:tr>
          </w:tbl>
          <w:p>
            <w:pPr>
              <w:bidi w:val="0"/>
              <w:ind w:firstLine="420" w:firstLineChars="200"/>
              <w:rPr>
                <w:rFonts w:hint="default" w:ascii="Times New Roman" w:hAnsi="Times New Roman" w:eastAsia="宋体" w:cs="Times New Roman"/>
                <w:sz w:val="21"/>
                <w:szCs w:val="21"/>
                <w:lang w:val="en-US" w:eastAsia="zh-CN"/>
              </w:rPr>
            </w:pPr>
            <w:r>
              <w:rPr>
                <w:rFonts w:hint="default"/>
                <w:sz w:val="21"/>
                <w:szCs w:val="21"/>
                <w:lang w:val="en-US" w:eastAsia="zh-CN"/>
              </w:rPr>
              <w:t>由上表可知，厂界噪声贡献值为</w:t>
            </w:r>
            <w:r>
              <w:rPr>
                <w:rFonts w:hint="eastAsia"/>
                <w:sz w:val="21"/>
                <w:szCs w:val="21"/>
                <w:lang w:val="en-US" w:eastAsia="zh-CN"/>
              </w:rPr>
              <w:t>33.4</w:t>
            </w:r>
            <w:r>
              <w:rPr>
                <w:rFonts w:hint="default"/>
                <w:sz w:val="21"/>
                <w:szCs w:val="21"/>
                <w:lang w:val="en-US" w:eastAsia="zh-CN"/>
              </w:rPr>
              <w:t>~</w:t>
            </w:r>
            <w:r>
              <w:rPr>
                <w:rFonts w:hint="eastAsia"/>
                <w:sz w:val="21"/>
                <w:szCs w:val="21"/>
                <w:lang w:val="en-US" w:eastAsia="zh-CN"/>
              </w:rPr>
              <w:t>36.9</w:t>
            </w:r>
            <w:r>
              <w:rPr>
                <w:rFonts w:hint="default"/>
                <w:sz w:val="21"/>
                <w:szCs w:val="21"/>
                <w:lang w:val="en-US" w:eastAsia="zh-CN"/>
              </w:rPr>
              <w:t>dB(A)，满足《工业企业厂界环境噪声排放标准》(GB12348-2008)2 类区标准限值要求。项目 50m 范围内没有噪声敏感点，噪声对周围环境影响较小</w:t>
            </w:r>
            <w:r>
              <w:rPr>
                <w:rFonts w:hint="default" w:ascii="Times New Roman" w:hAnsi="Times New Roman" w:eastAsia="宋体" w:cs="Times New Roman"/>
                <w:sz w:val="21"/>
                <w:szCs w:val="21"/>
                <w:lang w:val="en-US" w:eastAsia="zh-CN"/>
              </w:rPr>
              <w:t>。</w:t>
            </w:r>
          </w:p>
          <w:p>
            <w:pPr>
              <w:bidi w:val="0"/>
              <w:rPr>
                <w:rFonts w:hint="default" w:ascii="Times New Roman" w:hAnsi="Times New Roman" w:eastAsia="宋体" w:cs="Times New Roman"/>
                <w:b/>
                <w:bCs/>
                <w:sz w:val="21"/>
                <w:szCs w:val="21"/>
                <w:lang w:val="en-US" w:eastAsia="zh-CN"/>
              </w:rPr>
            </w:pPr>
            <w:r>
              <w:rPr>
                <w:rFonts w:hint="default" w:ascii="Times New Roman" w:hAnsi="Times New Roman" w:eastAsia="宋体" w:cs="Times New Roman"/>
                <w:b/>
                <w:bCs/>
                <w:sz w:val="21"/>
                <w:szCs w:val="21"/>
                <w:lang w:val="en-US" w:eastAsia="zh-CN"/>
              </w:rPr>
              <w:t>4固体废物</w:t>
            </w:r>
          </w:p>
          <w:p>
            <w:pPr>
              <w:bidi w:val="0"/>
              <w:ind w:firstLine="420" w:firstLineChars="200"/>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项目产生的固体废弃物包括一般固废、危险废物和生活垃圾，具体情况如下：</w:t>
            </w:r>
          </w:p>
          <w:p>
            <w:pPr>
              <w:bidi w:val="0"/>
              <w:ind w:firstLine="420" w:firstLineChars="200"/>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⑴一般固废：拆包产生的废包装材料产生量约</w:t>
            </w:r>
            <w:r>
              <w:rPr>
                <w:rFonts w:hint="eastAsia" w:ascii="Times New Roman" w:hAnsi="Times New Roman" w:eastAsia="宋体" w:cs="Times New Roman"/>
                <w:sz w:val="21"/>
                <w:szCs w:val="21"/>
                <w:lang w:val="en-US" w:eastAsia="zh-CN"/>
              </w:rPr>
              <w:t>0.5t</w:t>
            </w:r>
            <w:r>
              <w:rPr>
                <w:rFonts w:hint="default" w:ascii="Times New Roman" w:hAnsi="Times New Roman" w:eastAsia="宋体" w:cs="Times New Roman"/>
                <w:sz w:val="21"/>
                <w:szCs w:val="21"/>
                <w:lang w:val="en-US" w:eastAsia="zh-CN"/>
              </w:rPr>
              <w:t>/a。不合格品产生量约</w:t>
            </w:r>
            <w:r>
              <w:rPr>
                <w:rFonts w:hint="eastAsia" w:cs="Times New Roman"/>
                <w:sz w:val="21"/>
                <w:szCs w:val="21"/>
                <w:lang w:val="en-US" w:eastAsia="zh-CN"/>
              </w:rPr>
              <w:t>0.1</w:t>
            </w:r>
            <w:r>
              <w:rPr>
                <w:rFonts w:hint="default" w:ascii="Times New Roman" w:hAnsi="Times New Roman" w:eastAsia="宋体" w:cs="Times New Roman"/>
                <w:sz w:val="21"/>
                <w:szCs w:val="21"/>
                <w:lang w:val="en-US" w:eastAsia="zh-CN"/>
              </w:rPr>
              <w:t>t/a。</w:t>
            </w:r>
            <w:r>
              <w:rPr>
                <w:rFonts w:hint="eastAsia" w:cs="Times New Roman"/>
                <w:sz w:val="21"/>
                <w:szCs w:val="21"/>
                <w:lang w:val="en-US" w:eastAsia="zh-CN"/>
              </w:rPr>
              <w:t>废钢筋产生量约0.1t/a。</w:t>
            </w:r>
            <w:r>
              <w:rPr>
                <w:rFonts w:hint="default" w:ascii="Times New Roman" w:hAnsi="Times New Roman" w:eastAsia="宋体" w:cs="Times New Roman"/>
                <w:sz w:val="21"/>
                <w:szCs w:val="21"/>
                <w:lang w:val="en-US" w:eastAsia="zh-CN"/>
              </w:rPr>
              <w:t>在生产车间内</w:t>
            </w:r>
            <w:r>
              <w:rPr>
                <w:rFonts w:hint="eastAsia" w:ascii="Times New Roman" w:hAnsi="Times New Roman" w:eastAsia="宋体" w:cs="Times New Roman"/>
                <w:sz w:val="21"/>
                <w:szCs w:val="21"/>
                <w:lang w:val="en-US" w:eastAsia="zh-CN"/>
              </w:rPr>
              <w:t>北</w:t>
            </w:r>
            <w:r>
              <w:rPr>
                <w:rFonts w:hint="default" w:ascii="Times New Roman" w:hAnsi="Times New Roman" w:eastAsia="宋体" w:cs="Times New Roman"/>
                <w:sz w:val="21"/>
                <w:szCs w:val="21"/>
                <w:lang w:val="en-US" w:eastAsia="zh-CN"/>
              </w:rPr>
              <w:t>侧设置一般固废暂存区（1</w:t>
            </w:r>
            <w:r>
              <w:rPr>
                <w:rFonts w:hint="eastAsia" w:ascii="Times New Roman" w:hAnsi="Times New Roman" w:eastAsia="宋体" w:cs="Times New Roman"/>
                <w:sz w:val="21"/>
                <w:szCs w:val="21"/>
                <w:lang w:val="en-US" w:eastAsia="zh-CN"/>
              </w:rPr>
              <w:t>0</w:t>
            </w:r>
            <w:r>
              <w:rPr>
                <w:rFonts w:hint="default" w:ascii="Times New Roman" w:hAnsi="Times New Roman" w:eastAsia="宋体" w:cs="Times New Roman"/>
                <w:sz w:val="21"/>
                <w:szCs w:val="21"/>
                <w:lang w:val="en-US" w:eastAsia="zh-CN"/>
              </w:rPr>
              <w:t>m</w:t>
            </w:r>
            <w:r>
              <w:rPr>
                <w:rFonts w:hint="default" w:ascii="Times New Roman" w:hAnsi="Times New Roman" w:eastAsia="宋体" w:cs="Times New Roman"/>
                <w:sz w:val="21"/>
                <w:szCs w:val="21"/>
                <w:vertAlign w:val="superscript"/>
                <w:lang w:val="en-US" w:eastAsia="zh-CN"/>
              </w:rPr>
              <w:t>2</w:t>
            </w:r>
            <w:r>
              <w:rPr>
                <w:rFonts w:hint="default" w:ascii="Times New Roman" w:hAnsi="Times New Roman" w:eastAsia="宋体" w:cs="Times New Roman"/>
                <w:sz w:val="21"/>
                <w:szCs w:val="21"/>
                <w:lang w:val="en-US" w:eastAsia="zh-CN"/>
              </w:rPr>
              <w:t>）。一般固废区使用混凝土硬化，一般固体废物定 期处置。具备防风、防雨、防淋溶措施，严禁露天堆存，一般固废区应按 GB 15562《环境保护图形标志 固体废物贮存（处置）场》要求设置标识。一般固废妥善处置，对环境影响较小。</w:t>
            </w:r>
          </w:p>
          <w:p>
            <w:pPr>
              <w:tabs>
                <w:tab w:val="left" w:pos="4457"/>
                <w:tab w:val="left" w:pos="7720"/>
              </w:tabs>
              <w:spacing w:before="0" w:line="344" w:lineRule="exact"/>
              <w:ind w:left="2547" w:right="0" w:firstLine="0"/>
              <w:jc w:val="left"/>
              <w:rPr>
                <w:rFonts w:hint="eastAsia" w:ascii="Microsoft YaHei UI" w:hAnsi="Times New Roman" w:eastAsia="Microsoft YaHei UI" w:cs="Times New Roman"/>
                <w:b/>
                <w:sz w:val="21"/>
              </w:rPr>
            </w:pPr>
            <w:r>
              <w:rPr>
                <w:rFonts w:hint="default" w:ascii="Times New Roman" w:hAnsi="Times New Roman" w:eastAsia="Microsoft YaHei UI" w:cs="Times New Roman"/>
                <w:b/>
                <w:sz w:val="21"/>
              </w:rPr>
              <w:t>表</w:t>
            </w:r>
            <w:r>
              <w:rPr>
                <w:rFonts w:hint="default" w:ascii="Times New Roman" w:hAnsi="Times New Roman" w:eastAsia="宋体" w:cs="Times New Roman"/>
                <w:b/>
                <w:sz w:val="21"/>
                <w:lang w:val="en-US" w:eastAsia="zh-CN"/>
              </w:rPr>
              <w:t>2</w:t>
            </w:r>
            <w:r>
              <w:rPr>
                <w:rFonts w:hint="eastAsia" w:ascii="Times New Roman" w:hAnsi="Times New Roman" w:eastAsia="宋体" w:cs="Times New Roman"/>
                <w:b/>
                <w:sz w:val="21"/>
                <w:lang w:val="en-US" w:eastAsia="zh-CN"/>
              </w:rPr>
              <w:t>8</w:t>
            </w:r>
            <w:r>
              <w:rPr>
                <w:rFonts w:hint="default" w:ascii="Times New Roman" w:hAnsi="Times New Roman" w:eastAsia="宋体" w:cs="Times New Roman"/>
                <w:b/>
                <w:sz w:val="21"/>
                <w:lang w:val="en-US" w:eastAsia="zh-CN"/>
              </w:rPr>
              <w:t xml:space="preserve">  </w:t>
            </w:r>
            <w:r>
              <w:rPr>
                <w:rFonts w:hint="eastAsia" w:ascii="Microsoft YaHei UI" w:hAnsi="Times New Roman" w:eastAsia="Microsoft YaHei UI" w:cs="Times New Roman"/>
                <w:b/>
                <w:sz w:val="21"/>
              </w:rPr>
              <w:t>固体废物产生量及处置措施一览表</w:t>
            </w:r>
          </w:p>
          <w:tbl>
            <w:tblPr>
              <w:tblStyle w:val="20"/>
              <w:tblW w:w="8117"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364"/>
              <w:gridCol w:w="1020"/>
              <w:gridCol w:w="1152"/>
              <w:gridCol w:w="1879"/>
              <w:gridCol w:w="1551"/>
              <w:gridCol w:w="1151"/>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6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名称</w:t>
                  </w:r>
                </w:p>
              </w:tc>
              <w:tc>
                <w:tcPr>
                  <w:tcW w:w="1020"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来源</w:t>
                  </w:r>
                </w:p>
              </w:tc>
              <w:tc>
                <w:tcPr>
                  <w:tcW w:w="1152"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产生量（t/a）</w:t>
                  </w:r>
                </w:p>
              </w:tc>
              <w:tc>
                <w:tcPr>
                  <w:tcW w:w="1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处置方式</w:t>
                  </w:r>
                </w:p>
              </w:tc>
              <w:tc>
                <w:tcPr>
                  <w:tcW w:w="1551"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代码</w:t>
                  </w:r>
                </w:p>
              </w:tc>
              <w:tc>
                <w:tcPr>
                  <w:tcW w:w="1151"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性质</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6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废包装材料</w:t>
                  </w:r>
                </w:p>
              </w:tc>
              <w:tc>
                <w:tcPr>
                  <w:tcW w:w="1020"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拆包</w:t>
                  </w:r>
                </w:p>
              </w:tc>
              <w:tc>
                <w:tcPr>
                  <w:tcW w:w="1152"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0.5</w:t>
                  </w:r>
                </w:p>
              </w:tc>
              <w:tc>
                <w:tcPr>
                  <w:tcW w:w="1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集中收集外售</w:t>
                  </w:r>
                </w:p>
              </w:tc>
              <w:tc>
                <w:tcPr>
                  <w:tcW w:w="1551"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900-999-99</w:t>
                  </w:r>
                </w:p>
              </w:tc>
              <w:tc>
                <w:tcPr>
                  <w:tcW w:w="1151" w:type="dxa"/>
                  <w:vMerge w:val="restart"/>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p>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一般固废</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64"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不合格品</w:t>
                  </w:r>
                </w:p>
              </w:tc>
              <w:tc>
                <w:tcPr>
                  <w:tcW w:w="1020"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注塑</w:t>
                  </w:r>
                </w:p>
              </w:tc>
              <w:tc>
                <w:tcPr>
                  <w:tcW w:w="1152"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0.1</w:t>
                  </w:r>
                </w:p>
              </w:tc>
              <w:tc>
                <w:tcPr>
                  <w:tcW w:w="1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集中收集外售</w:t>
                  </w:r>
                </w:p>
              </w:tc>
              <w:tc>
                <w:tcPr>
                  <w:tcW w:w="1551"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292-001-06</w:t>
                  </w:r>
                </w:p>
              </w:tc>
              <w:tc>
                <w:tcPr>
                  <w:tcW w:w="1151" w:type="dxa"/>
                  <w:vMerge w:val="continue"/>
                  <w:tcBorders>
                    <w:tl2br w:val="nil"/>
                    <w:tr2bl w:val="nil"/>
                  </w:tcBorders>
                  <w:vAlign w:val="top"/>
                </w:tcPr>
                <w:p>
                  <w:pPr>
                    <w:bidi w:val="0"/>
                    <w:spacing w:line="240" w:lineRule="auto"/>
                    <w:rPr>
                      <w:rFonts w:hint="default" w:ascii="Times New Roman" w:hAnsi="Times New Roman"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64" w:type="dxa"/>
                  <w:tcBorders>
                    <w:tl2br w:val="nil"/>
                    <w:tr2bl w:val="nil"/>
                  </w:tcBorders>
                  <w:vAlign w:val="top"/>
                </w:tcPr>
                <w:p>
                  <w:pPr>
                    <w:bidi w:val="0"/>
                    <w:spacing w:line="240" w:lineRule="auto"/>
                    <w:jc w:val="center"/>
                    <w:rPr>
                      <w:rFonts w:hint="eastAsia" w:ascii="Times New Roman" w:hAnsi="Times New Roman" w:eastAsia="宋体" w:cs="Times New Roman"/>
                      <w:sz w:val="21"/>
                      <w:szCs w:val="21"/>
                      <w:lang w:val="en-US" w:eastAsia="zh-CN"/>
                    </w:rPr>
                  </w:pPr>
                  <w:r>
                    <w:rPr>
                      <w:rFonts w:hint="eastAsia" w:cs="Times New Roman"/>
                      <w:sz w:val="21"/>
                      <w:szCs w:val="21"/>
                      <w:lang w:val="en-US" w:eastAsia="zh-CN"/>
                    </w:rPr>
                    <w:t>废钢筋</w:t>
                  </w:r>
                </w:p>
              </w:tc>
              <w:tc>
                <w:tcPr>
                  <w:tcW w:w="1020" w:type="dxa"/>
                  <w:tcBorders>
                    <w:tl2br w:val="nil"/>
                    <w:tr2bl w:val="nil"/>
                  </w:tcBorders>
                  <w:vAlign w:val="top"/>
                </w:tcPr>
                <w:p>
                  <w:pPr>
                    <w:bidi w:val="0"/>
                    <w:spacing w:line="240" w:lineRule="auto"/>
                    <w:jc w:val="center"/>
                    <w:rPr>
                      <w:rFonts w:hint="eastAsia" w:ascii="Times New Roman" w:hAnsi="Times New Roman" w:eastAsia="宋体" w:cs="Times New Roman"/>
                      <w:sz w:val="21"/>
                      <w:szCs w:val="21"/>
                      <w:lang w:val="en-US" w:eastAsia="zh-CN"/>
                    </w:rPr>
                  </w:pPr>
                  <w:r>
                    <w:rPr>
                      <w:rFonts w:hint="eastAsia" w:cs="Times New Roman"/>
                      <w:sz w:val="21"/>
                      <w:szCs w:val="21"/>
                      <w:lang w:val="en-US" w:eastAsia="zh-CN"/>
                    </w:rPr>
                    <w:t>钢筋加工</w:t>
                  </w:r>
                </w:p>
              </w:tc>
              <w:tc>
                <w:tcPr>
                  <w:tcW w:w="1152"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lang w:val="en-US" w:eastAsia="zh-CN"/>
                    </w:rPr>
                  </w:pPr>
                  <w:r>
                    <w:rPr>
                      <w:rFonts w:hint="eastAsia" w:cs="Times New Roman"/>
                      <w:sz w:val="21"/>
                      <w:szCs w:val="21"/>
                      <w:lang w:val="en-US" w:eastAsia="zh-CN"/>
                    </w:rPr>
                    <w:t>0.1</w:t>
                  </w:r>
                </w:p>
              </w:tc>
              <w:tc>
                <w:tcPr>
                  <w:tcW w:w="1879"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集中收集外售</w:t>
                  </w:r>
                </w:p>
              </w:tc>
              <w:tc>
                <w:tcPr>
                  <w:tcW w:w="1551" w:type="dxa"/>
                  <w:tcBorders>
                    <w:tl2br w:val="nil"/>
                    <w:tr2bl w:val="nil"/>
                  </w:tcBorders>
                  <w:vAlign w:val="top"/>
                </w:tcPr>
                <w:p>
                  <w:pPr>
                    <w:bidi w:val="0"/>
                    <w:spacing w:line="240" w:lineRule="auto"/>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900-999-99</w:t>
                  </w:r>
                </w:p>
              </w:tc>
              <w:tc>
                <w:tcPr>
                  <w:tcW w:w="1151" w:type="dxa"/>
                  <w:vMerge w:val="continue"/>
                  <w:tcBorders>
                    <w:tl2br w:val="nil"/>
                    <w:tr2bl w:val="nil"/>
                  </w:tcBorders>
                  <w:vAlign w:val="top"/>
                </w:tcPr>
                <w:p>
                  <w:pPr>
                    <w:bidi w:val="0"/>
                    <w:spacing w:line="240" w:lineRule="auto"/>
                    <w:rPr>
                      <w:rFonts w:hint="default" w:ascii="Times New Roman" w:hAnsi="Times New Roman" w:cs="Times New Roman"/>
                      <w:sz w:val="21"/>
                      <w:szCs w:val="21"/>
                    </w:rPr>
                  </w:pPr>
                </w:p>
              </w:tc>
            </w:tr>
          </w:tbl>
          <w:p>
            <w:pPr>
              <w:bidi w:val="0"/>
              <w:ind w:firstLine="420" w:firstLineChars="200"/>
              <w:rPr>
                <w:rFonts w:hint="default" w:ascii="Times New Roman" w:hAnsi="Times New Roman" w:cs="Times New Roman"/>
                <w:color w:val="auto"/>
                <w:sz w:val="21"/>
                <w:szCs w:val="21"/>
              </w:rPr>
            </w:pPr>
            <w:r>
              <w:rPr>
                <w:rFonts w:hint="default" w:ascii="Times New Roman" w:hAnsi="Times New Roman" w:eastAsia="宋体" w:cs="Times New Roman"/>
                <w:sz w:val="21"/>
                <w:szCs w:val="21"/>
                <w:lang w:val="en-US" w:eastAsia="zh-CN"/>
              </w:rPr>
              <w:t>⑵危险废物：设备维护</w:t>
            </w:r>
            <w:r>
              <w:rPr>
                <w:rFonts w:hint="default" w:ascii="Times New Roman" w:hAnsi="Times New Roman" w:cs="Times New Roman"/>
                <w:color w:val="auto"/>
                <w:sz w:val="21"/>
                <w:szCs w:val="21"/>
              </w:rPr>
              <w:t>保养废润滑油产生量为用量的 10%-20%，环评取最大值 20%计为 0.04t/a，废油桶产生量为0.0</w:t>
            </w:r>
            <w:r>
              <w:rPr>
                <w:rFonts w:hint="eastAsia" w:cs="Times New Roman"/>
                <w:color w:val="auto"/>
                <w:sz w:val="21"/>
                <w:szCs w:val="21"/>
                <w:lang w:val="en-US" w:eastAsia="zh-CN"/>
              </w:rPr>
              <w:t>5</w:t>
            </w:r>
            <w:r>
              <w:rPr>
                <w:rFonts w:hint="default" w:ascii="Times New Roman" w:hAnsi="Times New Roman" w:cs="Times New Roman"/>
                <w:color w:val="auto"/>
                <w:sz w:val="21"/>
                <w:szCs w:val="21"/>
              </w:rPr>
              <w:t>t/a。废过滤棉产生量0.</w:t>
            </w:r>
            <w:r>
              <w:rPr>
                <w:rFonts w:hint="eastAsia" w:cs="Times New Roman"/>
                <w:color w:val="auto"/>
                <w:sz w:val="21"/>
                <w:szCs w:val="21"/>
                <w:lang w:val="en-US" w:eastAsia="zh-CN"/>
              </w:rPr>
              <w:t>1</w:t>
            </w:r>
            <w:r>
              <w:rPr>
                <w:rFonts w:hint="default" w:ascii="Times New Roman" w:hAnsi="Times New Roman" w:cs="Times New Roman"/>
                <w:color w:val="auto"/>
                <w:sz w:val="21"/>
                <w:szCs w:val="21"/>
              </w:rPr>
              <w:t>t/a，废催化剂产生量 0.01 t/2a，废活性炭产生量</w:t>
            </w:r>
            <w:r>
              <w:rPr>
                <w:rFonts w:hint="eastAsia" w:cs="Times New Roman"/>
                <w:color w:val="auto"/>
                <w:sz w:val="21"/>
                <w:szCs w:val="21"/>
                <w:lang w:val="en-US" w:eastAsia="zh-CN"/>
              </w:rPr>
              <w:t>1</w:t>
            </w:r>
            <w:r>
              <w:rPr>
                <w:rFonts w:hint="default" w:ascii="Times New Roman" w:hAnsi="Times New Roman" w:cs="Times New Roman"/>
                <w:color w:val="auto"/>
                <w:sz w:val="21"/>
                <w:szCs w:val="21"/>
              </w:rPr>
              <w:t xml:space="preserve"> t/a。</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ⅰ 企业危险废物产生情况</w:t>
            </w:r>
          </w:p>
          <w:p>
            <w:pPr>
              <w:tabs>
                <w:tab w:val="left" w:pos="4666"/>
              </w:tabs>
              <w:spacing w:before="146" w:line="240" w:lineRule="auto"/>
              <w:ind w:left="2547" w:right="0" w:firstLine="0"/>
              <w:jc w:val="left"/>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9"/>
                <w:sz w:val="21"/>
              </w:rPr>
              <w:t xml:space="preserve"> </w:t>
            </w:r>
            <w:r>
              <w:rPr>
                <w:rFonts w:hint="eastAsia" w:ascii="Times New Roman" w:eastAsia="宋体"/>
                <w:b/>
                <w:sz w:val="21"/>
                <w:lang w:val="en-US" w:eastAsia="zh-CN"/>
              </w:rPr>
              <w:t>2</w:t>
            </w:r>
            <w:r>
              <w:rPr>
                <w:rFonts w:hint="eastAsia"/>
                <w:b/>
                <w:sz w:val="21"/>
                <w:lang w:val="en-US" w:eastAsia="zh-CN"/>
              </w:rPr>
              <w:t>9</w:t>
            </w:r>
            <w:r>
              <w:rPr>
                <w:rFonts w:hint="eastAsia" w:ascii="Times New Roman" w:eastAsia="宋体"/>
                <w:b/>
                <w:sz w:val="21"/>
                <w:lang w:val="en-US" w:eastAsia="zh-CN"/>
              </w:rPr>
              <w:t xml:space="preserve">  </w:t>
            </w:r>
            <w:r>
              <w:rPr>
                <w:rFonts w:hint="eastAsia" w:ascii="Microsoft YaHei UI" w:eastAsia="Microsoft YaHei UI"/>
                <w:b/>
                <w:sz w:val="21"/>
              </w:rPr>
              <w:t>项目危险废物汇总表</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314"/>
              <w:gridCol w:w="942"/>
              <w:gridCol w:w="735"/>
              <w:gridCol w:w="1005"/>
              <w:gridCol w:w="765"/>
              <w:gridCol w:w="885"/>
              <w:gridCol w:w="585"/>
              <w:gridCol w:w="765"/>
              <w:gridCol w:w="720"/>
              <w:gridCol w:w="1635"/>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jc w:val="center"/>
                    <w:rPr>
                      <w:sz w:val="21"/>
                      <w:szCs w:val="21"/>
                    </w:rPr>
                  </w:pPr>
                  <w:r>
                    <w:rPr>
                      <w:sz w:val="21"/>
                      <w:szCs w:val="21"/>
                    </w:rPr>
                    <w:t>序号</w:t>
                  </w:r>
                </w:p>
              </w:tc>
              <w:tc>
                <w:tcPr>
                  <w:tcW w:w="942" w:type="dxa"/>
                  <w:tcBorders>
                    <w:tl2br w:val="nil"/>
                    <w:tr2bl w:val="nil"/>
                  </w:tcBorders>
                  <w:vAlign w:val="center"/>
                </w:tcPr>
                <w:p>
                  <w:pPr>
                    <w:bidi w:val="0"/>
                    <w:spacing w:line="240" w:lineRule="auto"/>
                    <w:jc w:val="center"/>
                    <w:rPr>
                      <w:sz w:val="21"/>
                      <w:szCs w:val="21"/>
                    </w:rPr>
                  </w:pPr>
                  <w:r>
                    <w:rPr>
                      <w:sz w:val="21"/>
                      <w:szCs w:val="21"/>
                    </w:rPr>
                    <w:t>危险废物名称</w:t>
                  </w:r>
                </w:p>
              </w:tc>
              <w:tc>
                <w:tcPr>
                  <w:tcW w:w="735" w:type="dxa"/>
                  <w:tcBorders>
                    <w:tl2br w:val="nil"/>
                    <w:tr2bl w:val="nil"/>
                  </w:tcBorders>
                  <w:vAlign w:val="center"/>
                </w:tcPr>
                <w:p>
                  <w:pPr>
                    <w:bidi w:val="0"/>
                    <w:spacing w:line="240" w:lineRule="auto"/>
                    <w:jc w:val="center"/>
                    <w:rPr>
                      <w:sz w:val="21"/>
                      <w:szCs w:val="21"/>
                    </w:rPr>
                  </w:pPr>
                  <w:r>
                    <w:rPr>
                      <w:sz w:val="21"/>
                      <w:szCs w:val="21"/>
                    </w:rPr>
                    <w:t>危险废物类别</w:t>
                  </w:r>
                </w:p>
              </w:tc>
              <w:tc>
                <w:tcPr>
                  <w:tcW w:w="1005" w:type="dxa"/>
                  <w:tcBorders>
                    <w:tl2br w:val="nil"/>
                    <w:tr2bl w:val="nil"/>
                  </w:tcBorders>
                  <w:vAlign w:val="center"/>
                </w:tcPr>
                <w:p>
                  <w:pPr>
                    <w:bidi w:val="0"/>
                    <w:spacing w:line="240" w:lineRule="auto"/>
                    <w:jc w:val="center"/>
                    <w:rPr>
                      <w:sz w:val="21"/>
                      <w:szCs w:val="21"/>
                    </w:rPr>
                  </w:pPr>
                  <w:r>
                    <w:rPr>
                      <w:sz w:val="21"/>
                      <w:szCs w:val="21"/>
                    </w:rPr>
                    <w:t>危险废物代码</w:t>
                  </w:r>
                </w:p>
              </w:tc>
              <w:tc>
                <w:tcPr>
                  <w:tcW w:w="765" w:type="dxa"/>
                  <w:tcBorders>
                    <w:tl2br w:val="nil"/>
                    <w:tr2bl w:val="nil"/>
                  </w:tcBorders>
                  <w:vAlign w:val="center"/>
                </w:tcPr>
                <w:p>
                  <w:pPr>
                    <w:bidi w:val="0"/>
                    <w:spacing w:line="240" w:lineRule="auto"/>
                    <w:jc w:val="center"/>
                    <w:rPr>
                      <w:sz w:val="21"/>
                      <w:szCs w:val="21"/>
                    </w:rPr>
                  </w:pPr>
                  <w:r>
                    <w:rPr>
                      <w:sz w:val="21"/>
                      <w:szCs w:val="21"/>
                    </w:rPr>
                    <w:t>产生量</w:t>
                  </w:r>
                </w:p>
                <w:p>
                  <w:pPr>
                    <w:bidi w:val="0"/>
                    <w:spacing w:line="240" w:lineRule="auto"/>
                    <w:jc w:val="center"/>
                    <w:rPr>
                      <w:sz w:val="21"/>
                      <w:szCs w:val="21"/>
                    </w:rPr>
                  </w:pPr>
                  <w:r>
                    <w:rPr>
                      <w:sz w:val="21"/>
                      <w:szCs w:val="21"/>
                    </w:rPr>
                    <w:t>（t/a）</w:t>
                  </w:r>
                </w:p>
              </w:tc>
              <w:tc>
                <w:tcPr>
                  <w:tcW w:w="885" w:type="dxa"/>
                  <w:tcBorders>
                    <w:tl2br w:val="nil"/>
                    <w:tr2bl w:val="nil"/>
                  </w:tcBorders>
                  <w:vAlign w:val="center"/>
                </w:tcPr>
                <w:p>
                  <w:pPr>
                    <w:bidi w:val="0"/>
                    <w:spacing w:line="240" w:lineRule="auto"/>
                    <w:jc w:val="center"/>
                    <w:rPr>
                      <w:sz w:val="21"/>
                      <w:szCs w:val="21"/>
                    </w:rPr>
                  </w:pPr>
                  <w:r>
                    <w:rPr>
                      <w:sz w:val="21"/>
                      <w:szCs w:val="21"/>
                    </w:rPr>
                    <w:t>产生工序及装置</w:t>
                  </w:r>
                </w:p>
              </w:tc>
              <w:tc>
                <w:tcPr>
                  <w:tcW w:w="585" w:type="dxa"/>
                  <w:tcBorders>
                    <w:tl2br w:val="nil"/>
                    <w:tr2bl w:val="nil"/>
                  </w:tcBorders>
                  <w:vAlign w:val="center"/>
                </w:tcPr>
                <w:p>
                  <w:pPr>
                    <w:bidi w:val="0"/>
                    <w:spacing w:line="240" w:lineRule="auto"/>
                    <w:jc w:val="center"/>
                    <w:rPr>
                      <w:sz w:val="21"/>
                      <w:szCs w:val="21"/>
                    </w:rPr>
                  </w:pPr>
                  <w:r>
                    <w:rPr>
                      <w:sz w:val="21"/>
                      <w:szCs w:val="21"/>
                    </w:rPr>
                    <w:t>形态</w:t>
                  </w:r>
                </w:p>
              </w:tc>
              <w:tc>
                <w:tcPr>
                  <w:tcW w:w="765" w:type="dxa"/>
                  <w:tcBorders>
                    <w:tl2br w:val="nil"/>
                    <w:tr2bl w:val="nil"/>
                  </w:tcBorders>
                  <w:vAlign w:val="center"/>
                </w:tcPr>
                <w:p>
                  <w:pPr>
                    <w:bidi w:val="0"/>
                    <w:spacing w:line="240" w:lineRule="auto"/>
                    <w:jc w:val="center"/>
                    <w:rPr>
                      <w:sz w:val="21"/>
                      <w:szCs w:val="21"/>
                    </w:rPr>
                  </w:pPr>
                  <w:r>
                    <w:rPr>
                      <w:sz w:val="21"/>
                      <w:szCs w:val="21"/>
                    </w:rPr>
                    <w:t>主要成分</w:t>
                  </w:r>
                </w:p>
              </w:tc>
              <w:tc>
                <w:tcPr>
                  <w:tcW w:w="720" w:type="dxa"/>
                  <w:tcBorders>
                    <w:tl2br w:val="nil"/>
                    <w:tr2bl w:val="nil"/>
                  </w:tcBorders>
                  <w:vAlign w:val="center"/>
                </w:tcPr>
                <w:p>
                  <w:pPr>
                    <w:bidi w:val="0"/>
                    <w:spacing w:line="240" w:lineRule="auto"/>
                    <w:jc w:val="center"/>
                    <w:rPr>
                      <w:sz w:val="21"/>
                      <w:szCs w:val="21"/>
                    </w:rPr>
                  </w:pPr>
                  <w:r>
                    <w:rPr>
                      <w:sz w:val="21"/>
                      <w:szCs w:val="21"/>
                    </w:rPr>
                    <w:t>危险特性</w:t>
                  </w:r>
                </w:p>
              </w:tc>
              <w:tc>
                <w:tcPr>
                  <w:tcW w:w="1635" w:type="dxa"/>
                  <w:tcBorders>
                    <w:tl2br w:val="nil"/>
                    <w:tr2bl w:val="nil"/>
                  </w:tcBorders>
                  <w:vAlign w:val="center"/>
                </w:tcPr>
                <w:p>
                  <w:pPr>
                    <w:bidi w:val="0"/>
                    <w:spacing w:line="240" w:lineRule="auto"/>
                    <w:jc w:val="center"/>
                    <w:rPr>
                      <w:sz w:val="21"/>
                      <w:szCs w:val="21"/>
                    </w:rPr>
                  </w:pPr>
                  <w:r>
                    <w:rPr>
                      <w:sz w:val="21"/>
                      <w:szCs w:val="21"/>
                    </w:rPr>
                    <w:t>污染防治措施</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jc w:val="center"/>
                    <w:rPr>
                      <w:sz w:val="21"/>
                      <w:szCs w:val="21"/>
                    </w:rPr>
                  </w:pPr>
                  <w:r>
                    <w:rPr>
                      <w:sz w:val="21"/>
                      <w:szCs w:val="21"/>
                    </w:rPr>
                    <w:t>1</w:t>
                  </w:r>
                </w:p>
              </w:tc>
              <w:tc>
                <w:tcPr>
                  <w:tcW w:w="942" w:type="dxa"/>
                  <w:tcBorders>
                    <w:tl2br w:val="nil"/>
                    <w:tr2bl w:val="nil"/>
                  </w:tcBorders>
                  <w:vAlign w:val="center"/>
                </w:tcPr>
                <w:p>
                  <w:pPr>
                    <w:bidi w:val="0"/>
                    <w:spacing w:line="240" w:lineRule="auto"/>
                    <w:jc w:val="center"/>
                    <w:rPr>
                      <w:sz w:val="21"/>
                      <w:szCs w:val="21"/>
                    </w:rPr>
                  </w:pPr>
                  <w:r>
                    <w:rPr>
                      <w:sz w:val="21"/>
                      <w:szCs w:val="21"/>
                    </w:rPr>
                    <w:t>废润滑油</w:t>
                  </w:r>
                </w:p>
              </w:tc>
              <w:tc>
                <w:tcPr>
                  <w:tcW w:w="735" w:type="dxa"/>
                  <w:tcBorders>
                    <w:tl2br w:val="nil"/>
                    <w:tr2bl w:val="nil"/>
                  </w:tcBorders>
                  <w:vAlign w:val="center"/>
                </w:tcPr>
                <w:p>
                  <w:pPr>
                    <w:bidi w:val="0"/>
                    <w:spacing w:line="240" w:lineRule="auto"/>
                    <w:jc w:val="center"/>
                    <w:rPr>
                      <w:sz w:val="21"/>
                      <w:szCs w:val="21"/>
                    </w:rPr>
                  </w:pPr>
                  <w:r>
                    <w:rPr>
                      <w:sz w:val="21"/>
                      <w:szCs w:val="21"/>
                    </w:rPr>
                    <w:t>HW08</w:t>
                  </w:r>
                </w:p>
              </w:tc>
              <w:tc>
                <w:tcPr>
                  <w:tcW w:w="1005" w:type="dxa"/>
                  <w:tcBorders>
                    <w:tl2br w:val="nil"/>
                    <w:tr2bl w:val="nil"/>
                  </w:tcBorders>
                  <w:vAlign w:val="center"/>
                </w:tcPr>
                <w:p>
                  <w:pPr>
                    <w:bidi w:val="0"/>
                    <w:spacing w:line="240" w:lineRule="auto"/>
                    <w:jc w:val="center"/>
                    <w:rPr>
                      <w:sz w:val="21"/>
                      <w:szCs w:val="21"/>
                    </w:rPr>
                  </w:pPr>
                  <w:r>
                    <w:rPr>
                      <w:sz w:val="21"/>
                      <w:szCs w:val="21"/>
                    </w:rPr>
                    <w:t>900-217-08</w:t>
                  </w:r>
                </w:p>
              </w:tc>
              <w:tc>
                <w:tcPr>
                  <w:tcW w:w="765" w:type="dxa"/>
                  <w:tcBorders>
                    <w:tl2br w:val="nil"/>
                    <w:tr2bl w:val="nil"/>
                  </w:tcBorders>
                  <w:vAlign w:val="center"/>
                </w:tcPr>
                <w:p>
                  <w:pPr>
                    <w:bidi w:val="0"/>
                    <w:spacing w:line="240" w:lineRule="auto"/>
                    <w:jc w:val="center"/>
                    <w:rPr>
                      <w:sz w:val="21"/>
                      <w:szCs w:val="21"/>
                    </w:rPr>
                  </w:pPr>
                  <w:r>
                    <w:rPr>
                      <w:sz w:val="21"/>
                      <w:szCs w:val="21"/>
                    </w:rPr>
                    <w:t>0.04</w:t>
                  </w:r>
                </w:p>
              </w:tc>
              <w:tc>
                <w:tcPr>
                  <w:tcW w:w="885" w:type="dxa"/>
                  <w:vMerge w:val="restart"/>
                  <w:tcBorders>
                    <w:tl2br w:val="nil"/>
                    <w:tr2bl w:val="nil"/>
                  </w:tcBorders>
                  <w:vAlign w:val="center"/>
                </w:tcPr>
                <w:p>
                  <w:pPr>
                    <w:bidi w:val="0"/>
                    <w:spacing w:line="240" w:lineRule="auto"/>
                    <w:jc w:val="center"/>
                    <w:rPr>
                      <w:sz w:val="21"/>
                      <w:szCs w:val="21"/>
                    </w:rPr>
                  </w:pPr>
                  <w:r>
                    <w:rPr>
                      <w:sz w:val="21"/>
                      <w:szCs w:val="21"/>
                    </w:rPr>
                    <w:t>设备维护</w:t>
                  </w:r>
                </w:p>
                <w:p>
                  <w:pPr>
                    <w:bidi w:val="0"/>
                    <w:spacing w:line="240" w:lineRule="auto"/>
                    <w:jc w:val="center"/>
                    <w:rPr>
                      <w:sz w:val="21"/>
                      <w:szCs w:val="21"/>
                    </w:rPr>
                  </w:pPr>
                  <w:r>
                    <w:rPr>
                      <w:sz w:val="21"/>
                      <w:szCs w:val="21"/>
                    </w:rPr>
                    <w:t>保养</w:t>
                  </w:r>
                </w:p>
              </w:tc>
              <w:tc>
                <w:tcPr>
                  <w:tcW w:w="585" w:type="dxa"/>
                  <w:tcBorders>
                    <w:tl2br w:val="nil"/>
                    <w:tr2bl w:val="nil"/>
                  </w:tcBorders>
                  <w:vAlign w:val="center"/>
                </w:tcPr>
                <w:p>
                  <w:pPr>
                    <w:bidi w:val="0"/>
                    <w:spacing w:line="240" w:lineRule="auto"/>
                    <w:jc w:val="center"/>
                    <w:rPr>
                      <w:sz w:val="21"/>
                      <w:szCs w:val="21"/>
                    </w:rPr>
                  </w:pPr>
                  <w:r>
                    <w:rPr>
                      <w:sz w:val="21"/>
                      <w:szCs w:val="21"/>
                    </w:rPr>
                    <w:t>液态</w:t>
                  </w:r>
                </w:p>
              </w:tc>
              <w:tc>
                <w:tcPr>
                  <w:tcW w:w="765" w:type="dxa"/>
                  <w:tcBorders>
                    <w:tl2br w:val="nil"/>
                    <w:tr2bl w:val="nil"/>
                  </w:tcBorders>
                  <w:vAlign w:val="center"/>
                </w:tcPr>
                <w:p>
                  <w:pPr>
                    <w:bidi w:val="0"/>
                    <w:spacing w:line="240" w:lineRule="auto"/>
                    <w:jc w:val="center"/>
                    <w:rPr>
                      <w:sz w:val="21"/>
                      <w:szCs w:val="21"/>
                    </w:rPr>
                  </w:pPr>
                  <w:r>
                    <w:rPr>
                      <w:sz w:val="21"/>
                      <w:szCs w:val="21"/>
                    </w:rPr>
                    <w:t>废润滑油</w:t>
                  </w:r>
                </w:p>
              </w:tc>
              <w:tc>
                <w:tcPr>
                  <w:tcW w:w="720" w:type="dxa"/>
                  <w:tcBorders>
                    <w:tl2br w:val="nil"/>
                    <w:tr2bl w:val="nil"/>
                  </w:tcBorders>
                  <w:vAlign w:val="center"/>
                </w:tcPr>
                <w:p>
                  <w:pPr>
                    <w:bidi w:val="0"/>
                    <w:spacing w:line="240" w:lineRule="auto"/>
                    <w:jc w:val="center"/>
                    <w:rPr>
                      <w:sz w:val="21"/>
                      <w:szCs w:val="21"/>
                    </w:rPr>
                  </w:pPr>
                  <w:r>
                    <w:rPr>
                      <w:sz w:val="21"/>
                      <w:szCs w:val="21"/>
                    </w:rPr>
                    <w:t>毒性，易燃性</w:t>
                  </w:r>
                </w:p>
              </w:tc>
              <w:tc>
                <w:tcPr>
                  <w:tcW w:w="1635" w:type="dxa"/>
                  <w:tcBorders>
                    <w:tl2br w:val="nil"/>
                    <w:tr2bl w:val="nil"/>
                  </w:tcBorders>
                  <w:vAlign w:val="center"/>
                </w:tcPr>
                <w:p>
                  <w:pPr>
                    <w:bidi w:val="0"/>
                    <w:spacing w:line="240" w:lineRule="auto"/>
                    <w:jc w:val="center"/>
                    <w:rPr>
                      <w:sz w:val="21"/>
                      <w:szCs w:val="21"/>
                    </w:rPr>
                  </w:pPr>
                  <w:r>
                    <w:rPr>
                      <w:sz w:val="21"/>
                      <w:szCs w:val="21"/>
                    </w:rPr>
                    <w:t>废润滑油置于专门的容器内</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2</w:t>
                  </w:r>
                </w:p>
              </w:tc>
              <w:tc>
                <w:tcPr>
                  <w:tcW w:w="942" w:type="dxa"/>
                  <w:tcBorders>
                    <w:tl2br w:val="nil"/>
                    <w:tr2bl w:val="nil"/>
                  </w:tcBorders>
                  <w:vAlign w:val="center"/>
                </w:tcPr>
                <w:p>
                  <w:pPr>
                    <w:bidi w:val="0"/>
                    <w:spacing w:line="240" w:lineRule="auto"/>
                    <w:jc w:val="center"/>
                    <w:rPr>
                      <w:sz w:val="21"/>
                      <w:szCs w:val="21"/>
                    </w:rPr>
                  </w:pPr>
                  <w:r>
                    <w:rPr>
                      <w:sz w:val="21"/>
                      <w:szCs w:val="21"/>
                    </w:rPr>
                    <w:t>废油桶</w:t>
                  </w:r>
                </w:p>
              </w:tc>
              <w:tc>
                <w:tcPr>
                  <w:tcW w:w="735" w:type="dxa"/>
                  <w:tcBorders>
                    <w:tl2br w:val="nil"/>
                    <w:tr2bl w:val="nil"/>
                  </w:tcBorders>
                  <w:vAlign w:val="center"/>
                </w:tcPr>
                <w:p>
                  <w:pPr>
                    <w:bidi w:val="0"/>
                    <w:spacing w:line="240" w:lineRule="auto"/>
                    <w:jc w:val="center"/>
                    <w:rPr>
                      <w:sz w:val="21"/>
                      <w:szCs w:val="21"/>
                    </w:rPr>
                  </w:pPr>
                  <w:r>
                    <w:rPr>
                      <w:sz w:val="21"/>
                      <w:szCs w:val="21"/>
                    </w:rPr>
                    <w:t>HW08</w:t>
                  </w:r>
                </w:p>
              </w:tc>
              <w:tc>
                <w:tcPr>
                  <w:tcW w:w="1005" w:type="dxa"/>
                  <w:tcBorders>
                    <w:tl2br w:val="nil"/>
                    <w:tr2bl w:val="nil"/>
                  </w:tcBorders>
                  <w:vAlign w:val="center"/>
                </w:tcPr>
                <w:p>
                  <w:pPr>
                    <w:bidi w:val="0"/>
                    <w:spacing w:line="240" w:lineRule="auto"/>
                    <w:jc w:val="center"/>
                    <w:rPr>
                      <w:sz w:val="21"/>
                      <w:szCs w:val="21"/>
                    </w:rPr>
                  </w:pPr>
                  <w:r>
                    <w:rPr>
                      <w:sz w:val="21"/>
                      <w:szCs w:val="21"/>
                    </w:rPr>
                    <w:t>900-249-08</w:t>
                  </w:r>
                </w:p>
              </w:tc>
              <w:tc>
                <w:tcPr>
                  <w:tcW w:w="765" w:type="dxa"/>
                  <w:tcBorders>
                    <w:tl2br w:val="nil"/>
                    <w:tr2bl w:val="nil"/>
                  </w:tcBorders>
                  <w:vAlign w:val="center"/>
                </w:tcPr>
                <w:p>
                  <w:pPr>
                    <w:bidi w:val="0"/>
                    <w:spacing w:line="240" w:lineRule="auto"/>
                    <w:jc w:val="center"/>
                    <w:rPr>
                      <w:rFonts w:hint="eastAsia" w:eastAsia="宋体"/>
                      <w:sz w:val="21"/>
                      <w:szCs w:val="21"/>
                      <w:lang w:eastAsia="zh-CN"/>
                    </w:rPr>
                  </w:pPr>
                  <w:r>
                    <w:rPr>
                      <w:sz w:val="21"/>
                      <w:szCs w:val="21"/>
                    </w:rPr>
                    <w:t>0.0</w:t>
                  </w:r>
                  <w:r>
                    <w:rPr>
                      <w:rFonts w:hint="eastAsia"/>
                      <w:sz w:val="21"/>
                      <w:szCs w:val="21"/>
                      <w:lang w:val="en-US" w:eastAsia="zh-CN"/>
                    </w:rPr>
                    <w:t>5</w:t>
                  </w:r>
                </w:p>
              </w:tc>
              <w:tc>
                <w:tcPr>
                  <w:tcW w:w="885" w:type="dxa"/>
                  <w:vMerge w:val="continue"/>
                  <w:tcBorders>
                    <w:tl2br w:val="nil"/>
                    <w:tr2bl w:val="nil"/>
                  </w:tcBorders>
                  <w:vAlign w:val="center"/>
                </w:tcPr>
                <w:p>
                  <w:pPr>
                    <w:bidi w:val="0"/>
                    <w:spacing w:line="240" w:lineRule="auto"/>
                    <w:jc w:val="center"/>
                    <w:rPr>
                      <w:sz w:val="21"/>
                      <w:szCs w:val="21"/>
                    </w:rPr>
                  </w:pPr>
                </w:p>
              </w:tc>
              <w:tc>
                <w:tcPr>
                  <w:tcW w:w="585" w:type="dxa"/>
                  <w:tcBorders>
                    <w:tl2br w:val="nil"/>
                    <w:tr2bl w:val="nil"/>
                  </w:tcBorders>
                  <w:vAlign w:val="center"/>
                </w:tcPr>
                <w:p>
                  <w:pPr>
                    <w:bidi w:val="0"/>
                    <w:spacing w:line="240" w:lineRule="auto"/>
                    <w:jc w:val="center"/>
                    <w:rPr>
                      <w:sz w:val="21"/>
                      <w:szCs w:val="21"/>
                    </w:rPr>
                  </w:pPr>
                  <w:r>
                    <w:rPr>
                      <w:sz w:val="21"/>
                      <w:szCs w:val="21"/>
                    </w:rPr>
                    <w:t>固态</w:t>
                  </w:r>
                </w:p>
              </w:tc>
              <w:tc>
                <w:tcPr>
                  <w:tcW w:w="765" w:type="dxa"/>
                  <w:tcBorders>
                    <w:tl2br w:val="nil"/>
                    <w:tr2bl w:val="nil"/>
                  </w:tcBorders>
                  <w:vAlign w:val="center"/>
                </w:tcPr>
                <w:p>
                  <w:pPr>
                    <w:bidi w:val="0"/>
                    <w:spacing w:line="240" w:lineRule="auto"/>
                    <w:jc w:val="center"/>
                    <w:rPr>
                      <w:sz w:val="21"/>
                      <w:szCs w:val="21"/>
                    </w:rPr>
                  </w:pPr>
                  <w:r>
                    <w:rPr>
                      <w:sz w:val="21"/>
                      <w:szCs w:val="21"/>
                    </w:rPr>
                    <w:t>废矿物油</w:t>
                  </w:r>
                </w:p>
              </w:tc>
              <w:tc>
                <w:tcPr>
                  <w:tcW w:w="720" w:type="dxa"/>
                  <w:tcBorders>
                    <w:tl2br w:val="nil"/>
                    <w:tr2bl w:val="nil"/>
                  </w:tcBorders>
                  <w:vAlign w:val="center"/>
                </w:tcPr>
                <w:p>
                  <w:pPr>
                    <w:bidi w:val="0"/>
                    <w:spacing w:line="240" w:lineRule="auto"/>
                    <w:jc w:val="center"/>
                    <w:rPr>
                      <w:sz w:val="21"/>
                      <w:szCs w:val="21"/>
                    </w:rPr>
                  </w:pPr>
                  <w:r>
                    <w:rPr>
                      <w:sz w:val="21"/>
                      <w:szCs w:val="21"/>
                    </w:rPr>
                    <w:t>毒性，易燃性</w:t>
                  </w:r>
                </w:p>
              </w:tc>
              <w:tc>
                <w:tcPr>
                  <w:tcW w:w="1635" w:type="dxa"/>
                  <w:tcBorders>
                    <w:tl2br w:val="nil"/>
                    <w:tr2bl w:val="nil"/>
                  </w:tcBorders>
                  <w:vAlign w:val="center"/>
                </w:tcPr>
                <w:p>
                  <w:pPr>
                    <w:bidi w:val="0"/>
                    <w:spacing w:line="240" w:lineRule="auto"/>
                    <w:jc w:val="center"/>
                    <w:rPr>
                      <w:sz w:val="21"/>
                      <w:szCs w:val="21"/>
                    </w:rPr>
                  </w:pPr>
                  <w:r>
                    <w:rPr>
                      <w:sz w:val="21"/>
                      <w:szCs w:val="21"/>
                    </w:rPr>
                    <w:t>暂存危废间，定期交有资质的单位处理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3</w:t>
                  </w:r>
                </w:p>
              </w:tc>
              <w:tc>
                <w:tcPr>
                  <w:tcW w:w="942" w:type="dxa"/>
                  <w:tcBorders>
                    <w:tl2br w:val="nil"/>
                    <w:tr2bl w:val="nil"/>
                  </w:tcBorders>
                  <w:vAlign w:val="center"/>
                </w:tcPr>
                <w:p>
                  <w:pPr>
                    <w:bidi w:val="0"/>
                    <w:spacing w:line="240" w:lineRule="auto"/>
                    <w:jc w:val="center"/>
                    <w:rPr>
                      <w:sz w:val="21"/>
                      <w:szCs w:val="21"/>
                    </w:rPr>
                  </w:pPr>
                  <w:r>
                    <w:rPr>
                      <w:sz w:val="21"/>
                      <w:szCs w:val="21"/>
                    </w:rPr>
                    <w:t>废过滤棉</w:t>
                  </w:r>
                </w:p>
              </w:tc>
              <w:tc>
                <w:tcPr>
                  <w:tcW w:w="735" w:type="dxa"/>
                  <w:tcBorders>
                    <w:tl2br w:val="nil"/>
                    <w:tr2bl w:val="nil"/>
                  </w:tcBorders>
                  <w:vAlign w:val="center"/>
                </w:tcPr>
                <w:p>
                  <w:pPr>
                    <w:bidi w:val="0"/>
                    <w:spacing w:line="240" w:lineRule="auto"/>
                    <w:jc w:val="center"/>
                    <w:rPr>
                      <w:sz w:val="21"/>
                      <w:szCs w:val="21"/>
                    </w:rPr>
                  </w:pPr>
                  <w:r>
                    <w:rPr>
                      <w:sz w:val="21"/>
                      <w:szCs w:val="21"/>
                    </w:rPr>
                    <w:t>HW49</w:t>
                  </w:r>
                </w:p>
              </w:tc>
              <w:tc>
                <w:tcPr>
                  <w:tcW w:w="1005" w:type="dxa"/>
                  <w:tcBorders>
                    <w:tl2br w:val="nil"/>
                    <w:tr2bl w:val="nil"/>
                  </w:tcBorders>
                  <w:vAlign w:val="center"/>
                </w:tcPr>
                <w:p>
                  <w:pPr>
                    <w:bidi w:val="0"/>
                    <w:spacing w:line="240" w:lineRule="auto"/>
                    <w:jc w:val="center"/>
                    <w:rPr>
                      <w:sz w:val="21"/>
                      <w:szCs w:val="21"/>
                    </w:rPr>
                  </w:pPr>
                  <w:r>
                    <w:rPr>
                      <w:sz w:val="21"/>
                      <w:szCs w:val="21"/>
                    </w:rPr>
                    <w:t>900-041-49</w:t>
                  </w:r>
                </w:p>
              </w:tc>
              <w:tc>
                <w:tcPr>
                  <w:tcW w:w="765" w:type="dxa"/>
                  <w:tcBorders>
                    <w:tl2br w:val="nil"/>
                    <w:tr2bl w:val="nil"/>
                  </w:tcBorders>
                  <w:vAlign w:val="center"/>
                </w:tcPr>
                <w:p>
                  <w:pPr>
                    <w:bidi w:val="0"/>
                    <w:spacing w:line="240" w:lineRule="auto"/>
                    <w:jc w:val="center"/>
                    <w:rPr>
                      <w:rFonts w:hint="eastAsia" w:eastAsia="宋体"/>
                      <w:sz w:val="21"/>
                      <w:szCs w:val="21"/>
                      <w:lang w:eastAsia="zh-CN"/>
                    </w:rPr>
                  </w:pPr>
                  <w:r>
                    <w:rPr>
                      <w:sz w:val="21"/>
                      <w:szCs w:val="21"/>
                    </w:rPr>
                    <w:t>0.</w:t>
                  </w:r>
                  <w:r>
                    <w:rPr>
                      <w:rFonts w:hint="eastAsia"/>
                      <w:sz w:val="21"/>
                      <w:szCs w:val="21"/>
                      <w:lang w:val="en-US" w:eastAsia="zh-CN"/>
                    </w:rPr>
                    <w:t>1</w:t>
                  </w:r>
                </w:p>
              </w:tc>
              <w:tc>
                <w:tcPr>
                  <w:tcW w:w="885" w:type="dxa"/>
                  <w:vMerge w:val="restart"/>
                  <w:tcBorders>
                    <w:tl2br w:val="nil"/>
                    <w:tr2bl w:val="nil"/>
                  </w:tcBorders>
                  <w:vAlign w:val="center"/>
                </w:tcPr>
                <w:p>
                  <w:pPr>
                    <w:bidi w:val="0"/>
                    <w:spacing w:line="240" w:lineRule="auto"/>
                    <w:jc w:val="center"/>
                    <w:rPr>
                      <w:sz w:val="21"/>
                      <w:szCs w:val="21"/>
                    </w:rPr>
                  </w:pPr>
                  <w:r>
                    <w:rPr>
                      <w:sz w:val="21"/>
                      <w:szCs w:val="21"/>
                    </w:rPr>
                    <w:t>有机废气</w:t>
                  </w:r>
                </w:p>
                <w:p>
                  <w:pPr>
                    <w:bidi w:val="0"/>
                    <w:spacing w:line="240" w:lineRule="auto"/>
                    <w:jc w:val="center"/>
                    <w:rPr>
                      <w:sz w:val="21"/>
                      <w:szCs w:val="21"/>
                    </w:rPr>
                  </w:pPr>
                  <w:r>
                    <w:rPr>
                      <w:sz w:val="21"/>
                      <w:szCs w:val="21"/>
                    </w:rPr>
                    <w:t>治理设备</w:t>
                  </w:r>
                </w:p>
              </w:tc>
              <w:tc>
                <w:tcPr>
                  <w:tcW w:w="585" w:type="dxa"/>
                  <w:tcBorders>
                    <w:tl2br w:val="nil"/>
                    <w:tr2bl w:val="nil"/>
                  </w:tcBorders>
                  <w:vAlign w:val="center"/>
                </w:tcPr>
                <w:p>
                  <w:pPr>
                    <w:bidi w:val="0"/>
                    <w:spacing w:line="240" w:lineRule="auto"/>
                    <w:jc w:val="center"/>
                    <w:rPr>
                      <w:sz w:val="21"/>
                      <w:szCs w:val="21"/>
                    </w:rPr>
                  </w:pPr>
                  <w:r>
                    <w:rPr>
                      <w:sz w:val="21"/>
                      <w:szCs w:val="21"/>
                    </w:rPr>
                    <w:t>固态</w:t>
                  </w:r>
                </w:p>
              </w:tc>
              <w:tc>
                <w:tcPr>
                  <w:tcW w:w="765" w:type="dxa"/>
                  <w:vMerge w:val="restart"/>
                  <w:tcBorders>
                    <w:tl2br w:val="nil"/>
                    <w:tr2bl w:val="nil"/>
                  </w:tcBorders>
                  <w:vAlign w:val="center"/>
                </w:tcPr>
                <w:p>
                  <w:pPr>
                    <w:bidi w:val="0"/>
                    <w:spacing w:line="240" w:lineRule="auto"/>
                    <w:jc w:val="center"/>
                    <w:rPr>
                      <w:sz w:val="21"/>
                      <w:szCs w:val="21"/>
                    </w:rPr>
                  </w:pPr>
                  <w:r>
                    <w:rPr>
                      <w:sz w:val="21"/>
                      <w:szCs w:val="21"/>
                    </w:rPr>
                    <w:t>挥发性有机物</w:t>
                  </w:r>
                </w:p>
              </w:tc>
              <w:tc>
                <w:tcPr>
                  <w:tcW w:w="720" w:type="dxa"/>
                  <w:tcBorders>
                    <w:tl2br w:val="nil"/>
                    <w:tr2bl w:val="nil"/>
                  </w:tcBorders>
                  <w:vAlign w:val="center"/>
                </w:tcPr>
                <w:p>
                  <w:pPr>
                    <w:bidi w:val="0"/>
                    <w:spacing w:line="240" w:lineRule="auto"/>
                    <w:jc w:val="center"/>
                    <w:rPr>
                      <w:sz w:val="21"/>
                      <w:szCs w:val="21"/>
                    </w:rPr>
                  </w:pPr>
                  <w:r>
                    <w:rPr>
                      <w:sz w:val="21"/>
                      <w:szCs w:val="21"/>
                    </w:rPr>
                    <w:t>毒性</w:t>
                  </w:r>
                </w:p>
              </w:tc>
              <w:tc>
                <w:tcPr>
                  <w:tcW w:w="1635" w:type="dxa"/>
                  <w:vMerge w:val="restart"/>
                  <w:tcBorders>
                    <w:tl2br w:val="nil"/>
                    <w:tr2bl w:val="nil"/>
                  </w:tcBorders>
                  <w:vAlign w:val="center"/>
                </w:tcPr>
                <w:p>
                  <w:pPr>
                    <w:bidi w:val="0"/>
                    <w:spacing w:line="240" w:lineRule="auto"/>
                    <w:jc w:val="center"/>
                    <w:rPr>
                      <w:sz w:val="21"/>
                      <w:szCs w:val="21"/>
                    </w:rPr>
                  </w:pPr>
                  <w:r>
                    <w:rPr>
                      <w:sz w:val="21"/>
                      <w:szCs w:val="21"/>
                    </w:rPr>
                    <w:t>分别采用带塑料内衬的包装袋收集，袋口扎紧，暂存危废间，定期交有资质单位处理</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4</w:t>
                  </w:r>
                </w:p>
              </w:tc>
              <w:tc>
                <w:tcPr>
                  <w:tcW w:w="942" w:type="dxa"/>
                  <w:tcBorders>
                    <w:tl2br w:val="nil"/>
                    <w:tr2bl w:val="nil"/>
                  </w:tcBorders>
                  <w:vAlign w:val="center"/>
                </w:tcPr>
                <w:p>
                  <w:pPr>
                    <w:bidi w:val="0"/>
                    <w:spacing w:line="240" w:lineRule="auto"/>
                    <w:jc w:val="center"/>
                    <w:rPr>
                      <w:sz w:val="21"/>
                      <w:szCs w:val="21"/>
                    </w:rPr>
                  </w:pPr>
                  <w:r>
                    <w:rPr>
                      <w:sz w:val="21"/>
                      <w:szCs w:val="21"/>
                    </w:rPr>
                    <w:t>废催化剂</w:t>
                  </w:r>
                </w:p>
              </w:tc>
              <w:tc>
                <w:tcPr>
                  <w:tcW w:w="735" w:type="dxa"/>
                  <w:tcBorders>
                    <w:tl2br w:val="nil"/>
                    <w:tr2bl w:val="nil"/>
                  </w:tcBorders>
                  <w:vAlign w:val="center"/>
                </w:tcPr>
                <w:p>
                  <w:pPr>
                    <w:bidi w:val="0"/>
                    <w:spacing w:line="240" w:lineRule="auto"/>
                    <w:jc w:val="center"/>
                    <w:rPr>
                      <w:sz w:val="21"/>
                      <w:szCs w:val="21"/>
                    </w:rPr>
                  </w:pPr>
                  <w:r>
                    <w:rPr>
                      <w:sz w:val="21"/>
                      <w:szCs w:val="21"/>
                    </w:rPr>
                    <w:t>HW50</w:t>
                  </w:r>
                </w:p>
              </w:tc>
              <w:tc>
                <w:tcPr>
                  <w:tcW w:w="1005" w:type="dxa"/>
                  <w:tcBorders>
                    <w:tl2br w:val="nil"/>
                    <w:tr2bl w:val="nil"/>
                  </w:tcBorders>
                  <w:vAlign w:val="center"/>
                </w:tcPr>
                <w:p>
                  <w:pPr>
                    <w:bidi w:val="0"/>
                    <w:spacing w:line="240" w:lineRule="auto"/>
                    <w:jc w:val="center"/>
                    <w:rPr>
                      <w:sz w:val="21"/>
                      <w:szCs w:val="21"/>
                    </w:rPr>
                  </w:pPr>
                  <w:r>
                    <w:rPr>
                      <w:sz w:val="21"/>
                      <w:szCs w:val="21"/>
                    </w:rPr>
                    <w:t>772-007-50</w:t>
                  </w:r>
                </w:p>
              </w:tc>
              <w:tc>
                <w:tcPr>
                  <w:tcW w:w="765" w:type="dxa"/>
                  <w:tcBorders>
                    <w:tl2br w:val="nil"/>
                    <w:tr2bl w:val="nil"/>
                  </w:tcBorders>
                  <w:vAlign w:val="center"/>
                </w:tcPr>
                <w:p>
                  <w:pPr>
                    <w:bidi w:val="0"/>
                    <w:spacing w:line="240" w:lineRule="auto"/>
                    <w:jc w:val="center"/>
                    <w:rPr>
                      <w:sz w:val="21"/>
                      <w:szCs w:val="21"/>
                    </w:rPr>
                  </w:pPr>
                  <w:r>
                    <w:rPr>
                      <w:sz w:val="21"/>
                      <w:szCs w:val="21"/>
                    </w:rPr>
                    <w:t>0.01t/2a</w:t>
                  </w:r>
                </w:p>
              </w:tc>
              <w:tc>
                <w:tcPr>
                  <w:tcW w:w="885" w:type="dxa"/>
                  <w:vMerge w:val="continue"/>
                  <w:tcBorders>
                    <w:tl2br w:val="nil"/>
                    <w:tr2bl w:val="nil"/>
                  </w:tcBorders>
                  <w:vAlign w:val="center"/>
                </w:tcPr>
                <w:p>
                  <w:pPr>
                    <w:bidi w:val="0"/>
                    <w:spacing w:line="240" w:lineRule="auto"/>
                    <w:jc w:val="center"/>
                    <w:rPr>
                      <w:sz w:val="21"/>
                      <w:szCs w:val="21"/>
                    </w:rPr>
                  </w:pPr>
                </w:p>
              </w:tc>
              <w:tc>
                <w:tcPr>
                  <w:tcW w:w="585" w:type="dxa"/>
                  <w:tcBorders>
                    <w:tl2br w:val="nil"/>
                    <w:tr2bl w:val="nil"/>
                  </w:tcBorders>
                  <w:vAlign w:val="center"/>
                </w:tcPr>
                <w:p>
                  <w:pPr>
                    <w:bidi w:val="0"/>
                    <w:spacing w:line="240" w:lineRule="auto"/>
                    <w:jc w:val="center"/>
                    <w:rPr>
                      <w:sz w:val="21"/>
                      <w:szCs w:val="21"/>
                    </w:rPr>
                  </w:pPr>
                  <w:r>
                    <w:rPr>
                      <w:sz w:val="21"/>
                      <w:szCs w:val="21"/>
                    </w:rPr>
                    <w:t>固态</w:t>
                  </w:r>
                </w:p>
              </w:tc>
              <w:tc>
                <w:tcPr>
                  <w:tcW w:w="765" w:type="dxa"/>
                  <w:vMerge w:val="continue"/>
                  <w:tcBorders>
                    <w:tl2br w:val="nil"/>
                    <w:tr2bl w:val="nil"/>
                  </w:tcBorders>
                  <w:vAlign w:val="center"/>
                </w:tcPr>
                <w:p>
                  <w:pPr>
                    <w:bidi w:val="0"/>
                    <w:spacing w:line="240" w:lineRule="auto"/>
                    <w:jc w:val="center"/>
                    <w:rPr>
                      <w:sz w:val="21"/>
                      <w:szCs w:val="21"/>
                    </w:rPr>
                  </w:pPr>
                </w:p>
              </w:tc>
              <w:tc>
                <w:tcPr>
                  <w:tcW w:w="720" w:type="dxa"/>
                  <w:tcBorders>
                    <w:tl2br w:val="nil"/>
                    <w:tr2bl w:val="nil"/>
                  </w:tcBorders>
                  <w:vAlign w:val="center"/>
                </w:tcPr>
                <w:p>
                  <w:pPr>
                    <w:bidi w:val="0"/>
                    <w:spacing w:line="240" w:lineRule="auto"/>
                    <w:jc w:val="center"/>
                    <w:rPr>
                      <w:sz w:val="21"/>
                      <w:szCs w:val="21"/>
                    </w:rPr>
                  </w:pPr>
                  <w:r>
                    <w:rPr>
                      <w:sz w:val="21"/>
                      <w:szCs w:val="21"/>
                    </w:rPr>
                    <w:t>毒性</w:t>
                  </w:r>
                </w:p>
              </w:tc>
              <w:tc>
                <w:tcPr>
                  <w:tcW w:w="1635" w:type="dxa"/>
                  <w:vMerge w:val="continue"/>
                  <w:tcBorders>
                    <w:tl2br w:val="nil"/>
                    <w:tr2bl w:val="nil"/>
                  </w:tcBorders>
                  <w:vAlign w:val="center"/>
                </w:tcPr>
                <w:p>
                  <w:pPr>
                    <w:bidi w:val="0"/>
                    <w:spacing w:line="240" w:lineRule="auto"/>
                    <w:jc w:val="center"/>
                    <w:rPr>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314"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5</w:t>
                  </w:r>
                </w:p>
              </w:tc>
              <w:tc>
                <w:tcPr>
                  <w:tcW w:w="942" w:type="dxa"/>
                  <w:tcBorders>
                    <w:tl2br w:val="nil"/>
                    <w:tr2bl w:val="nil"/>
                  </w:tcBorders>
                  <w:vAlign w:val="center"/>
                </w:tcPr>
                <w:p>
                  <w:pPr>
                    <w:bidi w:val="0"/>
                    <w:spacing w:line="240" w:lineRule="auto"/>
                    <w:jc w:val="center"/>
                    <w:rPr>
                      <w:sz w:val="21"/>
                      <w:szCs w:val="21"/>
                    </w:rPr>
                  </w:pPr>
                  <w:r>
                    <w:rPr>
                      <w:sz w:val="21"/>
                      <w:szCs w:val="21"/>
                    </w:rPr>
                    <w:t>废活性炭</w:t>
                  </w:r>
                </w:p>
              </w:tc>
              <w:tc>
                <w:tcPr>
                  <w:tcW w:w="735" w:type="dxa"/>
                  <w:tcBorders>
                    <w:tl2br w:val="nil"/>
                    <w:tr2bl w:val="nil"/>
                  </w:tcBorders>
                  <w:vAlign w:val="center"/>
                </w:tcPr>
                <w:p>
                  <w:pPr>
                    <w:bidi w:val="0"/>
                    <w:spacing w:line="240" w:lineRule="auto"/>
                    <w:jc w:val="center"/>
                    <w:rPr>
                      <w:sz w:val="21"/>
                      <w:szCs w:val="21"/>
                    </w:rPr>
                  </w:pPr>
                  <w:r>
                    <w:rPr>
                      <w:sz w:val="21"/>
                      <w:szCs w:val="21"/>
                    </w:rPr>
                    <w:t>HW49</w:t>
                  </w:r>
                </w:p>
              </w:tc>
              <w:tc>
                <w:tcPr>
                  <w:tcW w:w="1005" w:type="dxa"/>
                  <w:tcBorders>
                    <w:tl2br w:val="nil"/>
                    <w:tr2bl w:val="nil"/>
                  </w:tcBorders>
                  <w:vAlign w:val="center"/>
                </w:tcPr>
                <w:p>
                  <w:pPr>
                    <w:bidi w:val="0"/>
                    <w:spacing w:line="240" w:lineRule="auto"/>
                    <w:jc w:val="center"/>
                    <w:rPr>
                      <w:sz w:val="21"/>
                      <w:szCs w:val="21"/>
                    </w:rPr>
                  </w:pPr>
                  <w:r>
                    <w:rPr>
                      <w:sz w:val="21"/>
                      <w:szCs w:val="21"/>
                    </w:rPr>
                    <w:t>900-041-49</w:t>
                  </w:r>
                </w:p>
              </w:tc>
              <w:tc>
                <w:tcPr>
                  <w:tcW w:w="765" w:type="dxa"/>
                  <w:tcBorders>
                    <w:tl2br w:val="nil"/>
                    <w:tr2bl w:val="nil"/>
                  </w:tcBorders>
                  <w:vAlign w:val="center"/>
                </w:tcPr>
                <w:p>
                  <w:pPr>
                    <w:bidi w:val="0"/>
                    <w:spacing w:line="240" w:lineRule="auto"/>
                    <w:jc w:val="center"/>
                    <w:rPr>
                      <w:rFonts w:hint="eastAsia" w:eastAsia="宋体"/>
                      <w:sz w:val="21"/>
                      <w:szCs w:val="21"/>
                      <w:lang w:eastAsia="zh-CN"/>
                    </w:rPr>
                  </w:pPr>
                  <w:r>
                    <w:rPr>
                      <w:rFonts w:hint="eastAsia"/>
                      <w:sz w:val="21"/>
                      <w:szCs w:val="21"/>
                      <w:lang w:val="en-US" w:eastAsia="zh-CN"/>
                    </w:rPr>
                    <w:t>1</w:t>
                  </w:r>
                </w:p>
              </w:tc>
              <w:tc>
                <w:tcPr>
                  <w:tcW w:w="885" w:type="dxa"/>
                  <w:vMerge w:val="continue"/>
                  <w:tcBorders>
                    <w:tl2br w:val="nil"/>
                    <w:tr2bl w:val="nil"/>
                  </w:tcBorders>
                  <w:vAlign w:val="center"/>
                </w:tcPr>
                <w:p>
                  <w:pPr>
                    <w:bidi w:val="0"/>
                    <w:spacing w:line="240" w:lineRule="auto"/>
                    <w:jc w:val="center"/>
                    <w:rPr>
                      <w:sz w:val="21"/>
                      <w:szCs w:val="21"/>
                    </w:rPr>
                  </w:pPr>
                </w:p>
              </w:tc>
              <w:tc>
                <w:tcPr>
                  <w:tcW w:w="585" w:type="dxa"/>
                  <w:tcBorders>
                    <w:tl2br w:val="nil"/>
                    <w:tr2bl w:val="nil"/>
                  </w:tcBorders>
                  <w:vAlign w:val="center"/>
                </w:tcPr>
                <w:p>
                  <w:pPr>
                    <w:bidi w:val="0"/>
                    <w:spacing w:line="240" w:lineRule="auto"/>
                    <w:jc w:val="center"/>
                    <w:rPr>
                      <w:sz w:val="21"/>
                      <w:szCs w:val="21"/>
                    </w:rPr>
                  </w:pPr>
                  <w:r>
                    <w:rPr>
                      <w:sz w:val="21"/>
                      <w:szCs w:val="21"/>
                    </w:rPr>
                    <w:t>固态</w:t>
                  </w:r>
                </w:p>
              </w:tc>
              <w:tc>
                <w:tcPr>
                  <w:tcW w:w="765" w:type="dxa"/>
                  <w:vMerge w:val="continue"/>
                  <w:tcBorders>
                    <w:tl2br w:val="nil"/>
                    <w:tr2bl w:val="nil"/>
                  </w:tcBorders>
                  <w:vAlign w:val="center"/>
                </w:tcPr>
                <w:p>
                  <w:pPr>
                    <w:bidi w:val="0"/>
                    <w:spacing w:line="240" w:lineRule="auto"/>
                    <w:jc w:val="center"/>
                    <w:rPr>
                      <w:sz w:val="21"/>
                      <w:szCs w:val="21"/>
                    </w:rPr>
                  </w:pPr>
                </w:p>
              </w:tc>
              <w:tc>
                <w:tcPr>
                  <w:tcW w:w="720" w:type="dxa"/>
                  <w:tcBorders>
                    <w:tl2br w:val="nil"/>
                    <w:tr2bl w:val="nil"/>
                  </w:tcBorders>
                  <w:vAlign w:val="center"/>
                </w:tcPr>
                <w:p>
                  <w:pPr>
                    <w:bidi w:val="0"/>
                    <w:spacing w:line="240" w:lineRule="auto"/>
                    <w:jc w:val="center"/>
                    <w:rPr>
                      <w:sz w:val="21"/>
                      <w:szCs w:val="21"/>
                    </w:rPr>
                  </w:pPr>
                  <w:r>
                    <w:rPr>
                      <w:sz w:val="21"/>
                      <w:szCs w:val="21"/>
                    </w:rPr>
                    <w:t>毒性</w:t>
                  </w:r>
                </w:p>
              </w:tc>
              <w:tc>
                <w:tcPr>
                  <w:tcW w:w="1635" w:type="dxa"/>
                  <w:vMerge w:val="continue"/>
                  <w:tcBorders>
                    <w:tl2br w:val="nil"/>
                    <w:tr2bl w:val="nil"/>
                  </w:tcBorders>
                  <w:vAlign w:val="center"/>
                </w:tcPr>
                <w:p>
                  <w:pPr>
                    <w:bidi w:val="0"/>
                    <w:spacing w:line="240" w:lineRule="auto"/>
                    <w:jc w:val="center"/>
                    <w:rPr>
                      <w:sz w:val="21"/>
                      <w:szCs w:val="21"/>
                    </w:rPr>
                  </w:pPr>
                </w:p>
              </w:tc>
            </w:tr>
          </w:tbl>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ⅱ 危险废物收集、厂内运输</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将废矿物油收集后采用专用容器贮存，装运危险废物的容器应根据危险废物的不同特性而设计，容器应不易破损、变形、老化，并能有效地防止渗透、扩散。装有危险废物的容器必须贴有标签。采用专用工具运至危废间暂存，专人运输，运输过程中防止遗漏。</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ⅲ 危废暂存设施建设</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本项目新建危险废物暂存间 1 座（</w:t>
            </w:r>
            <w:r>
              <w:rPr>
                <w:rFonts w:hint="eastAsia" w:cs="Times New Roman"/>
                <w:color w:val="auto"/>
                <w:sz w:val="21"/>
                <w:szCs w:val="21"/>
                <w:lang w:val="en-US" w:eastAsia="zh-CN"/>
              </w:rPr>
              <w:t>4</w:t>
            </w:r>
            <w:r>
              <w:rPr>
                <w:rFonts w:hint="default" w:ascii="Times New Roman" w:hAnsi="Times New Roman" w:cs="Times New Roman"/>
                <w:color w:val="auto"/>
                <w:sz w:val="21"/>
                <w:szCs w:val="21"/>
              </w:rPr>
              <w:t>m</w:t>
            </w:r>
            <w:r>
              <w:rPr>
                <w:rFonts w:hint="default" w:ascii="Times New Roman" w:hAnsi="Times New Roman" w:cs="Times New Roman"/>
                <w:color w:val="auto"/>
                <w:sz w:val="21"/>
                <w:szCs w:val="21"/>
                <w:vertAlign w:val="superscript"/>
              </w:rPr>
              <w:t>2</w:t>
            </w:r>
            <w:r>
              <w:rPr>
                <w:rFonts w:hint="default" w:ascii="Times New Roman" w:hAnsi="Times New Roman" w:cs="Times New Roman"/>
                <w:color w:val="auto"/>
                <w:sz w:val="21"/>
                <w:szCs w:val="21"/>
              </w:rPr>
              <w:t>，贮存能力 2t），位于生产车间内</w:t>
            </w:r>
            <w:r>
              <w:rPr>
                <w:rFonts w:hint="eastAsia" w:cs="Times New Roman"/>
                <w:color w:val="auto"/>
                <w:sz w:val="21"/>
                <w:szCs w:val="21"/>
                <w:lang w:val="en-US" w:eastAsia="zh-CN"/>
              </w:rPr>
              <w:t>东</w:t>
            </w:r>
            <w:r>
              <w:rPr>
                <w:rFonts w:hint="default" w:ascii="Times New Roman" w:hAnsi="Times New Roman" w:cs="Times New Roman"/>
                <w:color w:val="auto"/>
                <w:sz w:val="21"/>
                <w:szCs w:val="21"/>
              </w:rPr>
              <w:t>南角，将危险废物暂存于危险废物暂存间内。危废暂存间内部地面及裙角采用抗渗混凝土+涂环氧树脂漆进行防渗处理，渗透系数≤10</w:t>
            </w:r>
            <w:r>
              <w:rPr>
                <w:rFonts w:hint="default" w:ascii="Times New Roman" w:hAnsi="Times New Roman" w:cs="Times New Roman"/>
                <w:color w:val="auto"/>
                <w:sz w:val="21"/>
                <w:szCs w:val="21"/>
                <w:vertAlign w:val="superscript"/>
              </w:rPr>
              <w:t>-10</w:t>
            </w:r>
            <w:r>
              <w:rPr>
                <w:rFonts w:hint="default" w:ascii="Times New Roman" w:hAnsi="Times New Roman" w:cs="Times New Roman"/>
                <w:color w:val="auto"/>
                <w:sz w:val="21"/>
                <w:szCs w:val="21"/>
              </w:rPr>
              <w:t>cm/s，并设有泄漏液体收集装置。危废间采用双锁，危废间门口设置危废标识，所有危废按规定粘贴相应危险废物标识。</w:t>
            </w:r>
          </w:p>
          <w:p>
            <w:pPr>
              <w:tabs>
                <w:tab w:val="left" w:pos="4035"/>
              </w:tabs>
              <w:spacing w:before="0" w:line="322" w:lineRule="exact"/>
              <w:ind w:right="0"/>
              <w:jc w:val="center"/>
              <w:rPr>
                <w:rFonts w:hint="eastAsia" w:ascii="Microsoft YaHei UI" w:eastAsia="Microsoft YaHei UI"/>
                <w:b/>
                <w:sz w:val="21"/>
              </w:rPr>
            </w:pPr>
            <w:r>
              <w:rPr>
                <w:rFonts w:hint="eastAsia" w:ascii="Microsoft YaHei UI" w:eastAsia="Microsoft YaHei UI"/>
                <w:b/>
                <w:sz w:val="21"/>
              </w:rPr>
              <w:t>表</w:t>
            </w:r>
            <w:r>
              <w:rPr>
                <w:rFonts w:hint="eastAsia" w:cs="Times New Roman"/>
                <w:b/>
                <w:sz w:val="21"/>
                <w:lang w:val="en-US" w:eastAsia="zh-CN"/>
              </w:rPr>
              <w:t xml:space="preserve">30   </w:t>
            </w:r>
            <w:r>
              <w:rPr>
                <w:rFonts w:hint="eastAsia" w:ascii="Microsoft YaHei UI" w:eastAsia="Microsoft YaHei UI"/>
                <w:b/>
                <w:sz w:val="21"/>
              </w:rPr>
              <w:t>项目危险废物贮存场所（设施）基本情况表</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322"/>
              <w:gridCol w:w="1195"/>
              <w:gridCol w:w="849"/>
              <w:gridCol w:w="1175"/>
              <w:gridCol w:w="755"/>
              <w:gridCol w:w="733"/>
              <w:gridCol w:w="704"/>
              <w:gridCol w:w="498"/>
              <w:gridCol w:w="964"/>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tcBorders>
                    <w:tl2br w:val="nil"/>
                    <w:tr2bl w:val="nil"/>
                  </w:tcBorders>
                  <w:vAlign w:val="top"/>
                </w:tcPr>
                <w:p>
                  <w:pPr>
                    <w:bidi w:val="0"/>
                    <w:spacing w:line="240" w:lineRule="auto"/>
                    <w:jc w:val="center"/>
                    <w:rPr>
                      <w:rFonts w:hint="eastAsia" w:ascii="Times New Roman" w:hAnsi="Times New Roman" w:eastAsia="宋体" w:cs="Times New Roman"/>
                      <w:sz w:val="21"/>
                      <w:szCs w:val="21"/>
                      <w:lang w:eastAsia="zh-CN"/>
                    </w:rPr>
                  </w:pPr>
                  <w:r>
                    <w:rPr>
                      <w:rFonts w:ascii="Times New Roman" w:hAnsi="Times New Roman" w:eastAsia="宋体" w:cs="Times New Roman"/>
                      <w:sz w:val="21"/>
                      <w:szCs w:val="21"/>
                    </w:rPr>
                    <w:t>贮存场所（设施名称</w:t>
                  </w:r>
                  <w:r>
                    <w:rPr>
                      <w:rFonts w:hint="eastAsia" w:ascii="Times New Roman" w:hAnsi="Times New Roman" w:eastAsia="宋体" w:cs="Times New Roman"/>
                      <w:sz w:val="21"/>
                      <w:szCs w:val="21"/>
                      <w:lang w:eastAsia="zh-CN"/>
                    </w:rPr>
                    <w:t>）</w:t>
                  </w: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危险废物名称</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危险废物类别</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危险废物代码</w:t>
                  </w:r>
                </w:p>
              </w:tc>
              <w:tc>
                <w:tcPr>
                  <w:tcW w:w="75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位置</w:t>
                  </w: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贮存方式</w:t>
                  </w:r>
                </w:p>
              </w:tc>
              <w:tc>
                <w:tcPr>
                  <w:tcW w:w="704"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面积</w:t>
                  </w:r>
                </w:p>
              </w:tc>
              <w:tc>
                <w:tcPr>
                  <w:tcW w:w="498"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贮存能力</w:t>
                  </w:r>
                </w:p>
              </w:tc>
              <w:tc>
                <w:tcPr>
                  <w:tcW w:w="964"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贮存周期</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vMerge w:val="restart"/>
                  <w:tcBorders>
                    <w:tl2br w:val="nil"/>
                    <w:tr2bl w:val="nil"/>
                  </w:tcBorders>
                  <w:vAlign w:val="top"/>
                </w:tcPr>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危废间</w:t>
                  </w: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废润滑油</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HW08</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900-217-08</w:t>
                  </w:r>
                </w:p>
              </w:tc>
              <w:tc>
                <w:tcPr>
                  <w:tcW w:w="755" w:type="dxa"/>
                  <w:vMerge w:val="restart"/>
                  <w:tcBorders>
                    <w:tl2br w:val="nil"/>
                    <w:tr2bl w:val="nil"/>
                  </w:tcBorders>
                  <w:vAlign w:val="top"/>
                </w:tcPr>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生产车间内西南角</w:t>
                  </w: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桶装</w:t>
                  </w:r>
                </w:p>
              </w:tc>
              <w:tc>
                <w:tcPr>
                  <w:tcW w:w="704" w:type="dxa"/>
                  <w:vMerge w:val="restart"/>
                  <w:tcBorders>
                    <w:tl2br w:val="nil"/>
                    <w:tr2bl w:val="nil"/>
                  </w:tcBorders>
                  <w:vAlign w:val="top"/>
                </w:tcPr>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r>
                    <w:rPr>
                      <w:rFonts w:hint="eastAsia" w:ascii="Times New Roman" w:hAnsi="Times New Roman" w:eastAsia="宋体" w:cs="Times New Roman"/>
                      <w:sz w:val="21"/>
                      <w:szCs w:val="21"/>
                      <w:lang w:val="en-US" w:eastAsia="zh-CN"/>
                    </w:rPr>
                    <w:t>4</w:t>
                  </w:r>
                  <w:r>
                    <w:rPr>
                      <w:rFonts w:ascii="Times New Roman" w:hAnsi="Times New Roman" w:eastAsia="宋体" w:cs="Times New Roman"/>
                      <w:sz w:val="21"/>
                      <w:szCs w:val="21"/>
                    </w:rPr>
                    <w:t>m</w:t>
                  </w:r>
                  <w:r>
                    <w:rPr>
                      <w:rFonts w:ascii="Times New Roman" w:hAnsi="Times New Roman" w:eastAsia="宋体" w:cs="Times New Roman"/>
                      <w:sz w:val="21"/>
                      <w:szCs w:val="21"/>
                      <w:vertAlign w:val="superscript"/>
                    </w:rPr>
                    <w:t>2</w:t>
                  </w:r>
                </w:p>
              </w:tc>
              <w:tc>
                <w:tcPr>
                  <w:tcW w:w="498" w:type="dxa"/>
                  <w:vMerge w:val="restart"/>
                  <w:tcBorders>
                    <w:tl2br w:val="nil"/>
                    <w:tr2bl w:val="nil"/>
                  </w:tcBorders>
                  <w:vAlign w:val="top"/>
                </w:tcPr>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2t</w:t>
                  </w:r>
                </w:p>
              </w:tc>
              <w:tc>
                <w:tcPr>
                  <w:tcW w:w="964" w:type="dxa"/>
                  <w:vMerge w:val="restart"/>
                  <w:tcBorders>
                    <w:tl2br w:val="nil"/>
                    <w:tr2bl w:val="nil"/>
                  </w:tcBorders>
                  <w:vAlign w:val="top"/>
                </w:tcPr>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1 年</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废油桶</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HW08</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900-249-08</w:t>
                  </w:r>
                </w:p>
              </w:tc>
              <w:tc>
                <w:tcPr>
                  <w:tcW w:w="755"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桶装</w:t>
                  </w:r>
                </w:p>
              </w:tc>
              <w:tc>
                <w:tcPr>
                  <w:tcW w:w="70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498"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96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废过滤棉</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HW49</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900-041-49</w:t>
                  </w:r>
                </w:p>
              </w:tc>
              <w:tc>
                <w:tcPr>
                  <w:tcW w:w="755"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袋装</w:t>
                  </w:r>
                </w:p>
              </w:tc>
              <w:tc>
                <w:tcPr>
                  <w:tcW w:w="70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498"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96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废催化剂</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HW50</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772-007-50</w:t>
                  </w:r>
                </w:p>
              </w:tc>
              <w:tc>
                <w:tcPr>
                  <w:tcW w:w="755"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袋装</w:t>
                  </w:r>
                </w:p>
              </w:tc>
              <w:tc>
                <w:tcPr>
                  <w:tcW w:w="70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498"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96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322"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119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废活性炭</w:t>
                  </w:r>
                </w:p>
              </w:tc>
              <w:tc>
                <w:tcPr>
                  <w:tcW w:w="849"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HW49</w:t>
                  </w:r>
                </w:p>
              </w:tc>
              <w:tc>
                <w:tcPr>
                  <w:tcW w:w="1175"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900-041-49</w:t>
                  </w:r>
                </w:p>
              </w:tc>
              <w:tc>
                <w:tcPr>
                  <w:tcW w:w="755"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733"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袋装</w:t>
                  </w:r>
                </w:p>
              </w:tc>
              <w:tc>
                <w:tcPr>
                  <w:tcW w:w="70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498"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c>
                <w:tcPr>
                  <w:tcW w:w="964" w:type="dxa"/>
                  <w:vMerge w:val="continue"/>
                  <w:tcBorders>
                    <w:tl2br w:val="nil"/>
                    <w:tr2bl w:val="nil"/>
                  </w:tcBorders>
                  <w:vAlign w:val="top"/>
                </w:tcPr>
                <w:p>
                  <w:pPr>
                    <w:bidi w:val="0"/>
                    <w:spacing w:line="240" w:lineRule="auto"/>
                    <w:jc w:val="center"/>
                    <w:rPr>
                      <w:rFonts w:ascii="Times New Roman" w:hAnsi="Times New Roman" w:eastAsia="宋体" w:cs="Times New Roman"/>
                      <w:sz w:val="21"/>
                      <w:szCs w:val="21"/>
                    </w:rPr>
                  </w:pPr>
                </w:p>
              </w:tc>
            </w:tr>
          </w:tbl>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为防止危险废物暂存过程中对环境产生污染影响，根据《危险废物贮存污染控制标准》(GB18597-2001)及其修改单，本评价要求：</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a.危险废物应采用特定容器分别盛装，不得将不相容的废物混合或合并存放， 且盛装危险废物的容器上必须粘贴符合《危险废物贮存污染控制标准》附录A 所示的标签；</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b.装载液体危险废物的容器内须留足够空间，容器顶部与液体表面之间保留100 毫米以上的空间；</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c.危险废液应采用罐体收集，贮存区域应设有防渗漏设施；</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d.危险废物存放过程中需防风、防雨、防晒；</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e.定期对贮存的危险废物包装容器及贮存设施进行检查，发现破损，及时采取措施清理更换；</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f.做好危险废物情况的记录，记录上须注明危险废物的名称、来源、数量、特性和包装容器的类别、入库日期、存放库位、废物出库日期及接收单位名称；</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g.危险废物的转移应遵从《危险废物收集 贮存 运输技术规范》（HJ 2025-2012）、《危险废物转移联单管理办法》以及危险废物转移管理办法（部令 第23 号，2022.1.1 执行）规定的要求。</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次评价提出危险废物移出人、危险废物承运人、危险废物接受人（以下分别简称移出人、承运人和接受人）在危险废物转移过程中应当采取防扬散、防流失、防渗漏或者其他防止污染环境的措施，不得擅自倾倒、堆放、丢弃、遗撒危险废物， 并对所造成的环境污染及生态破坏依法承担责任。移出人、承运人、接受人应当依法制定突发环境事件的防范措施和应急预案，并报有关部门备案。</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ⅳ 危废处置情况：企业委托有危险废物处理资质单位进行处置。</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采取上述措施后，危险废物处理措施和处置方案满足《危险废物贮存污染控制标准》（GB18597-2001）及其修改单的要求。</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⑶生活垃圾</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项目劳动定员 1</w:t>
            </w:r>
            <w:r>
              <w:rPr>
                <w:rFonts w:hint="eastAsia" w:cs="Times New Roman"/>
                <w:color w:val="auto"/>
                <w:sz w:val="21"/>
                <w:szCs w:val="21"/>
                <w:lang w:val="en-US" w:eastAsia="zh-CN"/>
              </w:rPr>
              <w:t>5</w:t>
            </w:r>
            <w:r>
              <w:rPr>
                <w:rFonts w:hint="default" w:ascii="Times New Roman" w:hAnsi="Times New Roman" w:cs="Times New Roman"/>
                <w:color w:val="auto"/>
                <w:sz w:val="21"/>
                <w:szCs w:val="21"/>
              </w:rPr>
              <w:t>人，按每人 0.</w:t>
            </w:r>
            <w:r>
              <w:rPr>
                <w:rFonts w:hint="eastAsia" w:cs="Times New Roman"/>
                <w:color w:val="auto"/>
                <w:sz w:val="21"/>
                <w:szCs w:val="21"/>
                <w:lang w:val="en-US" w:eastAsia="zh-CN"/>
              </w:rPr>
              <w:t>1</w:t>
            </w:r>
            <w:r>
              <w:rPr>
                <w:rFonts w:hint="default" w:ascii="Times New Roman" w:hAnsi="Times New Roman" w:cs="Times New Roman"/>
                <w:color w:val="auto"/>
                <w:sz w:val="21"/>
                <w:szCs w:val="21"/>
              </w:rPr>
              <w:t>kg/d 计，产生量 0.</w:t>
            </w:r>
            <w:r>
              <w:rPr>
                <w:rFonts w:hint="eastAsia" w:cs="Times New Roman"/>
                <w:color w:val="auto"/>
                <w:sz w:val="21"/>
                <w:szCs w:val="21"/>
                <w:lang w:val="en-US" w:eastAsia="zh-CN"/>
              </w:rPr>
              <w:t>45</w:t>
            </w:r>
            <w:r>
              <w:rPr>
                <w:rFonts w:hint="default" w:ascii="Times New Roman" w:hAnsi="Times New Roman" w:cs="Times New Roman"/>
                <w:color w:val="auto"/>
                <w:sz w:val="21"/>
                <w:szCs w:val="21"/>
              </w:rPr>
              <w:t>t/a。生活垃圾集中收集， 倒入垃圾箱由环卫部门统一处理。</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项目固废进行分类分区存储，采取上述措施后，项目产生的固废均妥善处置， 对环境影响较小。</w:t>
            </w:r>
          </w:p>
          <w:p>
            <w:pPr>
              <w:spacing w:line="360" w:lineRule="auto"/>
              <w:contextualSpacing/>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5地下水、土壤</w:t>
            </w:r>
          </w:p>
          <w:p>
            <w:pPr>
              <w:spacing w:line="360" w:lineRule="auto"/>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5.1地下水、土壤环境污染识别</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项目位于迁安市野鸡坨镇邵家营村南，项目周边无地下水环境敏感目标。项目车间地面硬化，危废间地面采用抗渗混凝土+涂环氧树脂漆进行防渗处理，盛放废油的油桶密封置于托盘内，因此项目产生的废矿物油无污染途径。</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根据本项目生产工艺及特点，本项目地下水、土壤环境影响评价因子见下表。</w:t>
            </w:r>
          </w:p>
          <w:p>
            <w:pPr>
              <w:spacing w:line="240" w:lineRule="auto"/>
              <w:contextualSpacing/>
              <w:jc w:val="center"/>
              <w:rPr>
                <w:rFonts w:hint="default" w:ascii="Times New Roman" w:hAnsi="Times New Roman" w:cs="Times New Roman"/>
                <w:b w:val="0"/>
                <w:bCs w:val="0"/>
                <w:color w:val="auto"/>
                <w:sz w:val="21"/>
                <w:szCs w:val="21"/>
              </w:rPr>
            </w:pPr>
            <w:r>
              <w:rPr>
                <w:rFonts w:hint="default" w:ascii="Times New Roman" w:hAnsi="Times New Roman" w:cs="Times New Roman"/>
                <w:b/>
                <w:bCs/>
                <w:color w:val="auto"/>
                <w:sz w:val="21"/>
                <w:szCs w:val="21"/>
              </w:rPr>
              <w:t>表</w:t>
            </w:r>
            <w:r>
              <w:rPr>
                <w:rFonts w:hint="eastAsia" w:cs="Times New Roman"/>
                <w:b/>
                <w:bCs/>
                <w:color w:val="auto"/>
                <w:sz w:val="21"/>
                <w:szCs w:val="21"/>
                <w:lang w:val="en-US" w:eastAsia="zh-CN"/>
              </w:rPr>
              <w:t xml:space="preserve">31  </w:t>
            </w:r>
            <w:r>
              <w:rPr>
                <w:rFonts w:hint="default" w:ascii="Times New Roman" w:hAnsi="Times New Roman" w:cs="Times New Roman"/>
                <w:b/>
                <w:bCs/>
                <w:color w:val="auto"/>
                <w:sz w:val="21"/>
                <w:szCs w:val="21"/>
              </w:rPr>
              <w:t>项目地下水、土壤环境影响评价因子一览表</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543"/>
              <w:gridCol w:w="2366"/>
              <w:gridCol w:w="1154"/>
              <w:gridCol w:w="1706"/>
              <w:gridCol w:w="1236"/>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43" w:type="dxa"/>
                  <w:tcBorders>
                    <w:tl2br w:val="nil"/>
                    <w:tr2bl w:val="nil"/>
                  </w:tcBorders>
                  <w:vAlign w:val="top"/>
                </w:tcPr>
                <w:p>
                  <w:pPr>
                    <w:pStyle w:val="32"/>
                    <w:spacing w:before="93" w:line="240" w:lineRule="auto"/>
                    <w:ind w:right="434"/>
                    <w:jc w:val="right"/>
                    <w:rPr>
                      <w:sz w:val="21"/>
                    </w:rPr>
                  </w:pPr>
                  <w:r>
                    <w:rPr>
                      <w:sz w:val="21"/>
                    </w:rPr>
                    <w:t>污染源</w:t>
                  </w:r>
                </w:p>
              </w:tc>
              <w:tc>
                <w:tcPr>
                  <w:tcW w:w="2366" w:type="dxa"/>
                  <w:tcBorders>
                    <w:tl2br w:val="nil"/>
                    <w:tr2bl w:val="nil"/>
                  </w:tcBorders>
                  <w:vAlign w:val="top"/>
                </w:tcPr>
                <w:p>
                  <w:pPr>
                    <w:pStyle w:val="32"/>
                    <w:spacing w:before="93" w:line="240" w:lineRule="auto"/>
                    <w:ind w:left="508" w:right="483"/>
                    <w:jc w:val="center"/>
                    <w:rPr>
                      <w:sz w:val="21"/>
                    </w:rPr>
                  </w:pPr>
                  <w:r>
                    <w:rPr>
                      <w:sz w:val="21"/>
                    </w:rPr>
                    <w:t>工艺流程</w:t>
                  </w:r>
                  <w:r>
                    <w:rPr>
                      <w:rFonts w:ascii="Times New Roman" w:eastAsia="Times New Roman"/>
                      <w:sz w:val="21"/>
                    </w:rPr>
                    <w:t>/</w:t>
                  </w:r>
                  <w:r>
                    <w:rPr>
                      <w:sz w:val="21"/>
                    </w:rPr>
                    <w:t>节点</w:t>
                  </w:r>
                </w:p>
              </w:tc>
              <w:tc>
                <w:tcPr>
                  <w:tcW w:w="1154" w:type="dxa"/>
                  <w:tcBorders>
                    <w:tl2br w:val="nil"/>
                    <w:tr2bl w:val="nil"/>
                  </w:tcBorders>
                  <w:vAlign w:val="top"/>
                </w:tcPr>
                <w:p>
                  <w:pPr>
                    <w:pStyle w:val="32"/>
                    <w:spacing w:before="93" w:line="240" w:lineRule="auto"/>
                    <w:ind w:left="140" w:right="119"/>
                    <w:jc w:val="center"/>
                    <w:rPr>
                      <w:sz w:val="21"/>
                    </w:rPr>
                  </w:pPr>
                  <w:r>
                    <w:rPr>
                      <w:sz w:val="21"/>
                    </w:rPr>
                    <w:t>污染途径</w:t>
                  </w:r>
                </w:p>
              </w:tc>
              <w:tc>
                <w:tcPr>
                  <w:tcW w:w="1706" w:type="dxa"/>
                  <w:tcBorders>
                    <w:tl2br w:val="nil"/>
                    <w:tr2bl w:val="nil"/>
                  </w:tcBorders>
                  <w:vAlign w:val="top"/>
                </w:tcPr>
                <w:p>
                  <w:pPr>
                    <w:pStyle w:val="32"/>
                    <w:spacing w:before="93" w:line="240" w:lineRule="auto"/>
                    <w:ind w:left="102" w:right="78"/>
                    <w:jc w:val="center"/>
                    <w:rPr>
                      <w:sz w:val="21"/>
                    </w:rPr>
                  </w:pPr>
                  <w:r>
                    <w:rPr>
                      <w:sz w:val="21"/>
                    </w:rPr>
                    <w:t>全部污染物指标</w:t>
                  </w:r>
                </w:p>
              </w:tc>
              <w:tc>
                <w:tcPr>
                  <w:tcW w:w="1236" w:type="dxa"/>
                  <w:tcBorders>
                    <w:tl2br w:val="nil"/>
                    <w:tr2bl w:val="nil"/>
                  </w:tcBorders>
                  <w:vAlign w:val="top"/>
                </w:tcPr>
                <w:p>
                  <w:pPr>
                    <w:pStyle w:val="32"/>
                    <w:spacing w:before="93" w:line="240" w:lineRule="auto"/>
                    <w:ind w:left="183" w:right="164"/>
                    <w:jc w:val="center"/>
                    <w:rPr>
                      <w:sz w:val="21"/>
                    </w:rPr>
                  </w:pPr>
                  <w:r>
                    <w:rPr>
                      <w:sz w:val="21"/>
                    </w:rPr>
                    <w:t>特征因子</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543" w:type="dxa"/>
                  <w:tcBorders>
                    <w:tl2br w:val="nil"/>
                    <w:tr2bl w:val="nil"/>
                  </w:tcBorders>
                  <w:vAlign w:val="top"/>
                </w:tcPr>
                <w:p>
                  <w:pPr>
                    <w:pStyle w:val="32"/>
                    <w:spacing w:before="95" w:line="240" w:lineRule="auto"/>
                    <w:ind w:right="434"/>
                    <w:jc w:val="right"/>
                    <w:rPr>
                      <w:sz w:val="21"/>
                    </w:rPr>
                  </w:pPr>
                  <w:r>
                    <w:rPr>
                      <w:sz w:val="21"/>
                    </w:rPr>
                    <w:t>危废间</w:t>
                  </w:r>
                </w:p>
              </w:tc>
              <w:tc>
                <w:tcPr>
                  <w:tcW w:w="2366" w:type="dxa"/>
                  <w:tcBorders>
                    <w:tl2br w:val="nil"/>
                    <w:tr2bl w:val="nil"/>
                  </w:tcBorders>
                  <w:vAlign w:val="top"/>
                </w:tcPr>
                <w:p>
                  <w:pPr>
                    <w:pStyle w:val="32"/>
                    <w:spacing w:before="95" w:line="240" w:lineRule="auto"/>
                    <w:ind w:left="504" w:right="483"/>
                    <w:jc w:val="center"/>
                    <w:rPr>
                      <w:sz w:val="21"/>
                    </w:rPr>
                  </w:pPr>
                  <w:r>
                    <w:rPr>
                      <w:sz w:val="21"/>
                    </w:rPr>
                    <w:t>危废泄漏</w:t>
                  </w:r>
                </w:p>
              </w:tc>
              <w:tc>
                <w:tcPr>
                  <w:tcW w:w="1154" w:type="dxa"/>
                  <w:tcBorders>
                    <w:tl2br w:val="nil"/>
                    <w:tr2bl w:val="nil"/>
                  </w:tcBorders>
                  <w:vAlign w:val="top"/>
                </w:tcPr>
                <w:p>
                  <w:pPr>
                    <w:pStyle w:val="32"/>
                    <w:spacing w:before="95" w:line="240" w:lineRule="auto"/>
                    <w:ind w:left="27"/>
                    <w:jc w:val="center"/>
                    <w:rPr>
                      <w:sz w:val="21"/>
                    </w:rPr>
                  </w:pPr>
                  <w:r>
                    <w:rPr>
                      <w:w w:val="99"/>
                      <w:sz w:val="21"/>
                    </w:rPr>
                    <w:t>无</w:t>
                  </w:r>
                </w:p>
              </w:tc>
              <w:tc>
                <w:tcPr>
                  <w:tcW w:w="1706" w:type="dxa"/>
                  <w:tcBorders>
                    <w:tl2br w:val="nil"/>
                    <w:tr2bl w:val="nil"/>
                  </w:tcBorders>
                  <w:vAlign w:val="top"/>
                </w:tcPr>
                <w:p>
                  <w:pPr>
                    <w:pStyle w:val="32"/>
                    <w:spacing w:before="95" w:line="240" w:lineRule="auto"/>
                    <w:ind w:left="102" w:right="78"/>
                    <w:jc w:val="center"/>
                    <w:rPr>
                      <w:sz w:val="21"/>
                    </w:rPr>
                  </w:pPr>
                  <w:r>
                    <w:rPr>
                      <w:sz w:val="21"/>
                    </w:rPr>
                    <w:t>石油烃</w:t>
                  </w:r>
                </w:p>
              </w:tc>
              <w:tc>
                <w:tcPr>
                  <w:tcW w:w="1236" w:type="dxa"/>
                  <w:tcBorders>
                    <w:tl2br w:val="nil"/>
                    <w:tr2bl w:val="nil"/>
                  </w:tcBorders>
                  <w:vAlign w:val="top"/>
                </w:tcPr>
                <w:p>
                  <w:pPr>
                    <w:pStyle w:val="32"/>
                    <w:spacing w:before="95" w:line="240" w:lineRule="auto"/>
                    <w:ind w:left="181" w:right="164"/>
                    <w:jc w:val="center"/>
                    <w:rPr>
                      <w:sz w:val="21"/>
                    </w:rPr>
                  </w:pPr>
                  <w:r>
                    <w:rPr>
                      <w:sz w:val="21"/>
                    </w:rPr>
                    <w:t>石油烃</w:t>
                  </w:r>
                </w:p>
              </w:tc>
            </w:tr>
          </w:tbl>
          <w:p>
            <w:pPr>
              <w:spacing w:line="360" w:lineRule="auto"/>
              <w:contextualSpacing/>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5.2地下水、土壤环境污染防控措施</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根据《环境影响评价技术导则 地下水环境》(HJ610-2016)，分区防控要求如下： 重点防渗：危废间按照《危险废物贮存污染控制标准》（GB18597-2001）及其修改单建设，地面和裙角进行防渗处理，防渗层为抗渗混凝土+涂环氧树脂漆，渗透系数≤10</w:t>
            </w:r>
            <w:r>
              <w:rPr>
                <w:rFonts w:hint="default" w:ascii="Times New Roman" w:hAnsi="Times New Roman" w:cs="Times New Roman"/>
                <w:b w:val="0"/>
                <w:bCs w:val="0"/>
                <w:color w:val="auto"/>
                <w:sz w:val="21"/>
                <w:szCs w:val="21"/>
                <w:vertAlign w:val="superscript"/>
              </w:rPr>
              <w:t>-10</w:t>
            </w:r>
            <w:r>
              <w:rPr>
                <w:rFonts w:hint="default" w:ascii="Times New Roman" w:hAnsi="Times New Roman" w:cs="Times New Roman"/>
                <w:b w:val="0"/>
                <w:bCs w:val="0"/>
                <w:color w:val="auto"/>
                <w:sz w:val="21"/>
                <w:szCs w:val="21"/>
              </w:rPr>
              <w:t>cm/s，盛放废油的容器加盖密封，并置于托盘内，托盘有效容积可容纳单个油桶全部泄漏物料。</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一般防渗：生产车间地面采用抗渗混凝土地面硬化，渗透系数≤10</w:t>
            </w:r>
            <w:r>
              <w:rPr>
                <w:rFonts w:hint="default" w:ascii="Times New Roman" w:hAnsi="Times New Roman" w:cs="Times New Roman"/>
                <w:b w:val="0"/>
                <w:bCs w:val="0"/>
                <w:color w:val="auto"/>
                <w:sz w:val="21"/>
                <w:szCs w:val="21"/>
                <w:vertAlign w:val="superscript"/>
              </w:rPr>
              <w:t>-7</w:t>
            </w:r>
            <w:r>
              <w:rPr>
                <w:rFonts w:hint="default" w:ascii="Times New Roman" w:hAnsi="Times New Roman" w:cs="Times New Roman"/>
                <w:b w:val="0"/>
                <w:bCs w:val="0"/>
                <w:color w:val="auto"/>
                <w:sz w:val="21"/>
                <w:szCs w:val="21"/>
              </w:rPr>
              <w:t>cm/s；</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其他区域为简单防渗区，进行绿化硬化，做到非硬即绿。</w:t>
            </w:r>
          </w:p>
          <w:p>
            <w:pPr>
              <w:spacing w:line="360" w:lineRule="auto"/>
              <w:ind w:firstLine="420" w:firstLineChars="200"/>
              <w:contextualSpacing/>
              <w:rPr>
                <w:rFonts w:hint="eastAsia" w:ascii="Times New Roman" w:hAnsi="Times New Roman" w:eastAsia="宋体" w:cs="Times New Roman"/>
                <w:b w:val="0"/>
                <w:bCs w:val="0"/>
                <w:color w:val="auto"/>
                <w:sz w:val="21"/>
                <w:szCs w:val="21"/>
                <w:lang w:val="en-US" w:eastAsia="zh-CN"/>
              </w:rPr>
            </w:pPr>
            <w:r>
              <w:rPr>
                <w:rFonts w:hint="default" w:ascii="Times New Roman" w:hAnsi="Times New Roman" w:cs="Times New Roman"/>
                <w:b w:val="0"/>
                <w:bCs w:val="0"/>
                <w:color w:val="auto"/>
                <w:sz w:val="21"/>
                <w:szCs w:val="21"/>
              </w:rPr>
              <w:t>企业加强管理，落实好巡检制度，有异常情况及时采取措施。采取措施后， 本项目不会对地下水、土壤环境产生影响，不再进行跟踪监测。</w:t>
            </w:r>
            <w:r>
              <w:rPr>
                <w:rFonts w:hint="eastAsia" w:cs="Times New Roman"/>
                <w:b w:val="0"/>
                <w:bCs w:val="0"/>
                <w:color w:val="auto"/>
                <w:sz w:val="21"/>
                <w:szCs w:val="21"/>
                <w:lang w:val="en-US" w:eastAsia="zh-CN"/>
              </w:rPr>
              <w:t xml:space="preserve"> </w:t>
            </w:r>
          </w:p>
          <w:p>
            <w:pPr>
              <w:spacing w:line="360" w:lineRule="auto"/>
              <w:contextualSpacing/>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6生态</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项目位于迁安市野鸡坨镇邵家营村南，项目用地范围内无生态环境保护目标。</w:t>
            </w:r>
          </w:p>
          <w:p>
            <w:pPr>
              <w:spacing w:line="360" w:lineRule="auto"/>
              <w:contextualSpacing/>
              <w:rPr>
                <w:rFonts w:hint="default" w:ascii="Times New Roman" w:hAnsi="Times New Roman" w:cs="Times New Roman"/>
                <w:b/>
                <w:bCs/>
                <w:color w:val="auto"/>
                <w:sz w:val="21"/>
                <w:szCs w:val="21"/>
              </w:rPr>
            </w:pPr>
            <w:r>
              <w:rPr>
                <w:rFonts w:hint="default" w:ascii="Times New Roman" w:hAnsi="Times New Roman" w:cs="Times New Roman"/>
                <w:b/>
                <w:bCs/>
                <w:color w:val="auto"/>
                <w:sz w:val="21"/>
                <w:szCs w:val="21"/>
              </w:rPr>
              <w:t>7环境风险</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本项目润滑油不在厂内存储，随用随买，考虑其厂内最大存在量， 涉及的风险物质主要为润滑油、废</w:t>
            </w:r>
            <w:r>
              <w:rPr>
                <w:rFonts w:hint="eastAsia" w:cs="Times New Roman"/>
                <w:b w:val="0"/>
                <w:bCs w:val="0"/>
                <w:color w:val="auto"/>
                <w:sz w:val="21"/>
                <w:szCs w:val="21"/>
                <w:lang w:val="en-US" w:eastAsia="zh-CN"/>
              </w:rPr>
              <w:t>润滑</w:t>
            </w:r>
            <w:r>
              <w:rPr>
                <w:rFonts w:hint="default" w:ascii="Times New Roman" w:hAnsi="Times New Roman" w:cs="Times New Roman"/>
                <w:b w:val="0"/>
                <w:bCs w:val="0"/>
                <w:color w:val="auto"/>
                <w:sz w:val="21"/>
                <w:szCs w:val="21"/>
              </w:rPr>
              <w:t>油。</w:t>
            </w:r>
          </w:p>
          <w:p>
            <w:pPr>
              <w:spacing w:line="360" w:lineRule="auto"/>
              <w:ind w:firstLine="420" w:firstLineChars="200"/>
              <w:contextualSpacing/>
              <w:rPr>
                <w:rFonts w:hint="default" w:ascii="Times New Roman" w:hAnsi="Times New Roman" w:cs="Times New Roman"/>
                <w:b w:val="0"/>
                <w:bCs w:val="0"/>
                <w:color w:val="auto"/>
                <w:sz w:val="21"/>
                <w:szCs w:val="21"/>
              </w:rPr>
            </w:pPr>
            <w:r>
              <w:rPr>
                <w:rFonts w:hint="default" w:ascii="Times New Roman" w:hAnsi="Times New Roman" w:cs="Times New Roman"/>
                <w:b w:val="0"/>
                <w:bCs w:val="0"/>
                <w:color w:val="auto"/>
                <w:sz w:val="21"/>
                <w:szCs w:val="21"/>
              </w:rPr>
              <w:t>根据计算及《建设项目环境风险评价技术导则》（HJ 169-2018）附录 B、C，结合《企业突发环境事件风险分级方法》中“附录 A，突发环境事件风险物质及临界量见</w:t>
            </w:r>
            <w:r>
              <w:rPr>
                <w:rFonts w:hint="eastAsia" w:cs="Times New Roman"/>
                <w:b w:val="0"/>
                <w:bCs w:val="0"/>
                <w:color w:val="auto"/>
                <w:sz w:val="21"/>
                <w:szCs w:val="21"/>
                <w:lang w:val="en-US" w:eastAsia="zh-CN"/>
              </w:rPr>
              <w:t>下表</w:t>
            </w:r>
            <w:r>
              <w:rPr>
                <w:rFonts w:hint="default" w:ascii="Times New Roman" w:hAnsi="Times New Roman" w:cs="Times New Roman"/>
                <w:b w:val="0"/>
                <w:bCs w:val="0"/>
                <w:color w:val="auto"/>
                <w:sz w:val="21"/>
                <w:szCs w:val="21"/>
              </w:rPr>
              <w:t>。</w:t>
            </w:r>
          </w:p>
          <w:p>
            <w:pPr>
              <w:tabs>
                <w:tab w:val="left" w:pos="3610"/>
              </w:tabs>
              <w:spacing w:before="20" w:line="240" w:lineRule="auto"/>
              <w:ind w:left="2240" w:right="0" w:firstLine="0"/>
              <w:jc w:val="left"/>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12"/>
                <w:sz w:val="21"/>
              </w:rPr>
              <w:t xml:space="preserve"> </w:t>
            </w:r>
            <w:r>
              <w:rPr>
                <w:rFonts w:hint="eastAsia" w:ascii="Times New Roman" w:eastAsia="宋体"/>
                <w:b/>
                <w:sz w:val="21"/>
                <w:lang w:val="en-US" w:eastAsia="zh-CN"/>
              </w:rPr>
              <w:t>3</w:t>
            </w:r>
            <w:r>
              <w:rPr>
                <w:rFonts w:hint="eastAsia" w:eastAsia="宋体"/>
                <w:b/>
                <w:sz w:val="21"/>
                <w:lang w:val="en-US" w:eastAsia="zh-CN"/>
              </w:rPr>
              <w:t>2</w:t>
            </w:r>
            <w:r>
              <w:rPr>
                <w:rFonts w:hint="eastAsia" w:ascii="Microsoft YaHei UI" w:eastAsia="Microsoft YaHei UI"/>
                <w:b/>
                <w:sz w:val="21"/>
              </w:rPr>
              <w:t>项目危险化学物质储存量及临界量</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859"/>
              <w:gridCol w:w="2258"/>
              <w:gridCol w:w="1471"/>
              <w:gridCol w:w="1173"/>
              <w:gridCol w:w="1178"/>
              <w:gridCol w:w="128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859" w:type="dxa"/>
                  <w:tcBorders>
                    <w:tl2br w:val="nil"/>
                    <w:tr2bl w:val="nil"/>
                  </w:tcBorders>
                  <w:vAlign w:val="center"/>
                </w:tcPr>
                <w:p>
                  <w:pPr>
                    <w:bidi w:val="0"/>
                    <w:spacing w:line="240" w:lineRule="auto"/>
                    <w:jc w:val="center"/>
                    <w:rPr>
                      <w:sz w:val="21"/>
                      <w:szCs w:val="21"/>
                    </w:rPr>
                  </w:pPr>
                  <w:r>
                    <w:rPr>
                      <w:sz w:val="21"/>
                      <w:szCs w:val="21"/>
                    </w:rPr>
                    <w:t>序号</w:t>
                  </w:r>
                </w:p>
              </w:tc>
              <w:tc>
                <w:tcPr>
                  <w:tcW w:w="2258" w:type="dxa"/>
                  <w:tcBorders>
                    <w:tl2br w:val="nil"/>
                    <w:tr2bl w:val="nil"/>
                  </w:tcBorders>
                  <w:vAlign w:val="center"/>
                </w:tcPr>
                <w:p>
                  <w:pPr>
                    <w:bidi w:val="0"/>
                    <w:spacing w:line="240" w:lineRule="auto"/>
                    <w:jc w:val="center"/>
                    <w:rPr>
                      <w:sz w:val="21"/>
                      <w:szCs w:val="21"/>
                    </w:rPr>
                  </w:pPr>
                  <w:r>
                    <w:rPr>
                      <w:sz w:val="21"/>
                      <w:szCs w:val="21"/>
                    </w:rPr>
                    <w:t>物质名称</w:t>
                  </w:r>
                </w:p>
              </w:tc>
              <w:tc>
                <w:tcPr>
                  <w:tcW w:w="1471" w:type="dxa"/>
                  <w:tcBorders>
                    <w:tl2br w:val="nil"/>
                    <w:tr2bl w:val="nil"/>
                  </w:tcBorders>
                  <w:vAlign w:val="center"/>
                </w:tcPr>
                <w:p>
                  <w:pPr>
                    <w:bidi w:val="0"/>
                    <w:spacing w:line="240" w:lineRule="auto"/>
                    <w:jc w:val="center"/>
                    <w:rPr>
                      <w:sz w:val="21"/>
                      <w:szCs w:val="21"/>
                    </w:rPr>
                  </w:pPr>
                  <w:r>
                    <w:rPr>
                      <w:sz w:val="21"/>
                      <w:szCs w:val="21"/>
                    </w:rPr>
                    <w:t>最大存在量t</w:t>
                  </w:r>
                </w:p>
              </w:tc>
              <w:tc>
                <w:tcPr>
                  <w:tcW w:w="1173" w:type="dxa"/>
                  <w:tcBorders>
                    <w:tl2br w:val="nil"/>
                    <w:tr2bl w:val="nil"/>
                  </w:tcBorders>
                  <w:vAlign w:val="center"/>
                </w:tcPr>
                <w:p>
                  <w:pPr>
                    <w:bidi w:val="0"/>
                    <w:spacing w:line="240" w:lineRule="auto"/>
                    <w:jc w:val="center"/>
                    <w:rPr>
                      <w:sz w:val="21"/>
                      <w:szCs w:val="21"/>
                    </w:rPr>
                  </w:pPr>
                  <w:r>
                    <w:rPr>
                      <w:sz w:val="21"/>
                      <w:szCs w:val="21"/>
                    </w:rPr>
                    <w:t>临界量 t</w:t>
                  </w:r>
                </w:p>
              </w:tc>
              <w:tc>
                <w:tcPr>
                  <w:tcW w:w="1178" w:type="dxa"/>
                  <w:tcBorders>
                    <w:tl2br w:val="nil"/>
                    <w:tr2bl w:val="nil"/>
                  </w:tcBorders>
                  <w:vAlign w:val="center"/>
                </w:tcPr>
                <w:p>
                  <w:pPr>
                    <w:bidi w:val="0"/>
                    <w:spacing w:line="240" w:lineRule="auto"/>
                    <w:jc w:val="center"/>
                    <w:rPr>
                      <w:sz w:val="21"/>
                      <w:szCs w:val="21"/>
                    </w:rPr>
                  </w:pPr>
                  <w:r>
                    <w:rPr>
                      <w:sz w:val="21"/>
                      <w:szCs w:val="21"/>
                    </w:rPr>
                    <w:t>CAS 号</w:t>
                  </w:r>
                </w:p>
              </w:tc>
              <w:tc>
                <w:tcPr>
                  <w:tcW w:w="1288" w:type="dxa"/>
                  <w:tcBorders>
                    <w:tl2br w:val="nil"/>
                    <w:tr2bl w:val="nil"/>
                  </w:tcBorders>
                  <w:vAlign w:val="center"/>
                </w:tcPr>
                <w:p>
                  <w:pPr>
                    <w:bidi w:val="0"/>
                    <w:spacing w:line="240" w:lineRule="auto"/>
                    <w:jc w:val="center"/>
                    <w:rPr>
                      <w:sz w:val="21"/>
                      <w:szCs w:val="21"/>
                    </w:rPr>
                  </w:pPr>
                  <w:r>
                    <w:rPr>
                      <w:sz w:val="21"/>
                      <w:szCs w:val="21"/>
                    </w:rPr>
                    <w:t>q/Q 值</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859" w:type="dxa"/>
                  <w:tcBorders>
                    <w:tl2br w:val="nil"/>
                    <w:tr2bl w:val="nil"/>
                  </w:tcBorders>
                  <w:vAlign w:val="center"/>
                </w:tcPr>
                <w:p>
                  <w:pPr>
                    <w:bidi w:val="0"/>
                    <w:spacing w:line="240" w:lineRule="auto"/>
                    <w:jc w:val="center"/>
                    <w:rPr>
                      <w:sz w:val="21"/>
                      <w:szCs w:val="21"/>
                    </w:rPr>
                  </w:pPr>
                  <w:r>
                    <w:rPr>
                      <w:sz w:val="21"/>
                      <w:szCs w:val="21"/>
                    </w:rPr>
                    <w:t>1</w:t>
                  </w:r>
                </w:p>
              </w:tc>
              <w:tc>
                <w:tcPr>
                  <w:tcW w:w="2258" w:type="dxa"/>
                  <w:tcBorders>
                    <w:tl2br w:val="nil"/>
                    <w:tr2bl w:val="nil"/>
                  </w:tcBorders>
                  <w:vAlign w:val="center"/>
                </w:tcPr>
                <w:p>
                  <w:pPr>
                    <w:bidi w:val="0"/>
                    <w:spacing w:line="240" w:lineRule="auto"/>
                    <w:jc w:val="center"/>
                    <w:rPr>
                      <w:sz w:val="21"/>
                      <w:szCs w:val="21"/>
                    </w:rPr>
                  </w:pPr>
                  <w:r>
                    <w:rPr>
                      <w:sz w:val="21"/>
                      <w:szCs w:val="21"/>
                    </w:rPr>
                    <w:t>润滑油</w:t>
                  </w:r>
                </w:p>
              </w:tc>
              <w:tc>
                <w:tcPr>
                  <w:tcW w:w="1471" w:type="dxa"/>
                  <w:tcBorders>
                    <w:tl2br w:val="nil"/>
                    <w:tr2bl w:val="nil"/>
                  </w:tcBorders>
                  <w:vAlign w:val="center"/>
                </w:tcPr>
                <w:p>
                  <w:pPr>
                    <w:bidi w:val="0"/>
                    <w:spacing w:line="240" w:lineRule="auto"/>
                    <w:jc w:val="center"/>
                    <w:rPr>
                      <w:sz w:val="21"/>
                      <w:szCs w:val="21"/>
                    </w:rPr>
                  </w:pPr>
                  <w:r>
                    <w:rPr>
                      <w:sz w:val="21"/>
                      <w:szCs w:val="21"/>
                    </w:rPr>
                    <w:t>0.2</w:t>
                  </w:r>
                </w:p>
              </w:tc>
              <w:tc>
                <w:tcPr>
                  <w:tcW w:w="1173" w:type="dxa"/>
                  <w:tcBorders>
                    <w:tl2br w:val="nil"/>
                    <w:tr2bl w:val="nil"/>
                  </w:tcBorders>
                  <w:vAlign w:val="center"/>
                </w:tcPr>
                <w:p>
                  <w:pPr>
                    <w:bidi w:val="0"/>
                    <w:spacing w:line="240" w:lineRule="auto"/>
                    <w:jc w:val="center"/>
                    <w:rPr>
                      <w:sz w:val="21"/>
                      <w:szCs w:val="21"/>
                    </w:rPr>
                  </w:pPr>
                  <w:r>
                    <w:rPr>
                      <w:sz w:val="21"/>
                      <w:szCs w:val="21"/>
                    </w:rPr>
                    <w:t>2500</w:t>
                  </w:r>
                </w:p>
              </w:tc>
              <w:tc>
                <w:tcPr>
                  <w:tcW w:w="1178" w:type="dxa"/>
                  <w:tcBorders>
                    <w:tl2br w:val="nil"/>
                    <w:tr2bl w:val="nil"/>
                  </w:tcBorders>
                  <w:vAlign w:val="center"/>
                </w:tcPr>
                <w:p>
                  <w:pPr>
                    <w:bidi w:val="0"/>
                    <w:spacing w:line="240" w:lineRule="auto"/>
                    <w:jc w:val="center"/>
                    <w:rPr>
                      <w:sz w:val="21"/>
                      <w:szCs w:val="21"/>
                    </w:rPr>
                  </w:pPr>
                  <w:r>
                    <w:rPr>
                      <w:sz w:val="21"/>
                      <w:szCs w:val="21"/>
                    </w:rPr>
                    <w:t>—</w:t>
                  </w:r>
                </w:p>
              </w:tc>
              <w:tc>
                <w:tcPr>
                  <w:tcW w:w="1288" w:type="dxa"/>
                  <w:tcBorders>
                    <w:tl2br w:val="nil"/>
                    <w:tr2bl w:val="nil"/>
                  </w:tcBorders>
                  <w:vAlign w:val="center"/>
                </w:tcPr>
                <w:p>
                  <w:pPr>
                    <w:bidi w:val="0"/>
                    <w:spacing w:line="240" w:lineRule="auto"/>
                    <w:jc w:val="center"/>
                    <w:rPr>
                      <w:sz w:val="21"/>
                      <w:szCs w:val="21"/>
                    </w:rPr>
                  </w:pPr>
                  <w:r>
                    <w:rPr>
                      <w:sz w:val="21"/>
                      <w:szCs w:val="21"/>
                    </w:rPr>
                    <w:t>0.00008</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859" w:type="dxa"/>
                  <w:tcBorders>
                    <w:tl2br w:val="nil"/>
                    <w:tr2bl w:val="nil"/>
                  </w:tcBorders>
                  <w:vAlign w:val="center"/>
                </w:tcPr>
                <w:p>
                  <w:pPr>
                    <w:bidi w:val="0"/>
                    <w:spacing w:line="240" w:lineRule="auto"/>
                    <w:jc w:val="center"/>
                    <w:rPr>
                      <w:sz w:val="21"/>
                      <w:szCs w:val="21"/>
                    </w:rPr>
                  </w:pPr>
                  <w:r>
                    <w:rPr>
                      <w:sz w:val="21"/>
                      <w:szCs w:val="21"/>
                    </w:rPr>
                    <w:t>2</w:t>
                  </w:r>
                </w:p>
              </w:tc>
              <w:tc>
                <w:tcPr>
                  <w:tcW w:w="2258"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废润滑油</w:t>
                  </w:r>
                </w:p>
              </w:tc>
              <w:tc>
                <w:tcPr>
                  <w:tcW w:w="1471"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0.04</w:t>
                  </w:r>
                </w:p>
              </w:tc>
              <w:tc>
                <w:tcPr>
                  <w:tcW w:w="1173"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100</w:t>
                  </w:r>
                </w:p>
              </w:tc>
              <w:tc>
                <w:tcPr>
                  <w:tcW w:w="1178"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w:t>
                  </w:r>
                </w:p>
              </w:tc>
              <w:tc>
                <w:tcPr>
                  <w:tcW w:w="1288" w:type="dxa"/>
                  <w:tcBorders>
                    <w:tl2br w:val="nil"/>
                    <w:tr2bl w:val="nil"/>
                  </w:tcBorders>
                  <w:vAlign w:val="center"/>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sz w:val="21"/>
                      <w:szCs w:val="21"/>
                    </w:rPr>
                    <w:t>0.0004</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6939" w:type="dxa"/>
                  <w:gridSpan w:val="5"/>
                  <w:tcBorders>
                    <w:tl2br w:val="nil"/>
                    <w:tr2bl w:val="nil"/>
                  </w:tcBorders>
                  <w:vAlign w:val="center"/>
                </w:tcPr>
                <w:p>
                  <w:pPr>
                    <w:bidi w:val="0"/>
                    <w:spacing w:line="240" w:lineRule="auto"/>
                    <w:jc w:val="center"/>
                    <w:rPr>
                      <w:sz w:val="21"/>
                      <w:szCs w:val="21"/>
                    </w:rPr>
                  </w:pPr>
                  <w:r>
                    <w:rPr>
                      <w:sz w:val="21"/>
                      <w:szCs w:val="21"/>
                    </w:rPr>
                    <w:t>合计</w:t>
                  </w:r>
                </w:p>
              </w:tc>
              <w:tc>
                <w:tcPr>
                  <w:tcW w:w="1288" w:type="dxa"/>
                  <w:tcBorders>
                    <w:tl2br w:val="nil"/>
                    <w:tr2bl w:val="nil"/>
                  </w:tcBorders>
                  <w:vAlign w:val="center"/>
                </w:tcPr>
                <w:p>
                  <w:pPr>
                    <w:bidi w:val="0"/>
                    <w:spacing w:line="240" w:lineRule="auto"/>
                    <w:jc w:val="center"/>
                    <w:rPr>
                      <w:rFonts w:hint="default" w:eastAsia="宋体"/>
                      <w:sz w:val="21"/>
                      <w:szCs w:val="21"/>
                      <w:lang w:val="en-US" w:eastAsia="zh-CN"/>
                    </w:rPr>
                  </w:pPr>
                  <w:r>
                    <w:rPr>
                      <w:sz w:val="21"/>
                      <w:szCs w:val="21"/>
                    </w:rPr>
                    <w:t>0.00</w:t>
                  </w:r>
                  <w:r>
                    <w:rPr>
                      <w:rFonts w:hint="eastAsia"/>
                      <w:sz w:val="21"/>
                      <w:szCs w:val="21"/>
                      <w:lang w:val="en-US" w:eastAsia="zh-CN"/>
                    </w:rPr>
                    <w:t>048</w:t>
                  </w:r>
                </w:p>
              </w:tc>
            </w:tr>
          </w:tbl>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 Q=0.00</w:t>
            </w:r>
            <w:r>
              <w:rPr>
                <w:rFonts w:hint="eastAsia" w:ascii="Times New Roman" w:hAnsi="Times New Roman" w:eastAsia="宋体" w:cs="Times New Roman"/>
                <w:b w:val="0"/>
                <w:bCs w:val="0"/>
                <w:color w:val="auto"/>
                <w:sz w:val="21"/>
                <w:szCs w:val="21"/>
                <w:lang w:val="en-US" w:eastAsia="zh-CN"/>
              </w:rPr>
              <w:t>048</w:t>
            </w:r>
            <w:r>
              <w:rPr>
                <w:rFonts w:hint="default" w:ascii="Times New Roman" w:hAnsi="Times New Roman" w:eastAsia="宋体" w:cs="Times New Roman"/>
                <w:b w:val="0"/>
                <w:bCs w:val="0"/>
                <w:color w:val="auto"/>
                <w:sz w:val="21"/>
                <w:szCs w:val="21"/>
              </w:rPr>
              <w:t>＜1 ，拟建工程无重大危险源，故该项目环境风险潜势为Ⅰ。</w:t>
            </w:r>
          </w:p>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eastAsia" w:ascii="Times New Roman" w:hAnsi="Times New Roman" w:eastAsia="宋体" w:cs="Times New Roman"/>
                <w:b w:val="0"/>
                <w:bCs w:val="0"/>
                <w:color w:val="auto"/>
                <w:sz w:val="21"/>
                <w:szCs w:val="21"/>
                <w:lang w:eastAsia="zh-CN"/>
              </w:rPr>
              <w:t>（</w:t>
            </w:r>
            <w:r>
              <w:rPr>
                <w:rFonts w:hint="eastAsia" w:ascii="Times New Roman" w:hAnsi="Times New Roman" w:eastAsia="宋体" w:cs="Times New Roman"/>
                <w:b w:val="0"/>
                <w:bCs w:val="0"/>
                <w:color w:val="auto"/>
                <w:sz w:val="21"/>
                <w:szCs w:val="21"/>
                <w:lang w:val="en-US" w:eastAsia="zh-CN"/>
              </w:rPr>
              <w:t>1</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风险物质、风险源及可能影响途径</w:t>
            </w:r>
          </w:p>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本项目风险源分布情况及可能影响途径见</w:t>
            </w:r>
            <w:r>
              <w:rPr>
                <w:rFonts w:hint="eastAsia" w:ascii="Times New Roman" w:hAnsi="Times New Roman" w:eastAsia="宋体" w:cs="Times New Roman"/>
                <w:b w:val="0"/>
                <w:bCs w:val="0"/>
                <w:color w:val="auto"/>
                <w:sz w:val="21"/>
                <w:szCs w:val="21"/>
                <w:lang w:val="en-US" w:eastAsia="zh-CN"/>
              </w:rPr>
              <w:t>下表</w:t>
            </w:r>
            <w:r>
              <w:rPr>
                <w:rFonts w:hint="default" w:ascii="Times New Roman" w:hAnsi="Times New Roman" w:eastAsia="宋体" w:cs="Times New Roman"/>
                <w:b w:val="0"/>
                <w:bCs w:val="0"/>
                <w:color w:val="auto"/>
                <w:sz w:val="21"/>
                <w:szCs w:val="21"/>
              </w:rPr>
              <w:t>。</w:t>
            </w:r>
          </w:p>
          <w:p>
            <w:pPr>
              <w:tabs>
                <w:tab w:val="left" w:pos="3727"/>
              </w:tabs>
              <w:spacing w:before="0" w:line="282" w:lineRule="exact"/>
              <w:ind w:right="0"/>
              <w:jc w:val="center"/>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10"/>
                <w:sz w:val="21"/>
              </w:rPr>
              <w:t xml:space="preserve"> </w:t>
            </w:r>
            <w:r>
              <w:rPr>
                <w:rFonts w:hint="eastAsia" w:ascii="Times New Roman" w:eastAsia="宋体"/>
                <w:b/>
                <w:sz w:val="21"/>
                <w:lang w:val="en-US" w:eastAsia="zh-CN"/>
              </w:rPr>
              <w:t>3</w:t>
            </w:r>
            <w:r>
              <w:rPr>
                <w:rFonts w:hint="eastAsia" w:eastAsia="宋体"/>
                <w:b/>
                <w:sz w:val="21"/>
                <w:lang w:val="en-US" w:eastAsia="zh-CN"/>
              </w:rPr>
              <w:t xml:space="preserve">3 </w:t>
            </w:r>
            <w:r>
              <w:rPr>
                <w:rFonts w:hint="eastAsia" w:ascii="Microsoft YaHei UI" w:eastAsia="Microsoft YaHei UI"/>
                <w:b/>
                <w:sz w:val="21"/>
              </w:rPr>
              <w:t>风险源分布情况及影响途径</w:t>
            </w:r>
          </w:p>
          <w:tbl>
            <w:tblPr>
              <w:tblStyle w:val="20"/>
              <w:tblW w:w="0" w:type="auto"/>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323"/>
              <w:gridCol w:w="898"/>
              <w:gridCol w:w="905"/>
              <w:gridCol w:w="711"/>
              <w:gridCol w:w="706"/>
              <w:gridCol w:w="852"/>
              <w:gridCol w:w="1135"/>
              <w:gridCol w:w="1935"/>
              <w:gridCol w:w="100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283" w:hRule="atLeast"/>
                <w:jc w:val="center"/>
              </w:trPr>
              <w:tc>
                <w:tcPr>
                  <w:tcW w:w="323" w:type="dxa"/>
                  <w:tcBorders>
                    <w:top w:val="single" w:color="000000" w:sz="8" w:space="0"/>
                    <w:left w:val="single" w:color="auto" w:sz="0"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序号</w:t>
                  </w:r>
                </w:p>
              </w:tc>
              <w:tc>
                <w:tcPr>
                  <w:tcW w:w="898"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风险单元</w:t>
                  </w:r>
                </w:p>
              </w:tc>
              <w:tc>
                <w:tcPr>
                  <w:tcW w:w="905"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危险物质名称</w:t>
                  </w:r>
                </w:p>
              </w:tc>
              <w:tc>
                <w:tcPr>
                  <w:tcW w:w="711"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最大存在量t</w:t>
                  </w:r>
                </w:p>
              </w:tc>
              <w:tc>
                <w:tcPr>
                  <w:tcW w:w="706"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危险性</w:t>
                  </w:r>
                </w:p>
              </w:tc>
              <w:tc>
                <w:tcPr>
                  <w:tcW w:w="852"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存在条件</w:t>
                  </w:r>
                </w:p>
              </w:tc>
              <w:tc>
                <w:tcPr>
                  <w:tcW w:w="1135"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转化为事故的触发因素</w:t>
                  </w:r>
                </w:p>
              </w:tc>
              <w:tc>
                <w:tcPr>
                  <w:tcW w:w="1935" w:type="dxa"/>
                  <w:tcBorders>
                    <w:top w:val="single" w:color="000000" w:sz="8"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主要危害</w:t>
                  </w:r>
                </w:p>
              </w:tc>
              <w:tc>
                <w:tcPr>
                  <w:tcW w:w="1003" w:type="dxa"/>
                  <w:tcBorders>
                    <w:top w:val="single" w:color="000000" w:sz="8" w:space="0"/>
                    <w:left w:val="single" w:color="000000" w:sz="4" w:space="0"/>
                    <w:bottom w:val="single" w:color="000000" w:sz="4" w:space="0"/>
                    <w:right w:val="single" w:color="000000" w:sz="8"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影响途径</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283" w:hRule="atLeast"/>
                <w:jc w:val="center"/>
              </w:trPr>
              <w:tc>
                <w:tcPr>
                  <w:tcW w:w="323"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1</w:t>
                  </w:r>
                </w:p>
              </w:tc>
              <w:tc>
                <w:tcPr>
                  <w:tcW w:w="898"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生产车间</w:t>
                  </w:r>
                </w:p>
              </w:tc>
              <w:tc>
                <w:tcPr>
                  <w:tcW w:w="90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润滑油</w:t>
                  </w:r>
                </w:p>
              </w:tc>
              <w:tc>
                <w:tcPr>
                  <w:tcW w:w="711"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0.2</w:t>
                  </w:r>
                </w:p>
              </w:tc>
              <w:tc>
                <w:tcPr>
                  <w:tcW w:w="706"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易燃，毒性</w:t>
                  </w:r>
                </w:p>
              </w:tc>
              <w:tc>
                <w:tcPr>
                  <w:tcW w:w="852"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泄漏，明火</w:t>
                  </w:r>
                </w:p>
              </w:tc>
              <w:tc>
                <w:tcPr>
                  <w:tcW w:w="113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违规操作</w:t>
                  </w:r>
                </w:p>
              </w:tc>
              <w:tc>
                <w:tcPr>
                  <w:tcW w:w="193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泄漏流入外环境或遇明火引发火灾</w:t>
                  </w:r>
                </w:p>
              </w:tc>
              <w:tc>
                <w:tcPr>
                  <w:tcW w:w="1003" w:type="dxa"/>
                  <w:tcBorders>
                    <w:top w:val="single" w:color="000000" w:sz="4" w:space="0"/>
                    <w:left w:val="single" w:color="000000" w:sz="4" w:space="0"/>
                    <w:bottom w:val="single" w:color="000000" w:sz="4" w:space="0"/>
                    <w:right w:val="single" w:color="000000" w:sz="8"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大气、水体、土壤</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283" w:hRule="atLeast"/>
                <w:jc w:val="center"/>
              </w:trPr>
              <w:tc>
                <w:tcPr>
                  <w:tcW w:w="323"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2</w:t>
                  </w:r>
                </w:p>
              </w:tc>
              <w:tc>
                <w:tcPr>
                  <w:tcW w:w="898"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危废间</w:t>
                  </w:r>
                </w:p>
              </w:tc>
              <w:tc>
                <w:tcPr>
                  <w:tcW w:w="90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废润滑油</w:t>
                  </w:r>
                </w:p>
              </w:tc>
              <w:tc>
                <w:tcPr>
                  <w:tcW w:w="711"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0.04</w:t>
                  </w:r>
                </w:p>
              </w:tc>
              <w:tc>
                <w:tcPr>
                  <w:tcW w:w="706"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易燃，毒性</w:t>
                  </w:r>
                </w:p>
              </w:tc>
              <w:tc>
                <w:tcPr>
                  <w:tcW w:w="852"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泄漏，明火</w:t>
                  </w:r>
                </w:p>
              </w:tc>
              <w:tc>
                <w:tcPr>
                  <w:tcW w:w="113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违规操作</w:t>
                  </w:r>
                </w:p>
              </w:tc>
              <w:tc>
                <w:tcPr>
                  <w:tcW w:w="1935" w:type="dxa"/>
                  <w:tcBorders>
                    <w:top w:val="single" w:color="000000" w:sz="4" w:space="0"/>
                    <w:left w:val="single" w:color="000000" w:sz="4" w:space="0"/>
                    <w:bottom w:val="single" w:color="000000" w:sz="4" w:space="0"/>
                    <w:right w:val="single" w:color="000000" w:sz="4"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泄漏流入外环境或遇明火引发火灾</w:t>
                  </w:r>
                </w:p>
              </w:tc>
              <w:tc>
                <w:tcPr>
                  <w:tcW w:w="1003" w:type="dxa"/>
                  <w:tcBorders>
                    <w:top w:val="single" w:color="000000" w:sz="4" w:space="0"/>
                    <w:left w:val="single" w:color="000000" w:sz="4" w:space="0"/>
                    <w:bottom w:val="single" w:color="000000" w:sz="4" w:space="0"/>
                    <w:right w:val="single" w:color="000000" w:sz="8" w:space="0"/>
                  </w:tcBorders>
                  <w:vAlign w:val="top"/>
                </w:tcPr>
                <w:p>
                  <w:pPr>
                    <w:bidi w:val="0"/>
                    <w:spacing w:line="240" w:lineRule="auto"/>
                    <w:ind w:firstLine="0" w:firstLineChars="0"/>
                    <w:jc w:val="center"/>
                    <w:rPr>
                      <w:rFonts w:ascii="Times New Roman" w:hAnsi="Times New Roman" w:eastAsia="宋体" w:cs="Times New Roman"/>
                      <w:kern w:val="2"/>
                      <w:sz w:val="21"/>
                      <w:szCs w:val="21"/>
                      <w:lang w:val="en-US" w:eastAsia="zh-CN" w:bidi="ar-SA"/>
                    </w:rPr>
                  </w:pPr>
                  <w:r>
                    <w:rPr>
                      <w:rFonts w:ascii="Times New Roman" w:hAnsi="Times New Roman" w:eastAsia="宋体" w:cs="Times New Roman"/>
                      <w:sz w:val="21"/>
                      <w:szCs w:val="21"/>
                    </w:rPr>
                    <w:t>大气、水体、土壤</w:t>
                  </w:r>
                </w:p>
              </w:tc>
            </w:tr>
          </w:tbl>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eastAsia" w:ascii="Times New Roman" w:hAnsi="Times New Roman" w:eastAsia="宋体" w:cs="Times New Roman"/>
                <w:b w:val="0"/>
                <w:bCs w:val="0"/>
                <w:color w:val="auto"/>
                <w:sz w:val="21"/>
                <w:szCs w:val="21"/>
                <w:lang w:eastAsia="zh-CN"/>
              </w:rPr>
              <w:t>（</w:t>
            </w:r>
            <w:r>
              <w:rPr>
                <w:rFonts w:hint="eastAsia" w:ascii="Times New Roman" w:hAnsi="Times New Roman" w:eastAsia="宋体" w:cs="Times New Roman"/>
                <w:b w:val="0"/>
                <w:bCs w:val="0"/>
                <w:color w:val="auto"/>
                <w:sz w:val="21"/>
                <w:szCs w:val="21"/>
                <w:lang w:val="en-US" w:eastAsia="zh-CN"/>
              </w:rPr>
              <w:t>2</w:t>
            </w:r>
            <w:r>
              <w:rPr>
                <w:rFonts w:hint="eastAsia" w:ascii="Times New Roman" w:hAnsi="Times New Roman" w:eastAsia="宋体" w:cs="Times New Roman"/>
                <w:b w:val="0"/>
                <w:bCs w:val="0"/>
                <w:color w:val="auto"/>
                <w:sz w:val="21"/>
                <w:szCs w:val="21"/>
                <w:lang w:eastAsia="zh-CN"/>
              </w:rPr>
              <w:t>）</w:t>
            </w:r>
            <w:r>
              <w:rPr>
                <w:rFonts w:hint="default" w:ascii="Times New Roman" w:hAnsi="Times New Roman" w:eastAsia="宋体" w:cs="Times New Roman"/>
                <w:b w:val="0"/>
                <w:bCs w:val="0"/>
                <w:color w:val="auto"/>
                <w:sz w:val="21"/>
                <w:szCs w:val="21"/>
              </w:rPr>
              <w:t>环境风险防范措施</w:t>
            </w:r>
          </w:p>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本项目废</w:t>
            </w:r>
            <w:r>
              <w:rPr>
                <w:rFonts w:hint="eastAsia" w:ascii="Times New Roman" w:hAnsi="Times New Roman" w:eastAsia="宋体" w:cs="Times New Roman"/>
                <w:b w:val="0"/>
                <w:bCs w:val="0"/>
                <w:color w:val="auto"/>
                <w:sz w:val="21"/>
                <w:szCs w:val="21"/>
                <w:lang w:val="en-US" w:eastAsia="zh-CN"/>
              </w:rPr>
              <w:t>润滑</w:t>
            </w:r>
            <w:r>
              <w:rPr>
                <w:rFonts w:hint="default" w:ascii="Times New Roman" w:hAnsi="Times New Roman" w:eastAsia="宋体" w:cs="Times New Roman"/>
                <w:b w:val="0"/>
                <w:bCs w:val="0"/>
                <w:color w:val="auto"/>
                <w:sz w:val="21"/>
                <w:szCs w:val="21"/>
              </w:rPr>
              <w:t>油储存在专门的桶内，置于危废暂存间储存，车间及危废间地面均做防渗，且设有防渗托盘，泄漏对水体基本没有影响；本项目使用润滑油、液压油量很小，专人管理。</w:t>
            </w:r>
          </w:p>
          <w:p>
            <w:pPr>
              <w:spacing w:line="360" w:lineRule="auto"/>
              <w:ind w:firstLine="420" w:firstLineChars="200"/>
              <w:contextualSpacing/>
              <w:rPr>
                <w:rFonts w:hint="default" w:ascii="Times New Roman" w:hAnsi="Times New Roman" w:eastAsia="宋体" w:cs="Times New Roman"/>
                <w:b w:val="0"/>
                <w:bCs w:val="0"/>
                <w:color w:val="auto"/>
                <w:sz w:val="21"/>
                <w:szCs w:val="21"/>
              </w:rPr>
            </w:pPr>
            <w:r>
              <w:rPr>
                <w:rFonts w:hint="default" w:ascii="Times New Roman" w:hAnsi="Times New Roman" w:eastAsia="宋体" w:cs="Times New Roman"/>
                <w:b w:val="0"/>
                <w:bCs w:val="0"/>
                <w:color w:val="auto"/>
                <w:sz w:val="21"/>
                <w:szCs w:val="21"/>
              </w:rPr>
              <w:t>评价要求在发生泄漏或火灾事故后，如发生其他次生灾害，应做好应急监测工作，根据当时的气象条件及事故情况，立即派分析人员到环境敏感点，监测空气中特征污染因子的浓度，并做好紧急疏散工作。</w:t>
            </w:r>
          </w:p>
          <w:p>
            <w:pPr>
              <w:tabs>
                <w:tab w:val="left" w:pos="4253"/>
              </w:tabs>
              <w:spacing w:before="55" w:line="240" w:lineRule="auto"/>
              <w:ind w:right="0"/>
              <w:jc w:val="center"/>
              <w:rPr>
                <w:rFonts w:hint="eastAsia" w:ascii="Microsoft YaHei UI" w:eastAsia="Microsoft YaHei UI"/>
                <w:b/>
                <w:sz w:val="21"/>
              </w:rPr>
            </w:pPr>
            <w:r>
              <w:rPr>
                <w:rFonts w:hint="eastAsia" w:ascii="Microsoft YaHei UI" w:eastAsia="Microsoft YaHei UI"/>
                <w:b/>
                <w:sz w:val="21"/>
              </w:rPr>
              <w:t>表</w:t>
            </w:r>
            <w:r>
              <w:rPr>
                <w:rFonts w:hint="eastAsia" w:ascii="Microsoft YaHei UI" w:eastAsia="Microsoft YaHei UI"/>
                <w:b/>
                <w:spacing w:val="-10"/>
                <w:sz w:val="21"/>
              </w:rPr>
              <w:t xml:space="preserve"> </w:t>
            </w:r>
            <w:r>
              <w:rPr>
                <w:rFonts w:hint="eastAsia" w:ascii="Times New Roman" w:eastAsia="宋体"/>
                <w:b/>
                <w:sz w:val="21"/>
                <w:lang w:val="en-US" w:eastAsia="zh-CN"/>
              </w:rPr>
              <w:t>3</w:t>
            </w:r>
            <w:r>
              <w:rPr>
                <w:rFonts w:hint="eastAsia" w:eastAsia="宋体"/>
                <w:b/>
                <w:sz w:val="21"/>
                <w:lang w:val="en-US" w:eastAsia="zh-CN"/>
              </w:rPr>
              <w:t xml:space="preserve">4  </w:t>
            </w:r>
            <w:r>
              <w:rPr>
                <w:rFonts w:hint="eastAsia" w:ascii="Microsoft YaHei UI" w:eastAsia="Microsoft YaHei UI"/>
                <w:b/>
                <w:sz w:val="21"/>
              </w:rPr>
              <w:t>风险防范措施内容一览表</w:t>
            </w:r>
          </w:p>
          <w:tbl>
            <w:tblPr>
              <w:tblStyle w:val="20"/>
              <w:tblW w:w="0" w:type="auto"/>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1141"/>
              <w:gridCol w:w="7098"/>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141"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项目</w:t>
                  </w:r>
                </w:p>
              </w:tc>
              <w:tc>
                <w:tcPr>
                  <w:tcW w:w="7098"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风险防范措施内容</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83" w:hRule="atLeast"/>
                <w:jc w:val="center"/>
              </w:trPr>
              <w:tc>
                <w:tcPr>
                  <w:tcW w:w="1141"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危废暂存间、生产车间</w:t>
                  </w:r>
                </w:p>
              </w:tc>
              <w:tc>
                <w:tcPr>
                  <w:tcW w:w="7098" w:type="dxa"/>
                  <w:tcBorders>
                    <w:tl2br w:val="nil"/>
                    <w:tr2bl w:val="nil"/>
                  </w:tcBorders>
                  <w:vAlign w:val="top"/>
                </w:tcPr>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①废</w:t>
                  </w:r>
                  <w:r>
                    <w:rPr>
                      <w:rFonts w:hint="eastAsia" w:ascii="Times New Roman" w:hAnsi="Times New Roman" w:eastAsia="宋体" w:cs="Times New Roman"/>
                      <w:sz w:val="21"/>
                      <w:szCs w:val="21"/>
                      <w:lang w:val="en-US" w:eastAsia="zh-CN"/>
                    </w:rPr>
                    <w:t>润滑</w:t>
                  </w:r>
                  <w:r>
                    <w:rPr>
                      <w:rFonts w:ascii="Times New Roman" w:hAnsi="Times New Roman" w:eastAsia="宋体" w:cs="Times New Roman"/>
                      <w:sz w:val="21"/>
                      <w:szCs w:val="21"/>
                    </w:rPr>
                    <w:t>油采用专用容器贮存，并加盖密封，将盛有废油的容器置于托盘内，托盘有效容积可容纳单个油桶全部泄漏物料。禁止明火。</w:t>
                  </w: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②生产车间属于一般防渗区，地面进行硬化，液压站下方设置接油盘，渗透系数K≤1×10</w:t>
                  </w:r>
                  <w:r>
                    <w:rPr>
                      <w:rFonts w:ascii="Times New Roman" w:hAnsi="Times New Roman" w:eastAsia="宋体" w:cs="Times New Roman"/>
                      <w:sz w:val="21"/>
                      <w:szCs w:val="21"/>
                      <w:vertAlign w:val="superscript"/>
                    </w:rPr>
                    <w:t>-7</w:t>
                  </w:r>
                  <w:r>
                    <w:rPr>
                      <w:rFonts w:ascii="Times New Roman" w:hAnsi="Times New Roman" w:eastAsia="宋体" w:cs="Times New Roman"/>
                      <w:sz w:val="21"/>
                      <w:szCs w:val="21"/>
                    </w:rPr>
                    <w:t>cm/s；危废间属于重点防渗区，内部地面及裙角进行了防渗处理，防渗层为抗渗混凝土+涂环氧树脂漆，渗透系数K≤1×10-10 cm/s。加强管理，落实好巡检制度，有异常情况及时采取措施。采取防渗措施后，可有效控制物料泄漏对环境的影响。</w:t>
                  </w:r>
                </w:p>
                <w:p>
                  <w:pPr>
                    <w:bidi w:val="0"/>
                    <w:spacing w:line="240" w:lineRule="auto"/>
                    <w:jc w:val="center"/>
                    <w:rPr>
                      <w:rFonts w:ascii="Times New Roman" w:hAnsi="Times New Roman" w:eastAsia="宋体" w:cs="Times New Roman"/>
                      <w:sz w:val="21"/>
                      <w:szCs w:val="21"/>
                    </w:rPr>
                  </w:pPr>
                  <w:r>
                    <w:rPr>
                      <w:rFonts w:ascii="Times New Roman" w:hAnsi="Times New Roman" w:eastAsia="宋体" w:cs="Times New Roman"/>
                      <w:sz w:val="21"/>
                      <w:szCs w:val="21"/>
                    </w:rPr>
                    <w:t>③编制突发环境事件应急预案。</w:t>
                  </w:r>
                </w:p>
              </w:tc>
            </w:tr>
          </w:tbl>
          <w:p>
            <w:pPr>
              <w:bidi w:val="0"/>
              <w:rPr>
                <w:rFonts w:hint="eastAsia"/>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ind w:firstLine="420" w:firstLineChars="200"/>
              <w:contextualSpacing/>
              <w:rPr>
                <w:rFonts w:hint="default" w:ascii="Times New Roman" w:hAnsi="Times New Roman" w:cs="Times New Roman"/>
                <w:b w:val="0"/>
                <w:bCs w:val="0"/>
                <w:color w:val="auto"/>
                <w:sz w:val="21"/>
                <w:szCs w:val="21"/>
              </w:rPr>
            </w:pPr>
          </w:p>
          <w:p>
            <w:pPr>
              <w:spacing w:line="360" w:lineRule="auto"/>
              <w:contextualSpacing/>
              <w:rPr>
                <w:rFonts w:hint="default" w:ascii="Times New Roman" w:hAnsi="Times New Roman" w:cs="Times New Roman"/>
                <w:b w:val="0"/>
                <w:bCs w:val="0"/>
                <w:color w:val="auto"/>
                <w:sz w:val="21"/>
                <w:szCs w:val="21"/>
              </w:rPr>
            </w:pPr>
          </w:p>
        </w:tc>
      </w:tr>
    </w:tbl>
    <w:p/>
    <w:p>
      <w:pPr>
        <w:widowControl/>
        <w:spacing w:line="240" w:lineRule="auto"/>
        <w:ind w:firstLine="0" w:firstLineChars="0"/>
        <w:jc w:val="left"/>
        <w:rPr>
          <w:rFonts w:hint="default" w:ascii="Times New Roman" w:hAnsi="Times New Roman" w:cs="Times New Roman"/>
          <w:b/>
          <w:color w:val="auto"/>
          <w:kern w:val="0"/>
          <w:sz w:val="28"/>
          <w:szCs w:val="28"/>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type="lines" w:linePitch="312" w:charSpace="0"/>
        </w:sectPr>
      </w:pPr>
    </w:p>
    <w:p>
      <w:pPr>
        <w:spacing w:before="100" w:beforeAutospacing="1" w:after="100" w:afterAutospacing="1" w:line="240" w:lineRule="auto"/>
        <w:ind w:firstLine="0" w:firstLineChars="0"/>
        <w:jc w:val="center"/>
        <w:outlineLvl w:val="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五、</w:t>
      </w:r>
      <w:bookmarkStart w:id="3" w:name="_Hlk54167917"/>
      <w:r>
        <w:rPr>
          <w:rFonts w:hint="default" w:ascii="Times New Roman" w:hAnsi="Times New Roman" w:eastAsia="黑体" w:cs="Times New Roman"/>
          <w:color w:val="auto"/>
          <w:sz w:val="30"/>
          <w:szCs w:val="30"/>
        </w:rPr>
        <w:t>环境保护措施监督检查清单</w:t>
      </w:r>
      <w:bookmarkEnd w:id="3"/>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64"/>
        <w:gridCol w:w="1680"/>
        <w:gridCol w:w="885"/>
        <w:gridCol w:w="2175"/>
        <w:gridCol w:w="239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664" w:type="dxa"/>
            <w:tcBorders>
              <w:top w:val="single" w:color="auto" w:sz="8" w:space="0"/>
              <w:left w:val="single" w:color="auto" w:sz="8" w:space="0"/>
              <w:bottom w:val="single" w:color="auto" w:sz="4" w:space="0"/>
              <w:right w:val="single" w:color="auto" w:sz="4" w:space="0"/>
            </w:tcBorders>
            <w:vAlign w:val="center"/>
            <mc:AlternateContent>
              <mc:Choice Requires="wpsCustomData">
                <wpsCustomData:diagonals>
                  <wpsCustomData:diagonal from="10000" to="30000">
                    <wpsCustomData:border w:val="single" w:color="auto" w:sz="8" w:space="0"/>
                  </wpsCustomData:diagonal>
                </wpsCustomData:diagonals>
              </mc:Choice>
            </mc:AlternateContent>
          </w:tcPr>
          <w:p>
            <w:pPr>
              <w:keepNext w:val="0"/>
              <w:keepLines w:val="0"/>
              <w:pageBreakBefore w:val="0"/>
              <w:kinsoku/>
              <w:wordWrap/>
              <w:overflowPunct/>
              <w:topLinePunct w:val="0"/>
              <w:bidi w:val="0"/>
              <w:adjustRightInd w:val="0"/>
              <w:snapToGrid w:val="0"/>
              <w:spacing w:beforeAutospacing="0" w:afterAutospacing="0" w:line="240" w:lineRule="exact"/>
              <w:ind w:left="0" w:leftChars="0" w:firstLine="0" w:firstLineChars="0"/>
              <w:textAlignment w:val="auto"/>
              <w:rPr>
                <w:rFonts w:hint="default" w:ascii="Times New Roman" w:hAnsi="Times New Roman" w:cs="Times New Roman"/>
                <w:color w:val="auto"/>
                <w:sz w:val="21"/>
                <w:szCs w:val="21"/>
              </w:rPr>
            </w:pPr>
          </w:p>
          <w:p>
            <w:pPr>
              <w:keepNext w:val="0"/>
              <w:keepLines w:val="0"/>
              <w:pageBreakBefore w:val="0"/>
              <w:kinsoku/>
              <w:wordWrap/>
              <w:overflowPunct/>
              <w:topLinePunct w:val="0"/>
              <w:bidi w:val="0"/>
              <w:adjustRightInd w:val="0"/>
              <w:snapToGrid w:val="0"/>
              <w:spacing w:beforeAutospacing="0" w:afterAutospacing="0" w:line="240" w:lineRule="exact"/>
              <w:ind w:left="0" w:leftChars="0" w:firstLine="0" w:firstLineChars="0"/>
              <w:textAlignment w:val="auto"/>
              <mc:AlternateContent>
                <mc:Choice Requires="wpsCustomData">
                  <wpsCustomData:diagonalParaType/>
                </mc:Choice>
              </mc:AlternateConten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要素</w:t>
            </w:r>
          </w:p>
          <w:p>
            <w:pPr>
              <w:keepNext w:val="0"/>
              <w:keepLines w:val="0"/>
              <w:pageBreakBefore w:val="0"/>
              <w:kinsoku/>
              <w:wordWrap/>
              <w:overflowPunct/>
              <w:topLinePunct w:val="0"/>
              <w:bidi w:val="0"/>
              <w:adjustRightInd w:val="0"/>
              <w:snapToGrid w:val="0"/>
              <w:spacing w:beforeAutospacing="0" w:afterAutospacing="0" w:line="240" w:lineRule="exact"/>
              <w:ind w:firstLine="630" w:firstLineChars="300"/>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内容</w:t>
            </w:r>
          </w:p>
          <w:p>
            <w:pPr>
              <w:keepNext w:val="0"/>
              <w:keepLines w:val="0"/>
              <w:pageBreakBefore w:val="0"/>
              <w:kinsoku/>
              <w:wordWrap/>
              <w:overflowPunct/>
              <w:topLinePunct w:val="0"/>
              <w:bidi w:val="0"/>
              <w:adjustRightInd w:val="0"/>
              <w:snapToGrid w:val="0"/>
              <w:spacing w:beforeAutospacing="0" w:afterAutospacing="0" w:line="240" w:lineRule="exact"/>
              <w:ind w:firstLine="0" w:firstLineChars="0"/>
              <w:textAlignment w:val="auto"/>
              <w:rPr>
                <w:rFonts w:hint="default" w:ascii="Times New Roman" w:hAnsi="Times New Roman" w:cs="Times New Roman"/>
                <w:color w:val="auto"/>
                <w:sz w:val="21"/>
                <w:szCs w:val="21"/>
              </w:rPr>
            </w:pPr>
          </w:p>
        </w:tc>
        <w:tc>
          <w:tcPr>
            <w:tcW w:w="1680" w:type="dxa"/>
            <w:tcBorders>
              <w:top w:val="single" w:color="auto" w:sz="8"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排放口(编号、</w:t>
            </w:r>
          </w:p>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名称)/污染源</w:t>
            </w:r>
          </w:p>
        </w:tc>
        <w:tc>
          <w:tcPr>
            <w:tcW w:w="885" w:type="dxa"/>
            <w:tcBorders>
              <w:top w:val="single" w:color="auto" w:sz="8"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污染物项目</w:t>
            </w:r>
          </w:p>
        </w:tc>
        <w:tc>
          <w:tcPr>
            <w:tcW w:w="2175" w:type="dxa"/>
            <w:tcBorders>
              <w:top w:val="single" w:color="auto" w:sz="8"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环境保护措施</w:t>
            </w:r>
          </w:p>
        </w:tc>
        <w:tc>
          <w:tcPr>
            <w:tcW w:w="2396" w:type="dxa"/>
            <w:tcBorders>
              <w:top w:val="single" w:color="auto" w:sz="8"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25" w:hRule="atLeast"/>
          <w:jc w:val="center"/>
        </w:trPr>
        <w:tc>
          <w:tcPr>
            <w:tcW w:w="1664" w:type="dxa"/>
            <w:vMerge w:val="restart"/>
            <w:tcBorders>
              <w:top w:val="single" w:color="auto" w:sz="4" w:space="0"/>
              <w:left w:val="single" w:color="auto" w:sz="8"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大气环境</w:t>
            </w:r>
          </w:p>
        </w:tc>
        <w:tc>
          <w:tcPr>
            <w:tcW w:w="1680" w:type="dxa"/>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Autospacing="0" w:afterAutospacing="0" w:line="240" w:lineRule="exact"/>
              <w:ind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注塑废气排气筒DA001</w:t>
            </w:r>
          </w:p>
        </w:tc>
        <w:tc>
          <w:tcPr>
            <w:tcW w:w="885" w:type="dxa"/>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Autospacing="0" w:afterAutospacing="0" w:line="240" w:lineRule="exact"/>
              <w:ind w:firstLine="0" w:firstLineChars="0"/>
              <w:jc w:val="center"/>
              <w:textAlignment w:val="auto"/>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非甲烷总烃</w:t>
            </w:r>
          </w:p>
        </w:tc>
        <w:tc>
          <w:tcPr>
            <w:tcW w:w="2175" w:type="dxa"/>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Autospacing="0" w:afterAutospacing="0" w:line="240" w:lineRule="exact"/>
              <w:ind w:firstLine="0" w:firstLineChars="0"/>
              <w:jc w:val="center"/>
              <w:textAlignment w:val="auto"/>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项目设计在每台</w:t>
            </w:r>
            <w:r>
              <w:rPr>
                <w:rFonts w:hint="default" w:ascii="Times New Roman" w:hAnsi="Times New Roman" w:eastAsia="宋体" w:cs="Times New Roman"/>
                <w:color w:val="auto"/>
                <w:sz w:val="21"/>
                <w:szCs w:val="21"/>
                <w:lang w:val="en-US" w:eastAsia="zh-CN"/>
              </w:rPr>
              <w:t>注塑机上方设置集气罩（</w:t>
            </w:r>
            <w:r>
              <w:rPr>
                <w:rFonts w:hint="eastAsia" w:cs="Times New Roman"/>
                <w:color w:val="auto"/>
                <w:sz w:val="21"/>
                <w:szCs w:val="21"/>
                <w:lang w:val="en-US" w:eastAsia="zh-CN"/>
              </w:rPr>
              <w:t>0.6m×0.5m</w:t>
            </w:r>
            <w:r>
              <w:rPr>
                <w:rFonts w:hint="default" w:ascii="Times New Roman" w:hAnsi="Times New Roman" w:eastAsia="宋体" w:cs="Times New Roman"/>
                <w:color w:val="auto"/>
                <w:sz w:val="21"/>
                <w:szCs w:val="21"/>
                <w:lang w:val="en-US" w:eastAsia="zh-CN"/>
              </w:rPr>
              <w:t>）， 经管道引入1套有机废气处理装置处理，即“过滤棉箱+活性炭吸附/脱附+催化燃烧装置”， 处理后经 1 根 15m 高排气筒（DA001）排放</w:t>
            </w:r>
            <w:r>
              <w:rPr>
                <w:rFonts w:hint="eastAsia" w:cs="Times New Roman"/>
                <w:color w:val="auto"/>
                <w:sz w:val="21"/>
                <w:szCs w:val="21"/>
                <w:lang w:val="en-US" w:eastAsia="zh-CN"/>
              </w:rPr>
              <w:t>（风机风量8000m</w:t>
            </w:r>
            <w:r>
              <w:rPr>
                <w:rFonts w:hint="eastAsia" w:cs="Times New Roman"/>
                <w:color w:val="auto"/>
                <w:sz w:val="21"/>
                <w:szCs w:val="21"/>
                <w:vertAlign w:val="superscript"/>
                <w:lang w:val="en-US" w:eastAsia="zh-CN"/>
              </w:rPr>
              <w:t>3</w:t>
            </w:r>
            <w:r>
              <w:rPr>
                <w:rFonts w:hint="eastAsia" w:cs="Times New Roman"/>
                <w:color w:val="auto"/>
                <w:sz w:val="21"/>
                <w:szCs w:val="21"/>
                <w:lang w:val="en-US" w:eastAsia="zh-CN"/>
              </w:rPr>
              <w:t>/h）</w:t>
            </w:r>
          </w:p>
        </w:tc>
        <w:tc>
          <w:tcPr>
            <w:tcW w:w="2396" w:type="dxa"/>
            <w:tcBorders>
              <w:top w:val="single" w:color="auto" w:sz="4"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autoSpaceDE/>
              <w:autoSpaceDN/>
              <w:bidi w:val="0"/>
              <w:adjustRightInd/>
              <w:snapToGrid/>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sz w:val="21"/>
                <w:szCs w:val="21"/>
              </w:rPr>
              <w:t>《合成树脂行业污染物排放标准（GB31572-2015）中表5非甲烷总烃排放限值60mg/m</w:t>
            </w:r>
            <w:r>
              <w:rPr>
                <w:sz w:val="21"/>
                <w:szCs w:val="21"/>
                <w:vertAlign w:val="superscript"/>
              </w:rPr>
              <w:t>3</w:t>
            </w:r>
            <w:r>
              <w:rPr>
                <w:rFonts w:hint="eastAsia"/>
                <w:sz w:val="21"/>
                <w:szCs w:val="21"/>
                <w:lang w:val="en-US" w:eastAsia="zh-CN"/>
              </w:rPr>
              <w:t>)</w:t>
            </w:r>
            <w:r>
              <w:rPr>
                <w:sz w:val="21"/>
                <w:szCs w:val="21"/>
              </w:rPr>
              <w:t>；同时满足《关于做好2021年重点行业绩效分级和应急减排清单修订工作的通知》（冀气领办[2021]92号）附件-《河北省十一个行业重污染天气应急减排措施制定技术指南（试行）》中“塑料制品行业绩效分级指标”中B级排放限值要求：车间或生产设施排气筒非甲烷总烃浓度低于30mg/m³，去除效率需达到80%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64" w:type="dxa"/>
            <w:vMerge w:val="continue"/>
            <w:tcBorders>
              <w:top w:val="single" w:color="auto" w:sz="4" w:space="0"/>
              <w:left w:val="single" w:color="auto" w:sz="8" w:space="0"/>
              <w:bottom w:val="single" w:color="auto" w:sz="4" w:space="0"/>
              <w:right w:val="single" w:color="auto" w:sz="4" w:space="0"/>
            </w:tcBorders>
            <w:vAlign w:val="center"/>
          </w:tcPr>
          <w:p>
            <w:pPr>
              <w:keepNext w:val="0"/>
              <w:keepLines w:val="0"/>
              <w:pageBreakBefore w:val="0"/>
              <w:widowControl/>
              <w:kinsoku/>
              <w:wordWrap/>
              <w:overflowPunct/>
              <w:topLinePunct w:val="0"/>
              <w:bidi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p>
        </w:tc>
        <w:tc>
          <w:tcPr>
            <w:tcW w:w="16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无组织</w:t>
            </w: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eastAsia" w:cs="Times New Roman"/>
                <w:color w:val="auto"/>
                <w:sz w:val="21"/>
                <w:szCs w:val="21"/>
                <w:lang w:val="en-US" w:eastAsia="zh-CN"/>
              </w:rPr>
              <w:t>非甲烷总烃</w:t>
            </w:r>
          </w:p>
        </w:tc>
        <w:tc>
          <w:tcPr>
            <w:tcW w:w="21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spacing w:beforeAutospacing="0" w:afterAutospacing="0" w:line="240" w:lineRule="exact"/>
              <w:ind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rPr>
              <w:t>封闭</w:t>
            </w:r>
            <w:r>
              <w:rPr>
                <w:rFonts w:hint="eastAsia" w:cs="Times New Roman"/>
                <w:color w:val="auto"/>
                <w:sz w:val="21"/>
                <w:szCs w:val="21"/>
                <w:lang w:val="en-US" w:eastAsia="zh-CN"/>
              </w:rPr>
              <w:t>生产车间</w:t>
            </w:r>
          </w:p>
        </w:tc>
        <w:tc>
          <w:tcPr>
            <w:tcW w:w="2396" w:type="dxa"/>
            <w:tcBorders>
              <w:top w:val="single" w:color="auto" w:sz="4" w:space="0"/>
              <w:left w:val="single" w:color="auto" w:sz="4" w:space="0"/>
              <w:bottom w:val="single" w:color="auto" w:sz="4" w:space="0"/>
              <w:right w:val="single" w:color="auto" w:sz="8" w:space="0"/>
            </w:tcBorders>
            <w:vAlign w:val="center"/>
          </w:tcPr>
          <w:p>
            <w:pPr>
              <w:keepNext w:val="0"/>
              <w:keepLines w:val="0"/>
              <w:pageBreakBefore w:val="0"/>
              <w:widowControl/>
              <w:kinsoku/>
              <w:wordWrap/>
              <w:overflowPunct/>
              <w:topLinePunct w:val="0"/>
              <w:autoSpaceDE/>
              <w:autoSpaceDN/>
              <w:bidi w:val="0"/>
              <w:snapToGrid/>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sz w:val="21"/>
                <w:szCs w:val="21"/>
                <w:lang w:val="en-US" w:eastAsia="zh-CN"/>
              </w:rPr>
              <w:t>《工业企业挥发性有机物排放控制标准》（DB13/2322-2016）表 2 厂界无组织监控浓度限值 非甲烷总烃 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；同时满足《挥发性有机物无组织排放控制标准》（GB37822-2019）控制要求（厂房外监控点处任意一次浓度 20mg/m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，监控点处 1h 平均浓度 6mg/m</w:t>
            </w:r>
            <w:r>
              <w:rPr>
                <w:rFonts w:hint="default" w:ascii="Times New Roman" w:hAnsi="Times New Roman" w:cs="Times New Roman"/>
                <w:sz w:val="21"/>
                <w:szCs w:val="21"/>
                <w:vertAlign w:val="superscript"/>
                <w:lang w:val="en-US" w:eastAsia="zh-CN"/>
              </w:rPr>
              <w:t>3</w:t>
            </w:r>
            <w:r>
              <w:rPr>
                <w:rFonts w:hint="default" w:ascii="Times New Roman" w:hAnsi="Times New Roman" w:cs="Times New Roman"/>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664" w:type="dxa"/>
            <w:vMerge w:val="restart"/>
            <w:tcBorders>
              <w:top w:val="single" w:color="auto" w:sz="4" w:space="0"/>
              <w:left w:val="single" w:color="auto" w:sz="8"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地表水环境</w:t>
            </w:r>
          </w:p>
        </w:tc>
        <w:tc>
          <w:tcPr>
            <w:tcW w:w="16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生活污水</w:t>
            </w: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COD、SS、</w:t>
            </w:r>
          </w:p>
        </w:tc>
        <w:tc>
          <w:tcPr>
            <w:tcW w:w="21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val="0"/>
              <w:snapToGrid/>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eastAsia" w:cs="Times New Roman"/>
                <w:color w:val="auto"/>
                <w:sz w:val="21"/>
                <w:szCs w:val="21"/>
                <w:lang w:val="en-US" w:eastAsia="zh-CN"/>
              </w:rPr>
              <w:t>泼洒抑尘</w:t>
            </w:r>
            <w:r>
              <w:rPr>
                <w:rFonts w:hint="default" w:ascii="Times New Roman" w:hAnsi="Times New Roman" w:cs="Times New Roman"/>
                <w:color w:val="auto"/>
                <w:sz w:val="21"/>
                <w:szCs w:val="21"/>
              </w:rPr>
              <w:t>不外排。</w:t>
            </w:r>
          </w:p>
        </w:tc>
        <w:tc>
          <w:tcPr>
            <w:tcW w:w="2396" w:type="dxa"/>
            <w:tcBorders>
              <w:top w:val="single" w:color="auto" w:sz="4"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664" w:type="dxa"/>
            <w:vMerge w:val="continue"/>
            <w:tcBorders>
              <w:left w:val="single" w:color="auto" w:sz="8"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p>
        </w:tc>
        <w:tc>
          <w:tcPr>
            <w:tcW w:w="16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生产废水</w:t>
            </w: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SS</w:t>
            </w:r>
          </w:p>
        </w:tc>
        <w:tc>
          <w:tcPr>
            <w:tcW w:w="21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snapToGrid/>
              <w:spacing w:beforeAutospacing="0" w:afterAutospacing="0" w:line="240" w:lineRule="exact"/>
              <w:ind w:left="0" w:leftChars="0"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项目循环冷却水</w:t>
            </w:r>
            <w:r>
              <w:rPr>
                <w:rFonts w:hint="eastAsia" w:cs="Times New Roman"/>
                <w:color w:val="auto"/>
                <w:sz w:val="21"/>
                <w:szCs w:val="21"/>
                <w:lang w:val="en-US" w:eastAsia="zh-CN"/>
              </w:rPr>
              <w:t>循环使用，不外排</w:t>
            </w:r>
            <w:r>
              <w:rPr>
                <w:rFonts w:hint="default" w:ascii="Times New Roman" w:hAnsi="Times New Roman" w:cs="Times New Roman"/>
                <w:color w:val="auto"/>
                <w:sz w:val="21"/>
                <w:szCs w:val="21"/>
                <w:lang w:val="en-US" w:eastAsia="zh-CN"/>
              </w:rPr>
              <w:t>。</w:t>
            </w:r>
          </w:p>
        </w:tc>
        <w:tc>
          <w:tcPr>
            <w:tcW w:w="2396" w:type="dxa"/>
            <w:tcBorders>
              <w:top w:val="single" w:color="auto" w:sz="4"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7" w:hRule="atLeast"/>
          <w:jc w:val="center"/>
        </w:trPr>
        <w:tc>
          <w:tcPr>
            <w:tcW w:w="1664" w:type="dxa"/>
            <w:tcBorders>
              <w:top w:val="single" w:color="auto" w:sz="4" w:space="0"/>
              <w:left w:val="single" w:color="auto" w:sz="8"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w:t>
            </w:r>
          </w:p>
        </w:tc>
        <w:tc>
          <w:tcPr>
            <w:tcW w:w="7136" w:type="dxa"/>
            <w:gridSpan w:val="4"/>
            <w:tcBorders>
              <w:top w:val="single" w:color="auto" w:sz="4"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项目设备噪声源在</w:t>
            </w:r>
            <w:r>
              <w:rPr>
                <w:rFonts w:hint="eastAsia" w:cs="Times New Roman"/>
                <w:color w:val="auto"/>
                <w:sz w:val="21"/>
                <w:szCs w:val="21"/>
                <w:lang w:val="en-US" w:eastAsia="zh-CN"/>
              </w:rPr>
              <w:t>70</w:t>
            </w:r>
            <w:r>
              <w:rPr>
                <w:rFonts w:hint="default" w:ascii="Times New Roman" w:hAnsi="Times New Roman" w:cs="Times New Roman"/>
                <w:color w:val="auto"/>
                <w:sz w:val="21"/>
                <w:szCs w:val="21"/>
              </w:rPr>
              <w:t>dB(A)~</w:t>
            </w:r>
            <w:r>
              <w:rPr>
                <w:rFonts w:hint="eastAsia" w:cs="Times New Roman"/>
                <w:color w:val="auto"/>
                <w:sz w:val="21"/>
                <w:szCs w:val="21"/>
                <w:lang w:val="en-US" w:eastAsia="zh-CN"/>
              </w:rPr>
              <w:t>8</w:t>
            </w:r>
            <w:r>
              <w:rPr>
                <w:rFonts w:hint="default" w:ascii="Times New Roman" w:hAnsi="Times New Roman" w:cs="Times New Roman"/>
                <w:color w:val="auto"/>
                <w:sz w:val="21"/>
                <w:szCs w:val="21"/>
              </w:rPr>
              <w:t>5dB(A)之间，项目设备噪声经基础减振、厂房隔声降噪后，项目四厂界昼、夜间噪声排放均满足《工业企业厂界环境噪声排放标准》(GB12348-2008)</w:t>
            </w:r>
            <w:r>
              <w:rPr>
                <w:rFonts w:hint="eastAsia" w:cs="Times New Roman"/>
                <w:color w:val="auto"/>
                <w:sz w:val="21"/>
                <w:szCs w:val="21"/>
                <w:lang w:val="en-US" w:eastAsia="zh-CN"/>
              </w:rPr>
              <w:t>2</w:t>
            </w:r>
            <w:r>
              <w:rPr>
                <w:rFonts w:hint="default" w:ascii="Times New Roman" w:hAnsi="Times New Roman" w:cs="Times New Roman"/>
                <w:color w:val="auto"/>
                <w:sz w:val="21"/>
                <w:szCs w:val="21"/>
              </w:rPr>
              <w:t>类标准(昼间≤6</w:t>
            </w:r>
            <w:r>
              <w:rPr>
                <w:rFonts w:hint="eastAsia" w:cs="Times New Roman"/>
                <w:color w:val="auto"/>
                <w:sz w:val="21"/>
                <w:szCs w:val="21"/>
                <w:lang w:val="en-US" w:eastAsia="zh-CN"/>
              </w:rPr>
              <w:t>0</w:t>
            </w:r>
            <w:r>
              <w:rPr>
                <w:rFonts w:hint="default" w:ascii="Times New Roman" w:hAnsi="Times New Roman" w:cs="Times New Roman"/>
                <w:color w:val="auto"/>
                <w:sz w:val="21"/>
                <w:szCs w:val="21"/>
              </w:rPr>
              <w:t>dB(A)，夜间≤5</w:t>
            </w:r>
            <w:r>
              <w:rPr>
                <w:rFonts w:hint="eastAsia" w:cs="Times New Roman"/>
                <w:color w:val="auto"/>
                <w:sz w:val="21"/>
                <w:szCs w:val="21"/>
                <w:lang w:val="en-US" w:eastAsia="zh-CN"/>
              </w:rPr>
              <w:t>0</w:t>
            </w:r>
            <w:r>
              <w:rPr>
                <w:rFonts w:hint="default" w:ascii="Times New Roman" w:hAnsi="Times New Roman" w:cs="Times New Roman"/>
                <w:color w:val="auto"/>
                <w:sz w:val="21"/>
                <w:szCs w:val="21"/>
              </w:rPr>
              <w:t>dB(A))。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1664" w:type="dxa"/>
            <w:tcBorders>
              <w:top w:val="single" w:color="auto" w:sz="4" w:space="0"/>
              <w:left w:val="single" w:color="auto" w:sz="8"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电磁辐射</w:t>
            </w:r>
          </w:p>
        </w:tc>
        <w:tc>
          <w:tcPr>
            <w:tcW w:w="16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21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2396" w:type="dxa"/>
            <w:tcBorders>
              <w:top w:val="single" w:color="auto" w:sz="4" w:space="0"/>
              <w:left w:val="single" w:color="auto" w:sz="4" w:space="0"/>
              <w:bottom w:val="single" w:color="auto" w:sz="4" w:space="0"/>
              <w:right w:val="single" w:color="auto" w:sz="8" w:space="0"/>
            </w:tcBorders>
            <w:vAlign w:val="center"/>
          </w:tcPr>
          <w:p>
            <w:pPr>
              <w:keepNext w:val="0"/>
              <w:keepLines w:val="0"/>
              <w:pageBreakBefore w:val="0"/>
              <w:kinsoku/>
              <w:wordWrap/>
              <w:overflowPunct/>
              <w:topLinePunct w:val="0"/>
              <w:bidi w:val="0"/>
              <w:adjustRightInd w:val="0"/>
              <w:snapToGrid w:val="0"/>
              <w:spacing w:beforeAutospacing="0" w:afterAutospacing="0" w:line="240" w:lineRule="exact"/>
              <w:ind w:firstLine="0" w:firstLineChars="0"/>
              <w:jc w:val="center"/>
              <w:textAlignment w:val="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0" w:hRule="atLeast"/>
          <w:jc w:val="center"/>
        </w:trPr>
        <w:tc>
          <w:tcPr>
            <w:tcW w:w="1664" w:type="dxa"/>
            <w:tcBorders>
              <w:top w:val="single" w:color="auto" w:sz="4" w:space="0"/>
              <w:left w:val="single" w:color="auto" w:sz="8" w:space="0"/>
              <w:right w:val="single" w:color="auto" w:sz="4" w:space="0"/>
            </w:tcBorders>
            <w:vAlign w:val="center"/>
          </w:tcPr>
          <w:p>
            <w:pPr>
              <w:bidi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固体废物</w:t>
            </w:r>
          </w:p>
        </w:tc>
        <w:tc>
          <w:tcPr>
            <w:tcW w:w="7136" w:type="dxa"/>
            <w:gridSpan w:val="4"/>
            <w:tcBorders>
              <w:top w:val="single" w:color="auto" w:sz="4" w:space="0"/>
              <w:left w:val="single" w:color="auto" w:sz="4" w:space="0"/>
              <w:right w:val="single" w:color="auto" w:sz="8" w:space="0"/>
            </w:tcBorders>
            <w:vAlign w:val="center"/>
          </w:tcPr>
          <w:p>
            <w:pPr>
              <w:bidi w:val="0"/>
              <w:spacing w:line="240" w:lineRule="auto"/>
              <w:ind w:firstLine="420" w:firstLineChars="200"/>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rPr>
              <w:t>拆包产生的废包装材料</w:t>
            </w:r>
            <w:r>
              <w:rPr>
                <w:rFonts w:hint="eastAsia" w:cs="Times New Roman"/>
                <w:color w:val="auto"/>
                <w:sz w:val="21"/>
                <w:szCs w:val="21"/>
                <w:lang w:eastAsia="zh-CN"/>
              </w:rPr>
              <w:t>、</w:t>
            </w:r>
            <w:r>
              <w:rPr>
                <w:rFonts w:hint="eastAsia" w:cs="Times New Roman"/>
                <w:color w:val="0000FF"/>
                <w:sz w:val="21"/>
                <w:szCs w:val="21"/>
                <w:lang w:val="en-US" w:eastAsia="zh-CN"/>
              </w:rPr>
              <w:t>废钢筋</w:t>
            </w:r>
            <w:r>
              <w:rPr>
                <w:rFonts w:hint="eastAsia" w:ascii="Times New Roman" w:hAnsi="Times New Roman" w:cs="Times New Roman"/>
                <w:color w:val="auto"/>
                <w:sz w:val="21"/>
                <w:szCs w:val="21"/>
                <w:lang w:val="en-US" w:eastAsia="zh-CN"/>
              </w:rPr>
              <w:t>和</w:t>
            </w:r>
            <w:r>
              <w:rPr>
                <w:rFonts w:hint="default" w:ascii="Times New Roman" w:hAnsi="Times New Roman" w:cs="Times New Roman"/>
                <w:color w:val="auto"/>
                <w:sz w:val="21"/>
                <w:szCs w:val="21"/>
              </w:rPr>
              <w:t>不合格品</w:t>
            </w:r>
            <w:r>
              <w:rPr>
                <w:rFonts w:hint="eastAsia" w:ascii="Times New Roman" w:hAnsi="Times New Roman" w:cs="Times New Roman"/>
                <w:color w:val="auto"/>
                <w:sz w:val="21"/>
                <w:szCs w:val="21"/>
                <w:lang w:val="en-US" w:eastAsia="zh-CN"/>
              </w:rPr>
              <w:t>集中收集后外售；废润滑油桶与废润滑油暂存危废间，定期交由有资质单位处理；废催化剂、废过滤棉、废活性炭分别采用带塑料内衬的包装袋收集，袋口扎紧，暂存危废间，定期交有资质单位处理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1664" w:type="dxa"/>
            <w:tcBorders>
              <w:top w:val="single" w:color="auto" w:sz="4" w:space="0"/>
              <w:left w:val="single" w:color="auto" w:sz="8" w:space="0"/>
              <w:bottom w:val="single" w:color="auto" w:sz="4" w:space="0"/>
              <w:right w:val="single" w:color="auto" w:sz="4" w:space="0"/>
            </w:tcBorders>
            <w:vAlign w:val="center"/>
          </w:tcPr>
          <w:p>
            <w:pPr>
              <w:bidi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土壤及地下水污染防治措施</w:t>
            </w:r>
          </w:p>
        </w:tc>
        <w:tc>
          <w:tcPr>
            <w:tcW w:w="7136" w:type="dxa"/>
            <w:gridSpan w:val="4"/>
            <w:tcBorders>
              <w:top w:val="single" w:color="auto" w:sz="4" w:space="0"/>
              <w:left w:val="single" w:color="auto" w:sz="4" w:space="0"/>
              <w:bottom w:val="single" w:color="auto" w:sz="4" w:space="0"/>
              <w:right w:val="single" w:color="auto" w:sz="8" w:space="0"/>
            </w:tcBorders>
            <w:vAlign w:val="center"/>
          </w:tcPr>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危废暂存间地面和裙角做好防渗处理，危废暂存间内部地面及裙角采用抗渗混凝土+涂环氧树脂漆进行防渗处理，渗透系数≤10</w:t>
            </w:r>
            <w:r>
              <w:rPr>
                <w:rFonts w:hint="default" w:ascii="Times New Roman" w:hAnsi="Times New Roman" w:cs="Times New Roman"/>
                <w:color w:val="auto"/>
                <w:sz w:val="21"/>
                <w:szCs w:val="21"/>
                <w:vertAlign w:val="superscript"/>
              </w:rPr>
              <w:t>-10</w:t>
            </w:r>
            <w:r>
              <w:rPr>
                <w:rFonts w:hint="default" w:ascii="Times New Roman" w:hAnsi="Times New Roman" w:cs="Times New Roman"/>
                <w:color w:val="auto"/>
                <w:sz w:val="21"/>
                <w:szCs w:val="21"/>
              </w:rPr>
              <w:t>cm/s；危废间内危废储存装置下设托盘，用于收集生产过程产生的废润滑油，确保危废不落地。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1664" w:type="dxa"/>
            <w:tcBorders>
              <w:top w:val="single" w:color="auto" w:sz="4" w:space="0"/>
              <w:left w:val="single" w:color="auto" w:sz="8" w:space="0"/>
              <w:bottom w:val="single" w:color="auto" w:sz="4" w:space="0"/>
              <w:right w:val="single" w:color="auto" w:sz="4" w:space="0"/>
            </w:tcBorders>
            <w:vAlign w:val="center"/>
          </w:tcPr>
          <w:p>
            <w:pPr>
              <w:bidi w:val="0"/>
              <w:spacing w:line="240" w:lineRule="auto"/>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生态保护措施</w:t>
            </w:r>
          </w:p>
        </w:tc>
        <w:tc>
          <w:tcPr>
            <w:tcW w:w="7136" w:type="dxa"/>
            <w:gridSpan w:val="4"/>
            <w:tcBorders>
              <w:top w:val="single" w:color="auto" w:sz="4" w:space="0"/>
              <w:left w:val="single" w:color="auto" w:sz="4" w:space="0"/>
              <w:bottom w:val="single" w:color="auto" w:sz="4" w:space="0"/>
              <w:right w:val="single" w:color="auto" w:sz="8" w:space="0"/>
            </w:tcBorders>
            <w:vAlign w:val="center"/>
          </w:tcPr>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1664" w:type="dxa"/>
            <w:tcBorders>
              <w:top w:val="single" w:color="auto" w:sz="4" w:space="0"/>
              <w:left w:val="single" w:color="auto" w:sz="8" w:space="0"/>
              <w:bottom w:val="single" w:color="auto" w:sz="4" w:space="0"/>
              <w:right w:val="single" w:color="auto" w:sz="4" w:space="0"/>
            </w:tcBorders>
            <w:vAlign w:val="center"/>
          </w:tcPr>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环境风险</w:t>
            </w:r>
          </w:p>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防范措施</w:t>
            </w:r>
          </w:p>
        </w:tc>
        <w:tc>
          <w:tcPr>
            <w:tcW w:w="7136" w:type="dxa"/>
            <w:gridSpan w:val="4"/>
            <w:tcBorders>
              <w:top w:val="single" w:color="auto" w:sz="4" w:space="0"/>
              <w:left w:val="single" w:color="auto" w:sz="4" w:space="0"/>
              <w:bottom w:val="single" w:color="auto" w:sz="4" w:space="0"/>
              <w:right w:val="single" w:color="auto" w:sz="8" w:space="0"/>
            </w:tcBorders>
            <w:vAlign w:val="center"/>
          </w:tcPr>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制定管理措施、修订应急预案，有效防范风险事故的发生，配备的事故应急设施、材料能保证有效的事故应急，降低事故环境风险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664" w:type="dxa"/>
            <w:tcBorders>
              <w:top w:val="single" w:color="auto" w:sz="4" w:space="0"/>
              <w:left w:val="single" w:color="auto" w:sz="8" w:space="0"/>
              <w:bottom w:val="single" w:color="auto" w:sz="8" w:space="0"/>
              <w:right w:val="single" w:color="auto" w:sz="4" w:space="0"/>
            </w:tcBorders>
            <w:vAlign w:val="center"/>
          </w:tcPr>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其他环境</w:t>
            </w:r>
          </w:p>
          <w:p>
            <w:pPr>
              <w:bidi w:val="0"/>
              <w:spacing w:line="240" w:lineRule="auto"/>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管理要求</w:t>
            </w:r>
          </w:p>
        </w:tc>
        <w:tc>
          <w:tcPr>
            <w:tcW w:w="7136" w:type="dxa"/>
            <w:gridSpan w:val="4"/>
            <w:tcBorders>
              <w:top w:val="single" w:color="auto" w:sz="4" w:space="0"/>
              <w:left w:val="single" w:color="auto" w:sz="4" w:space="0"/>
              <w:bottom w:val="single" w:color="auto" w:sz="8" w:space="0"/>
              <w:right w:val="single" w:color="auto" w:sz="8" w:space="0"/>
            </w:tcBorders>
            <w:vAlign w:val="center"/>
          </w:tcPr>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(1)环境管理机构及职责</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1)管理机构设置</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企业的环境保护管理机构是我国环境管理的最基层组织，完善的企业环境管理体系是贯彻执行我国环境保护各项法规、政策的组织保障，其任务是对项目生产过程进行有效地监控，及时掌握和了解各污染治理设施与控制措施执行的效果，及时反馈生产部门，保证环保设施的稳定、高效运行及各种污染物达标排放。因此，公司设置专门的环保机构，机构中设置主抓环保工作的负责人一名，并设专职环保技术管理员。</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2)机构职责</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环境管理机构负责项目建设期与运营期的环境管理与环境监测工作，主要职责：</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①贯彻落实国家和地方的环境保护法律、法规、政策和标准，直接接受行业主管部门、环境保护局的监督、领导，配合环境保护主管部门作好环保工作。</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②制定和实施环境监测方案，负责所有环保设施的日常运行管理，保障各环保设施的正常运行，并对环保设施的改进提出积极的建议。</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③在项目建设阶段负责监督环保设施的施工、安装、调试等，落实项目的环境保护“三同时”制度。</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④监督污染物总量排放及达标情况，确保污染物排放达到国家排放标准和总量控制指标。</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⑤原料来源发生变化时，及时上报环境保护主管部门。</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⑥正常生产时，保持厂房门窗关闭。</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⑦参与环保设施竣工验收工作。</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⑧负责对职工环保宣传教育工作及检查、监督各岗位环保制度的执行情况。</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⑨领导并组织环境监测工作，建立污染源与监测档案、环境管理台账，定期向主管部门及环保部门上报监测报表。</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(2)环境管理台账及信息公开</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1)环境管理台账</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项目应建立环境管理台账制度，并设置专职人员进行台账的记录、整理、维护和管理。</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台账应真实记录如下信息：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①生产设施运行管理信息。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②原辅料采购信息。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③污染治理设施运行管理信息。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④非正常工况及污染治理设施异常情况记录信息。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⑤监测记录信息。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⑥按照《排污许可证申请与核发技术规范陶瓷砖瓦工业》(HJ954-2018)中相关要求，做好环保台账记录及管理，按时上报排污许可证执行报告。</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3)信息公开</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根据《企业事业单位环境信息公开办法》(环保部令第31号，2014年12月19日)、《企业信息公示暂行条例》等规定，项目建立健全单位环境信息公开制度，设置专门机构负责本单位环境信息公开日常工作。</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公开信息如下：</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①基础信息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包括单位名称、组织机构代码、法定代表人、生产地址、联系方式，以及生产经营和管理服务的主要内容、产品及规模等。</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②排污信息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包括主要污染物及特征污染物的名称、排放方式、排放口数量和分布情况、排放浓度和总量、超标情况，以及执行的污染物排放标准、核定的排放总量。</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③污染治理设施的建设和运行情况。</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④项目环境影响评价及其他环境保护行政许可情况。</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⑤其他应当公开的环境信息。</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公开方式及时间要求如下：</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①公告或者公开发行的信息专刊。</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②广播、电视等新闻媒体。</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③信息公开服务、监督热线电话。</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④本单位的资料索取点、信息公开栏、信息亭、电子屏幕、电子触摸屏等场所或者设施。</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⑤其他便于公众及时、准确获得信息的方式。</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⑥企业对其自行发布的环境信息的真实性、准确性负责。</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⑦公开时间要求：环境信息有新生成或者发生变更情形的，应当自环境信息生成或变更之日起三十日内予以公开。法律、法规另有规定的，从其规定。</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⑧采用手工监测等方式，对污染物排放状况进行监测，监测完成的次日公开。</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⑨对监测浓度或总量超过国家或地方污染物排放标准、排污许可证规定的，重点排污单位应在3日内向社会公开超标原因、应对措施等。</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(3)排污口规范化管理：</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①新增排气筒应设置便于采样、监测的采样口和采样平台，当采样平台设置在离地面高度≥5米的位置时，应有通往平台的Z字梯/旋梯/升降梯。在各排气筒近地面处，应按《环境保护图形标志——排放口</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源</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GB15562.1-1995</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要求设立醒目的环境保护图形标志牌。排污口规范化应符合国家、省、市有关规定。</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②危险废物暂存场所应根据《环境保护图形标志——固体废物贮存</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处置</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场》</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GB15562.2－1995</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rPr>
              <w:t>的要求设置环境保护图形标志，标志牌应设在与之功能相应的醒目处，标志牌必须保持清晰、完整。当发现形象损坏、颜色污染或有变化、</w:t>
            </w:r>
            <w:r>
              <w:rPr>
                <w:rFonts w:hint="eastAsia" w:cs="Times New Roman"/>
                <w:color w:val="auto"/>
                <w:sz w:val="21"/>
                <w:szCs w:val="21"/>
                <w:lang w:val="en-US" w:eastAsia="zh-CN"/>
              </w:rPr>
              <w:t>褪色</w:t>
            </w:r>
            <w:r>
              <w:rPr>
                <w:rFonts w:hint="default" w:ascii="Times New Roman" w:hAnsi="Times New Roman" w:cs="Times New Roman"/>
                <w:color w:val="auto"/>
                <w:sz w:val="21"/>
                <w:szCs w:val="21"/>
              </w:rPr>
              <w:t>等不符合本标准的情况，应及时修复或更换。检查时间至少每半年一次。</w:t>
            </w:r>
          </w:p>
          <w:p>
            <w:pPr>
              <w:bidi w:val="0"/>
              <w:ind w:firstLine="420" w:firstLineChars="20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③排污口建档管理：使用国家环保部统一印制的《中华人民共和国规范化排污口标志登记证》，并按要求填写有关内容，项目建成后，应将主要污染物种类、数量、浓度、排放去向、立标情况及设施运行情况记录于档。</w:t>
            </w:r>
          </w:p>
          <w:p>
            <w:pPr>
              <w:spacing w:line="240" w:lineRule="auto"/>
              <w:jc w:val="center"/>
              <w:rPr>
                <w:b/>
                <w:bCs/>
                <w:color w:val="auto"/>
                <w:sz w:val="21"/>
                <w:szCs w:val="18"/>
              </w:rPr>
            </w:pPr>
            <w:r>
              <w:rPr>
                <w:b/>
                <w:bCs/>
                <w:color w:val="auto"/>
                <w:sz w:val="21"/>
                <w:szCs w:val="18"/>
              </w:rPr>
              <w:t>表</w:t>
            </w:r>
            <w:r>
              <w:rPr>
                <w:rFonts w:hint="eastAsia"/>
                <w:b/>
                <w:bCs/>
                <w:color w:val="auto"/>
                <w:sz w:val="21"/>
                <w:szCs w:val="18"/>
              </w:rPr>
              <w:t>3</w:t>
            </w:r>
            <w:r>
              <w:rPr>
                <w:rFonts w:hint="eastAsia"/>
                <w:b/>
                <w:bCs/>
                <w:color w:val="auto"/>
                <w:sz w:val="21"/>
                <w:szCs w:val="18"/>
                <w:lang w:val="en-US" w:eastAsia="zh-CN"/>
              </w:rPr>
              <w:t>5</w:t>
            </w:r>
            <w:r>
              <w:rPr>
                <w:b/>
                <w:bCs/>
                <w:color w:val="auto"/>
                <w:sz w:val="21"/>
                <w:szCs w:val="18"/>
              </w:rPr>
              <w:t xml:space="preserve">   环境保护图形符号一览表</w:t>
            </w:r>
          </w:p>
          <w:tbl>
            <w:tblPr>
              <w:tblStyle w:val="20"/>
              <w:tblW w:w="693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304"/>
              <w:gridCol w:w="1307"/>
              <w:gridCol w:w="1235"/>
              <w:gridCol w:w="244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645"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序号</w:t>
                  </w:r>
                </w:p>
              </w:tc>
              <w:tc>
                <w:tcPr>
                  <w:tcW w:w="1304"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提示图形符号</w:t>
                  </w:r>
                </w:p>
              </w:tc>
              <w:tc>
                <w:tcPr>
                  <w:tcW w:w="1307"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警告图形符号</w:t>
                  </w:r>
                </w:p>
              </w:tc>
              <w:tc>
                <w:tcPr>
                  <w:tcW w:w="1235"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名称</w:t>
                  </w:r>
                </w:p>
              </w:tc>
              <w:tc>
                <w:tcPr>
                  <w:tcW w:w="2447"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功能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645" w:type="dxa"/>
                  <w:noWrap w:val="0"/>
                  <w:vAlign w:val="center"/>
                </w:tcPr>
                <w:p>
                  <w:pPr>
                    <w:snapToGrid w:val="0"/>
                    <w:spacing w:line="240" w:lineRule="atLeast"/>
                    <w:jc w:val="center"/>
                    <w:rPr>
                      <w:color w:val="auto"/>
                      <w:szCs w:val="21"/>
                    </w:rPr>
                  </w:pPr>
                  <w:r>
                    <w:rPr>
                      <w:color w:val="auto"/>
                      <w:szCs w:val="21"/>
                    </w:rPr>
                    <w:t>1</w:t>
                  </w:r>
                </w:p>
              </w:tc>
              <w:tc>
                <w:tcPr>
                  <w:tcW w:w="1304" w:type="dxa"/>
                  <w:noWrap w:val="0"/>
                  <w:vAlign w:val="center"/>
                </w:tcPr>
                <w:p>
                  <w:pPr>
                    <w:snapToGrid w:val="0"/>
                    <w:spacing w:line="240" w:lineRule="atLeast"/>
                    <w:jc w:val="center"/>
                    <w:rPr>
                      <w:color w:val="auto"/>
                      <w:szCs w:val="21"/>
                    </w:rPr>
                  </w:pPr>
                  <w:r>
                    <w:rPr>
                      <w:color w:val="auto"/>
                      <w:szCs w:val="21"/>
                    </w:rPr>
                    <w:drawing>
                      <wp:inline distT="0" distB="0" distL="114300" distR="114300">
                        <wp:extent cx="668020" cy="675640"/>
                        <wp:effectExtent l="0" t="0" r="17780" b="10160"/>
                        <wp:docPr id="1" name="图片 3" descr="13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13003"/>
                                <pic:cNvPicPr>
                                  <a:picLocks noChangeAspect="1"/>
                                </pic:cNvPicPr>
                              </pic:nvPicPr>
                              <pic:blipFill>
                                <a:blip r:embed="rId28"/>
                                <a:stretch>
                                  <a:fillRect/>
                                </a:stretch>
                              </pic:blipFill>
                              <pic:spPr>
                                <a:xfrm>
                                  <a:off x="0" y="0"/>
                                  <a:ext cx="668020" cy="675640"/>
                                </a:xfrm>
                                <a:prstGeom prst="rect">
                                  <a:avLst/>
                                </a:prstGeom>
                                <a:noFill/>
                                <a:ln>
                                  <a:noFill/>
                                </a:ln>
                              </pic:spPr>
                            </pic:pic>
                          </a:graphicData>
                        </a:graphic>
                      </wp:inline>
                    </w:drawing>
                  </w:r>
                </w:p>
              </w:tc>
              <w:tc>
                <w:tcPr>
                  <w:tcW w:w="1307" w:type="dxa"/>
                  <w:noWrap w:val="0"/>
                  <w:vAlign w:val="center"/>
                </w:tcPr>
                <w:p>
                  <w:pPr>
                    <w:snapToGrid w:val="0"/>
                    <w:spacing w:line="240" w:lineRule="atLeast"/>
                    <w:jc w:val="center"/>
                    <w:rPr>
                      <w:color w:val="auto"/>
                      <w:szCs w:val="21"/>
                    </w:rPr>
                  </w:pPr>
                  <w:r>
                    <w:rPr>
                      <w:color w:val="auto"/>
                      <w:szCs w:val="21"/>
                    </w:rPr>
                    <w:drawing>
                      <wp:inline distT="0" distB="0" distL="114300" distR="114300">
                        <wp:extent cx="658495" cy="657225"/>
                        <wp:effectExtent l="0" t="0" r="8255" b="9525"/>
                        <wp:docPr id="3" name="图片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4"/>
                                <pic:cNvPicPr>
                                  <a:picLocks noChangeAspect="1"/>
                                </pic:cNvPicPr>
                              </pic:nvPicPr>
                              <pic:blipFill>
                                <a:blip r:embed="rId29"/>
                                <a:stretch>
                                  <a:fillRect/>
                                </a:stretch>
                              </pic:blipFill>
                              <pic:spPr>
                                <a:xfrm>
                                  <a:off x="0" y="0"/>
                                  <a:ext cx="658495" cy="657225"/>
                                </a:xfrm>
                                <a:prstGeom prst="rect">
                                  <a:avLst/>
                                </a:prstGeom>
                                <a:noFill/>
                                <a:ln>
                                  <a:noFill/>
                                </a:ln>
                              </pic:spPr>
                            </pic:pic>
                          </a:graphicData>
                        </a:graphic>
                      </wp:inline>
                    </w:drawing>
                  </w:r>
                </w:p>
              </w:tc>
              <w:tc>
                <w:tcPr>
                  <w:tcW w:w="1235"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废气排放口</w:t>
                  </w:r>
                </w:p>
              </w:tc>
              <w:tc>
                <w:tcPr>
                  <w:tcW w:w="2447"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表示废气向大气环境排放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645" w:type="dxa"/>
                  <w:noWrap w:val="0"/>
                  <w:vAlign w:val="center"/>
                </w:tcPr>
                <w:p>
                  <w:pPr>
                    <w:snapToGrid w:val="0"/>
                    <w:spacing w:line="240" w:lineRule="atLeast"/>
                    <w:jc w:val="center"/>
                    <w:rPr>
                      <w:color w:val="auto"/>
                      <w:szCs w:val="21"/>
                    </w:rPr>
                  </w:pPr>
                  <w:r>
                    <w:rPr>
                      <w:color w:val="auto"/>
                      <w:szCs w:val="21"/>
                    </w:rPr>
                    <w:t>2</w:t>
                  </w:r>
                </w:p>
              </w:tc>
              <w:tc>
                <w:tcPr>
                  <w:tcW w:w="1304" w:type="dxa"/>
                  <w:noWrap w:val="0"/>
                  <w:vAlign w:val="center"/>
                </w:tcPr>
                <w:p>
                  <w:pPr>
                    <w:snapToGrid w:val="0"/>
                    <w:spacing w:line="240" w:lineRule="atLeast"/>
                    <w:jc w:val="center"/>
                    <w:rPr>
                      <w:color w:val="auto"/>
                      <w:szCs w:val="21"/>
                    </w:rPr>
                  </w:pPr>
                  <w:r>
                    <w:rPr>
                      <w:color w:val="auto"/>
                      <w:szCs w:val="21"/>
                    </w:rPr>
                    <w:drawing>
                      <wp:inline distT="0" distB="0" distL="114300" distR="114300">
                        <wp:extent cx="702945" cy="702945"/>
                        <wp:effectExtent l="0" t="0" r="1905" b="1905"/>
                        <wp:docPr id="4" name="图片 5" descr="HP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descr="HP005"/>
                                <pic:cNvPicPr>
                                  <a:picLocks noChangeAspect="1"/>
                                </pic:cNvPicPr>
                              </pic:nvPicPr>
                              <pic:blipFill>
                                <a:blip r:embed="rId30"/>
                                <a:stretch>
                                  <a:fillRect/>
                                </a:stretch>
                              </pic:blipFill>
                              <pic:spPr>
                                <a:xfrm>
                                  <a:off x="0" y="0"/>
                                  <a:ext cx="702945" cy="702945"/>
                                </a:xfrm>
                                <a:prstGeom prst="rect">
                                  <a:avLst/>
                                </a:prstGeom>
                                <a:noFill/>
                                <a:ln>
                                  <a:noFill/>
                                </a:ln>
                              </pic:spPr>
                            </pic:pic>
                          </a:graphicData>
                        </a:graphic>
                      </wp:inline>
                    </w:drawing>
                  </w:r>
                </w:p>
              </w:tc>
              <w:tc>
                <w:tcPr>
                  <w:tcW w:w="1307" w:type="dxa"/>
                  <w:noWrap w:val="0"/>
                  <w:vAlign w:val="center"/>
                </w:tcPr>
                <w:p>
                  <w:pPr>
                    <w:snapToGrid w:val="0"/>
                    <w:spacing w:line="240" w:lineRule="atLeast"/>
                    <w:jc w:val="center"/>
                    <w:rPr>
                      <w:color w:val="auto"/>
                      <w:szCs w:val="21"/>
                    </w:rPr>
                  </w:pPr>
                  <w:r>
                    <w:rPr>
                      <w:color w:val="auto"/>
                      <w:szCs w:val="21"/>
                    </w:rPr>
                    <w:drawing>
                      <wp:inline distT="0" distB="0" distL="114300" distR="114300">
                        <wp:extent cx="787400" cy="708660"/>
                        <wp:effectExtent l="0" t="0" r="12700" b="15240"/>
                        <wp:docPr id="5" name="图片 6" descr="HP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descr="HP006"/>
                                <pic:cNvPicPr>
                                  <a:picLocks noChangeAspect="1"/>
                                </pic:cNvPicPr>
                              </pic:nvPicPr>
                              <pic:blipFill>
                                <a:blip r:embed="rId31"/>
                                <a:stretch>
                                  <a:fillRect/>
                                </a:stretch>
                              </pic:blipFill>
                              <pic:spPr>
                                <a:xfrm>
                                  <a:off x="0" y="0"/>
                                  <a:ext cx="787400" cy="708660"/>
                                </a:xfrm>
                                <a:prstGeom prst="rect">
                                  <a:avLst/>
                                </a:prstGeom>
                                <a:noFill/>
                                <a:ln>
                                  <a:noFill/>
                                </a:ln>
                              </pic:spPr>
                            </pic:pic>
                          </a:graphicData>
                        </a:graphic>
                      </wp:inline>
                    </w:drawing>
                  </w:r>
                </w:p>
              </w:tc>
              <w:tc>
                <w:tcPr>
                  <w:tcW w:w="1235"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噪声排放源</w:t>
                  </w:r>
                </w:p>
              </w:tc>
              <w:tc>
                <w:tcPr>
                  <w:tcW w:w="2447" w:type="dxa"/>
                  <w:noWrap w:val="0"/>
                  <w:vAlign w:val="center"/>
                </w:tcPr>
                <w:p>
                  <w:pPr>
                    <w:pStyle w:val="18"/>
                    <w:snapToGrid w:val="0"/>
                    <w:spacing w:before="0" w:beforeAutospacing="0" w:after="0" w:afterAutospacing="0" w:line="240" w:lineRule="atLeast"/>
                    <w:jc w:val="center"/>
                    <w:rPr>
                      <w:rFonts w:ascii="Times New Roman" w:hAnsi="Times New Roman"/>
                      <w:color w:val="auto"/>
                      <w:sz w:val="21"/>
                      <w:szCs w:val="21"/>
                      <w:lang w:val="en-US" w:eastAsia="zh-CN"/>
                    </w:rPr>
                  </w:pPr>
                  <w:r>
                    <w:rPr>
                      <w:rFonts w:ascii="Times New Roman" w:hAnsi="Times New Roman"/>
                      <w:color w:val="auto"/>
                      <w:sz w:val="21"/>
                      <w:szCs w:val="21"/>
                      <w:lang w:val="en-US" w:eastAsia="zh-CN"/>
                    </w:rPr>
                    <w:t>表示噪声向外环境排放</w:t>
                  </w:r>
                </w:p>
              </w:tc>
            </w:tr>
          </w:tbl>
          <w:p>
            <w:pPr>
              <w:pStyle w:val="34"/>
              <w:spacing w:line="240" w:lineRule="auto"/>
              <w:ind w:firstLine="0" w:firstLineChars="0"/>
              <w:jc w:val="center"/>
              <w:rPr>
                <w:rFonts w:cs="Times New Roman"/>
                <w:b/>
                <w:bCs/>
                <w:color w:val="auto"/>
                <w:spacing w:val="6"/>
                <w:sz w:val="21"/>
                <w:szCs w:val="21"/>
              </w:rPr>
            </w:pPr>
            <w:r>
              <w:rPr>
                <w:rFonts w:cs="Times New Roman"/>
                <w:b/>
                <w:bCs/>
                <w:color w:val="auto"/>
                <w:spacing w:val="6"/>
                <w:sz w:val="21"/>
                <w:szCs w:val="21"/>
              </w:rPr>
              <w:t>表</w:t>
            </w:r>
            <w:r>
              <w:rPr>
                <w:rFonts w:hint="eastAsia" w:cs="Times New Roman"/>
                <w:b/>
                <w:bCs/>
                <w:color w:val="auto"/>
                <w:spacing w:val="6"/>
                <w:sz w:val="21"/>
                <w:szCs w:val="21"/>
              </w:rPr>
              <w:t>3</w:t>
            </w:r>
            <w:r>
              <w:rPr>
                <w:rFonts w:hint="eastAsia" w:cs="Times New Roman"/>
                <w:b/>
                <w:bCs/>
                <w:color w:val="auto"/>
                <w:spacing w:val="6"/>
                <w:sz w:val="21"/>
                <w:szCs w:val="21"/>
                <w:lang w:val="en-US" w:eastAsia="zh-CN"/>
              </w:rPr>
              <w:t>6</w:t>
            </w:r>
            <w:r>
              <w:rPr>
                <w:rFonts w:hint="eastAsia" w:cs="Times New Roman"/>
                <w:b/>
                <w:bCs/>
                <w:color w:val="auto"/>
                <w:spacing w:val="6"/>
                <w:sz w:val="21"/>
                <w:szCs w:val="21"/>
              </w:rPr>
              <w:t xml:space="preserve">  </w:t>
            </w:r>
            <w:r>
              <w:rPr>
                <w:rFonts w:cs="Times New Roman"/>
                <w:b/>
                <w:bCs/>
                <w:color w:val="auto"/>
                <w:spacing w:val="6"/>
                <w:sz w:val="21"/>
                <w:szCs w:val="21"/>
              </w:rPr>
              <w:t xml:space="preserve"> 危废间及储存容器标签示例</w:t>
            </w:r>
          </w:p>
          <w:tbl>
            <w:tblPr>
              <w:tblStyle w:val="20"/>
              <w:tblW w:w="689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13" w:type="dxa"/>
                <w:bottom w:w="0" w:type="dxa"/>
                <w:right w:w="0" w:type="dxa"/>
              </w:tblCellMar>
            </w:tblPr>
            <w:tblGrid>
              <w:gridCol w:w="970"/>
              <w:gridCol w:w="1892"/>
              <w:gridCol w:w="403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13" w:type="dxa"/>
                  <w:bottom w:w="0" w:type="dxa"/>
                  <w:right w:w="0" w:type="dxa"/>
                </w:tblCellMar>
              </w:tblPrEx>
              <w:trPr>
                <w:trHeight w:val="445" w:hRule="atLeast"/>
                <w:jc w:val="center"/>
              </w:trPr>
              <w:tc>
                <w:tcPr>
                  <w:tcW w:w="970" w:type="dxa"/>
                  <w:noWrap w:val="0"/>
                  <w:vAlign w:val="center"/>
                </w:tcPr>
                <w:p>
                  <w:pPr>
                    <w:spacing w:line="240" w:lineRule="auto"/>
                    <w:jc w:val="center"/>
                    <w:rPr>
                      <w:color w:val="auto"/>
                      <w:sz w:val="21"/>
                      <w:szCs w:val="18"/>
                    </w:rPr>
                  </w:pPr>
                  <w:r>
                    <w:rPr>
                      <w:color w:val="auto"/>
                      <w:sz w:val="21"/>
                      <w:szCs w:val="18"/>
                    </w:rPr>
                    <w:t>场合</w:t>
                  </w:r>
                </w:p>
              </w:tc>
              <w:tc>
                <w:tcPr>
                  <w:tcW w:w="1892" w:type="dxa"/>
                  <w:noWrap w:val="0"/>
                  <w:vAlign w:val="center"/>
                </w:tcPr>
                <w:p>
                  <w:pPr>
                    <w:spacing w:line="240" w:lineRule="auto"/>
                    <w:jc w:val="center"/>
                    <w:rPr>
                      <w:color w:val="auto"/>
                      <w:sz w:val="21"/>
                      <w:szCs w:val="18"/>
                    </w:rPr>
                  </w:pPr>
                  <w:r>
                    <w:rPr>
                      <w:color w:val="auto"/>
                      <w:sz w:val="21"/>
                      <w:szCs w:val="18"/>
                    </w:rPr>
                    <w:t>样式</w:t>
                  </w:r>
                </w:p>
              </w:tc>
              <w:tc>
                <w:tcPr>
                  <w:tcW w:w="4036" w:type="dxa"/>
                  <w:noWrap w:val="0"/>
                  <w:vAlign w:val="center"/>
                </w:tcPr>
                <w:p>
                  <w:pPr>
                    <w:spacing w:line="240" w:lineRule="auto"/>
                    <w:jc w:val="center"/>
                    <w:rPr>
                      <w:color w:val="auto"/>
                      <w:sz w:val="21"/>
                      <w:szCs w:val="18"/>
                    </w:rPr>
                  </w:pPr>
                  <w:r>
                    <w:rPr>
                      <w:color w:val="auto"/>
                      <w:sz w:val="21"/>
                      <w:szCs w:val="18"/>
                    </w:rPr>
                    <w:t>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13" w:type="dxa"/>
                  <w:bottom w:w="0" w:type="dxa"/>
                  <w:right w:w="0" w:type="dxa"/>
                </w:tblCellMar>
              </w:tblPrEx>
              <w:trPr>
                <w:trHeight w:val="2202" w:hRule="atLeast"/>
                <w:jc w:val="center"/>
              </w:trPr>
              <w:tc>
                <w:tcPr>
                  <w:tcW w:w="970" w:type="dxa"/>
                  <w:noWrap w:val="0"/>
                  <w:vAlign w:val="center"/>
                </w:tcPr>
                <w:p>
                  <w:pPr>
                    <w:spacing w:line="240" w:lineRule="auto"/>
                    <w:jc w:val="center"/>
                    <w:rPr>
                      <w:color w:val="auto"/>
                      <w:sz w:val="21"/>
                      <w:szCs w:val="18"/>
                    </w:rPr>
                  </w:pPr>
                  <w:r>
                    <w:rPr>
                      <w:color w:val="auto"/>
                      <w:sz w:val="21"/>
                      <w:szCs w:val="18"/>
                    </w:rPr>
                    <w:t>室外（粘贴于门上或悬挂）</w:t>
                  </w:r>
                </w:p>
              </w:tc>
              <w:tc>
                <w:tcPr>
                  <w:tcW w:w="1892" w:type="dxa"/>
                  <w:noWrap w:val="0"/>
                  <w:vAlign w:val="center"/>
                </w:tcPr>
                <w:p>
                  <w:pPr>
                    <w:spacing w:line="240" w:lineRule="auto"/>
                    <w:rPr>
                      <w:color w:val="auto"/>
                      <w:sz w:val="21"/>
                      <w:szCs w:val="18"/>
                    </w:rPr>
                  </w:pPr>
                  <w:r>
                    <w:rPr>
                      <w:color w:val="auto"/>
                      <w:sz w:val="21"/>
                      <w:szCs w:val="18"/>
                    </w:rPr>
                    <w:drawing>
                      <wp:anchor distT="0" distB="0" distL="114300" distR="114300" simplePos="0" relativeHeight="251659264" behindDoc="1" locked="0" layoutInCell="1" allowOverlap="1">
                        <wp:simplePos x="0" y="0"/>
                        <wp:positionH relativeFrom="column">
                          <wp:posOffset>228600</wp:posOffset>
                        </wp:positionH>
                        <wp:positionV relativeFrom="paragraph">
                          <wp:posOffset>95250</wp:posOffset>
                        </wp:positionV>
                        <wp:extent cx="1116330" cy="919480"/>
                        <wp:effectExtent l="0" t="0" r="45720" b="33020"/>
                        <wp:wrapTight wrapText="bothSides">
                          <wp:wrapPolygon>
                            <wp:start x="0" y="0"/>
                            <wp:lineTo x="0" y="21033"/>
                            <wp:lineTo x="21379" y="21033"/>
                            <wp:lineTo x="21379" y="0"/>
                            <wp:lineTo x="0" y="0"/>
                          </wp:wrapPolygon>
                        </wp:wrapTight>
                        <wp:docPr id="13" name="图片 193" descr="899553539713847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93" descr="899553539713847074"/>
                                <pic:cNvPicPr>
                                  <a:picLocks noChangeAspect="1"/>
                                </pic:cNvPicPr>
                              </pic:nvPicPr>
                              <pic:blipFill>
                                <a:blip r:embed="rId32"/>
                                <a:stretch>
                                  <a:fillRect/>
                                </a:stretch>
                              </pic:blipFill>
                              <pic:spPr>
                                <a:xfrm>
                                  <a:off x="0" y="0"/>
                                  <a:ext cx="1116330" cy="919480"/>
                                </a:xfrm>
                                <a:prstGeom prst="rect">
                                  <a:avLst/>
                                </a:prstGeom>
                                <a:noFill/>
                                <a:ln>
                                  <a:noFill/>
                                </a:ln>
                              </pic:spPr>
                            </pic:pic>
                          </a:graphicData>
                        </a:graphic>
                      </wp:anchor>
                    </w:drawing>
                  </w:r>
                </w:p>
              </w:tc>
              <w:tc>
                <w:tcPr>
                  <w:tcW w:w="4036" w:type="dxa"/>
                  <w:noWrap w:val="0"/>
                  <w:vAlign w:val="center"/>
                </w:tcPr>
                <w:p>
                  <w:pPr>
                    <w:spacing w:line="240" w:lineRule="auto"/>
                    <w:jc w:val="left"/>
                    <w:rPr>
                      <w:color w:val="auto"/>
                      <w:sz w:val="21"/>
                      <w:szCs w:val="18"/>
                    </w:rPr>
                  </w:pPr>
                  <w:r>
                    <w:rPr>
                      <w:color w:val="auto"/>
                      <w:sz w:val="21"/>
                      <w:szCs w:val="18"/>
                    </w:rPr>
                    <w:t>1、危险废物标签尺寸颜色：</w:t>
                  </w:r>
                </w:p>
                <w:p>
                  <w:pPr>
                    <w:spacing w:line="240" w:lineRule="auto"/>
                    <w:jc w:val="left"/>
                    <w:rPr>
                      <w:color w:val="auto"/>
                      <w:kern w:val="0"/>
                      <w:sz w:val="21"/>
                      <w:szCs w:val="18"/>
                    </w:rPr>
                  </w:pPr>
                  <w:r>
                    <w:rPr>
                      <w:color w:val="auto"/>
                      <w:sz w:val="21"/>
                      <w:szCs w:val="18"/>
                    </w:rPr>
                    <w:t>尺寸：40</w:t>
                  </w:r>
                  <w:r>
                    <w:rPr>
                      <w:color w:val="auto"/>
                      <w:kern w:val="0"/>
                      <w:sz w:val="21"/>
                      <w:szCs w:val="18"/>
                    </w:rPr>
                    <w:t>×40cm</w:t>
                  </w:r>
                </w:p>
                <w:p>
                  <w:pPr>
                    <w:spacing w:line="240" w:lineRule="auto"/>
                    <w:jc w:val="left"/>
                    <w:rPr>
                      <w:color w:val="auto"/>
                      <w:kern w:val="0"/>
                      <w:sz w:val="21"/>
                      <w:szCs w:val="18"/>
                    </w:rPr>
                  </w:pPr>
                  <w:r>
                    <w:rPr>
                      <w:color w:val="auto"/>
                      <w:kern w:val="0"/>
                      <w:sz w:val="21"/>
                      <w:szCs w:val="18"/>
                    </w:rPr>
                    <w:t>颜色：背景为黄色，图形为黑色</w:t>
                  </w:r>
                </w:p>
                <w:p>
                  <w:pPr>
                    <w:numPr>
                      <w:ilvl w:val="0"/>
                      <w:numId w:val="1"/>
                    </w:numPr>
                    <w:spacing w:line="240" w:lineRule="auto"/>
                    <w:jc w:val="left"/>
                    <w:rPr>
                      <w:color w:val="auto"/>
                      <w:kern w:val="0"/>
                      <w:sz w:val="21"/>
                      <w:szCs w:val="18"/>
                    </w:rPr>
                  </w:pPr>
                  <w:r>
                    <w:rPr>
                      <w:color w:val="auto"/>
                      <w:kern w:val="0"/>
                      <w:sz w:val="21"/>
                      <w:szCs w:val="18"/>
                    </w:rPr>
                    <w:t>警告标志外檐2.5cm</w:t>
                  </w:r>
                </w:p>
                <w:p>
                  <w:pPr>
                    <w:numPr>
                      <w:ilvl w:val="0"/>
                      <w:numId w:val="1"/>
                    </w:numPr>
                    <w:spacing w:line="240" w:lineRule="auto"/>
                    <w:jc w:val="left"/>
                    <w:rPr>
                      <w:color w:val="auto"/>
                      <w:sz w:val="21"/>
                      <w:szCs w:val="18"/>
                    </w:rPr>
                  </w:pPr>
                  <w:r>
                    <w:rPr>
                      <w:color w:val="auto"/>
                      <w:kern w:val="0"/>
                      <w:sz w:val="21"/>
                      <w:szCs w:val="18"/>
                    </w:rPr>
                    <w:t>适用于：危险废物贮存设施为房屋的，建有围墙或防护栅栏，且高度高于100cm时；部分危险废物利用、处置场所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13" w:type="dxa"/>
                  <w:bottom w:w="0" w:type="dxa"/>
                  <w:right w:w="0" w:type="dxa"/>
                </w:tblCellMar>
              </w:tblPrEx>
              <w:trPr>
                <w:trHeight w:val="1922" w:hRule="atLeast"/>
                <w:jc w:val="center"/>
              </w:trPr>
              <w:tc>
                <w:tcPr>
                  <w:tcW w:w="970" w:type="dxa"/>
                  <w:noWrap w:val="0"/>
                  <w:vAlign w:val="center"/>
                </w:tcPr>
                <w:p>
                  <w:pPr>
                    <w:spacing w:line="240" w:lineRule="auto"/>
                    <w:jc w:val="center"/>
                    <w:rPr>
                      <w:color w:val="auto"/>
                      <w:sz w:val="21"/>
                      <w:szCs w:val="18"/>
                    </w:rPr>
                  </w:pPr>
                  <w:r>
                    <w:rPr>
                      <w:color w:val="auto"/>
                      <w:sz w:val="21"/>
                      <w:szCs w:val="18"/>
                    </w:rPr>
                    <w:t>粘贴于危险废物储存容器</w:t>
                  </w:r>
                </w:p>
              </w:tc>
              <w:tc>
                <w:tcPr>
                  <w:tcW w:w="1892" w:type="dxa"/>
                  <w:noWrap w:val="0"/>
                  <w:vAlign w:val="center"/>
                </w:tcPr>
                <w:p>
                  <w:pPr>
                    <w:spacing w:line="240" w:lineRule="auto"/>
                    <w:jc w:val="center"/>
                    <w:rPr>
                      <w:color w:val="auto"/>
                      <w:sz w:val="21"/>
                      <w:szCs w:val="18"/>
                    </w:rPr>
                  </w:pPr>
                  <w:r>
                    <w:rPr>
                      <w:color w:val="auto"/>
                      <w:sz w:val="21"/>
                      <w:szCs w:val="18"/>
                    </w:rPr>
                    <w:drawing>
                      <wp:inline distT="0" distB="0" distL="114300" distR="114300">
                        <wp:extent cx="1111885" cy="942340"/>
                        <wp:effectExtent l="0" t="0" r="12065" b="10160"/>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33"/>
                                <a:stretch>
                                  <a:fillRect/>
                                </a:stretch>
                              </pic:blipFill>
                              <pic:spPr>
                                <a:xfrm>
                                  <a:off x="0" y="0"/>
                                  <a:ext cx="1111885" cy="942340"/>
                                </a:xfrm>
                                <a:prstGeom prst="rect">
                                  <a:avLst/>
                                </a:prstGeom>
                                <a:noFill/>
                                <a:ln>
                                  <a:noFill/>
                                </a:ln>
                              </pic:spPr>
                            </pic:pic>
                          </a:graphicData>
                        </a:graphic>
                      </wp:inline>
                    </w:drawing>
                  </w:r>
                </w:p>
              </w:tc>
              <w:tc>
                <w:tcPr>
                  <w:tcW w:w="4036" w:type="dxa"/>
                  <w:noWrap w:val="0"/>
                  <w:vAlign w:val="center"/>
                </w:tcPr>
                <w:p>
                  <w:pPr>
                    <w:spacing w:line="240" w:lineRule="auto"/>
                    <w:jc w:val="left"/>
                    <w:rPr>
                      <w:color w:val="auto"/>
                      <w:sz w:val="21"/>
                      <w:szCs w:val="18"/>
                    </w:rPr>
                  </w:pPr>
                  <w:r>
                    <w:rPr>
                      <w:color w:val="auto"/>
                      <w:sz w:val="21"/>
                      <w:szCs w:val="18"/>
                    </w:rPr>
                    <w:t>1、危险废物标签尺寸颜色：</w:t>
                  </w:r>
                </w:p>
                <w:p>
                  <w:pPr>
                    <w:spacing w:line="240" w:lineRule="auto"/>
                    <w:jc w:val="left"/>
                    <w:rPr>
                      <w:color w:val="auto"/>
                      <w:kern w:val="0"/>
                      <w:sz w:val="21"/>
                      <w:szCs w:val="18"/>
                    </w:rPr>
                  </w:pPr>
                  <w:r>
                    <w:rPr>
                      <w:color w:val="auto"/>
                      <w:sz w:val="21"/>
                      <w:szCs w:val="18"/>
                    </w:rPr>
                    <w:t>尺寸：20</w:t>
                  </w:r>
                  <w:r>
                    <w:rPr>
                      <w:color w:val="auto"/>
                      <w:kern w:val="0"/>
                      <w:sz w:val="21"/>
                      <w:szCs w:val="18"/>
                    </w:rPr>
                    <w:t>×20cm</w:t>
                  </w:r>
                </w:p>
                <w:p>
                  <w:pPr>
                    <w:spacing w:line="240" w:lineRule="auto"/>
                    <w:jc w:val="left"/>
                    <w:rPr>
                      <w:color w:val="auto"/>
                      <w:kern w:val="0"/>
                      <w:sz w:val="21"/>
                      <w:szCs w:val="18"/>
                    </w:rPr>
                  </w:pPr>
                  <w:r>
                    <w:rPr>
                      <w:color w:val="auto"/>
                      <w:kern w:val="0"/>
                      <w:sz w:val="21"/>
                      <w:szCs w:val="18"/>
                    </w:rPr>
                    <w:t>底色：醒目的橘黄色</w:t>
                  </w:r>
                </w:p>
                <w:p>
                  <w:pPr>
                    <w:spacing w:line="240" w:lineRule="auto"/>
                    <w:jc w:val="left"/>
                    <w:rPr>
                      <w:color w:val="auto"/>
                      <w:kern w:val="0"/>
                      <w:sz w:val="21"/>
                      <w:szCs w:val="18"/>
                    </w:rPr>
                  </w:pPr>
                  <w:r>
                    <w:rPr>
                      <w:color w:val="auto"/>
                      <w:kern w:val="0"/>
                      <w:sz w:val="21"/>
                      <w:szCs w:val="18"/>
                    </w:rPr>
                    <w:t>字体：黑体字</w:t>
                  </w:r>
                </w:p>
                <w:p>
                  <w:pPr>
                    <w:spacing w:line="240" w:lineRule="auto"/>
                    <w:jc w:val="left"/>
                    <w:rPr>
                      <w:color w:val="auto"/>
                      <w:kern w:val="0"/>
                      <w:sz w:val="21"/>
                      <w:szCs w:val="18"/>
                    </w:rPr>
                  </w:pPr>
                  <w:r>
                    <w:rPr>
                      <w:color w:val="auto"/>
                      <w:kern w:val="0"/>
                      <w:sz w:val="21"/>
                      <w:szCs w:val="18"/>
                    </w:rPr>
                    <w:t>字体颜色：黑色</w:t>
                  </w:r>
                </w:p>
                <w:p>
                  <w:pPr>
                    <w:spacing w:line="240" w:lineRule="auto"/>
                    <w:jc w:val="left"/>
                    <w:rPr>
                      <w:color w:val="auto"/>
                      <w:sz w:val="21"/>
                      <w:szCs w:val="18"/>
                    </w:rPr>
                  </w:pPr>
                  <w:r>
                    <w:rPr>
                      <w:color w:val="auto"/>
                      <w:kern w:val="0"/>
                      <w:sz w:val="21"/>
                      <w:szCs w:val="18"/>
                    </w:rPr>
                    <w:t>2、危险类别：按危险废物种类选择</w:t>
                  </w:r>
                </w:p>
              </w:tc>
            </w:tr>
          </w:tbl>
          <w:p>
            <w:pPr>
              <w:bidi w:val="0"/>
              <w:rPr>
                <w:rFonts w:hint="default" w:ascii="Times New Roman" w:hAnsi="Times New Roman" w:cs="Times New Roman"/>
                <w:color w:val="auto"/>
                <w:sz w:val="21"/>
                <w:szCs w:val="21"/>
              </w:rPr>
            </w:pPr>
          </w:p>
        </w:tc>
      </w:tr>
    </w:tbl>
    <w:p>
      <w:pPr>
        <w:spacing w:before="100" w:beforeAutospacing="1" w:after="100" w:afterAutospacing="1" w:line="240" w:lineRule="auto"/>
        <w:ind w:firstLine="0" w:firstLineChars="0"/>
        <w:jc w:val="center"/>
        <w:outlineLvl w:val="0"/>
        <w:rPr>
          <w:rFonts w:hint="default" w:ascii="Times New Roman" w:hAnsi="Times New Roman" w:eastAsia="黑体" w:cs="Times New Roman"/>
          <w:color w:val="auto"/>
          <w:sz w:val="30"/>
          <w:szCs w:val="30"/>
        </w:rPr>
      </w:pPr>
      <w:r>
        <w:rPr>
          <w:rFonts w:hint="default" w:ascii="Times New Roman" w:hAnsi="Times New Roman" w:cs="Times New Roman"/>
          <w:color w:val="auto"/>
        </w:rPr>
        <w:br w:type="page"/>
      </w:r>
      <w:r>
        <w:rPr>
          <w:rFonts w:hint="default" w:ascii="Times New Roman" w:hAnsi="Times New Roman" w:eastAsia="黑体" w:cs="Times New Roman"/>
          <w:color w:val="auto"/>
          <w:sz w:val="30"/>
          <w:szCs w:val="30"/>
        </w:rPr>
        <w:t>六、结论</w:t>
      </w:r>
    </w:p>
    <w:tbl>
      <w:tblPr>
        <w:tblStyle w:val="2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5000" w:type="pct"/>
            <w:tcBorders>
              <w:top w:val="single" w:color="auto" w:sz="8" w:space="0"/>
              <w:left w:val="single" w:color="auto" w:sz="8" w:space="0"/>
              <w:bottom w:val="single" w:color="auto" w:sz="8" w:space="0"/>
              <w:right w:val="single" w:color="auto" w:sz="8" w:space="0"/>
            </w:tcBorders>
          </w:tcPr>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本项目项目选址符合当地规划要求；项目符合国家及地方产业政策要求；项目运营过程中采取了完善的环保措施，可确保各类污染物达标排放；在各类环保设施稳定运行前提下，项目的实施不会对周围环境产生明显影响，同时项目采取了严格的风险防范措施，环境风险可控。</w:t>
            </w:r>
          </w:p>
          <w:p>
            <w:pPr>
              <w:autoSpaceDE w:val="0"/>
              <w:spacing w:line="360" w:lineRule="auto"/>
              <w:ind w:firstLine="420"/>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综上，从环境保护角度分析，</w:t>
            </w:r>
            <w:r>
              <w:rPr>
                <w:rFonts w:hint="eastAsia" w:cs="Times New Roman"/>
                <w:color w:val="auto"/>
                <w:sz w:val="21"/>
                <w:szCs w:val="21"/>
                <w:lang w:eastAsia="zh-CN"/>
              </w:rPr>
              <w:t>外墙保温用锚栓生产项目</w:t>
            </w:r>
            <w:r>
              <w:rPr>
                <w:rFonts w:hint="default" w:ascii="Times New Roman" w:hAnsi="Times New Roman" w:cs="Times New Roman"/>
                <w:color w:val="auto"/>
                <w:sz w:val="21"/>
                <w:szCs w:val="21"/>
              </w:rPr>
              <w:t>环境影响可行。</w:t>
            </w: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420"/>
              <w:rPr>
                <w:rFonts w:hint="default" w:ascii="Times New Roman" w:hAnsi="Times New Roman" w:cs="Times New Roman"/>
                <w:color w:val="auto"/>
                <w:sz w:val="21"/>
                <w:szCs w:val="21"/>
              </w:rPr>
            </w:pPr>
          </w:p>
          <w:p>
            <w:pPr>
              <w:spacing w:line="360" w:lineRule="auto"/>
              <w:ind w:firstLine="0" w:firstLineChars="0"/>
              <w:rPr>
                <w:rFonts w:hint="default" w:ascii="Times New Roman" w:hAnsi="Times New Roman" w:cs="Times New Roman"/>
                <w:color w:val="auto"/>
              </w:rPr>
            </w:pPr>
          </w:p>
        </w:tc>
      </w:tr>
    </w:tbl>
    <w:p>
      <w:pPr>
        <w:widowControl/>
        <w:spacing w:line="240" w:lineRule="auto"/>
        <w:ind w:firstLine="0" w:firstLineChars="0"/>
        <w:jc w:val="left"/>
        <w:rPr>
          <w:rFonts w:hint="default" w:ascii="Times New Roman" w:hAnsi="Times New Roman" w:cs="Times New Roman"/>
          <w:color w:val="auto"/>
          <w:sz w:val="21"/>
          <w:szCs w:val="21"/>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type="lines" w:linePitch="312" w:charSpace="0"/>
        </w:sectPr>
      </w:pPr>
    </w:p>
    <w:p>
      <w:pPr>
        <w:widowControl/>
        <w:adjustRightInd w:val="0"/>
        <w:snapToGrid w:val="0"/>
        <w:spacing w:line="360" w:lineRule="auto"/>
        <w:ind w:firstLine="0" w:firstLineChars="0"/>
        <w:jc w:val="left"/>
        <w:outlineLvl w:val="0"/>
        <w:rPr>
          <w:rFonts w:hint="default" w:ascii="Times New Roman" w:hAnsi="Times New Roman" w:eastAsia="黑体" w:cs="Times New Roman"/>
          <w:color w:val="auto"/>
          <w:kern w:val="0"/>
          <w:sz w:val="32"/>
          <w:szCs w:val="32"/>
        </w:rPr>
      </w:pPr>
      <w:r>
        <w:rPr>
          <w:rFonts w:hint="default" w:ascii="Times New Roman" w:hAnsi="Times New Roman" w:eastAsia="黑体" w:cs="Times New Roman"/>
          <w:color w:val="auto"/>
          <w:kern w:val="0"/>
          <w:sz w:val="32"/>
          <w:szCs w:val="32"/>
        </w:rPr>
        <w:t>附表</w:t>
      </w:r>
      <w:bookmarkStart w:id="4" w:name="_Hlk83642654"/>
      <w:bookmarkEnd w:id="4"/>
    </w:p>
    <w:p>
      <w:pPr>
        <w:widowControl/>
        <w:autoSpaceDE w:val="0"/>
        <w:adjustRightInd w:val="0"/>
        <w:spacing w:line="360" w:lineRule="auto"/>
        <w:ind w:firstLine="0" w:firstLineChars="0"/>
        <w:jc w:val="center"/>
        <w:outlineLvl w:val="0"/>
        <w:rPr>
          <w:rFonts w:hint="default" w:ascii="Times New Roman" w:hAnsi="Times New Roman" w:cs="Times New Roman"/>
          <w:color w:val="auto"/>
          <w:kern w:val="0"/>
          <w:sz w:val="38"/>
          <w:szCs w:val="38"/>
        </w:rPr>
      </w:pPr>
      <w:r>
        <w:rPr>
          <w:rFonts w:hint="default" w:ascii="Times New Roman" w:hAnsi="Times New Roman" w:cs="Times New Roman"/>
          <w:color w:val="auto"/>
          <w:kern w:val="0"/>
          <w:sz w:val="38"/>
          <w:szCs w:val="38"/>
        </w:rPr>
        <w:t>建设项目污染物排放量汇总表</w:t>
      </w:r>
    </w:p>
    <w:tbl>
      <w:tblPr>
        <w:tblStyle w:val="20"/>
        <w:tblW w:w="4998" w:type="pct"/>
        <w:tblInd w:w="8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530"/>
        <w:gridCol w:w="1368"/>
        <w:gridCol w:w="1647"/>
        <w:gridCol w:w="1372"/>
        <w:gridCol w:w="1507"/>
        <w:gridCol w:w="1507"/>
        <w:gridCol w:w="1707"/>
        <w:gridCol w:w="1531"/>
        <w:gridCol w:w="13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tcBorders>
              <w:top w:val="single" w:color="auto" w:sz="4" w:space="0"/>
              <w:left w:val="single" w:color="auto" w:sz="4" w:space="0"/>
              <w:bottom w:val="single" w:color="auto" w:sz="4" w:space="0"/>
              <w:right w:val="single" w:color="auto" w:sz="4" w:space="0"/>
            </w:tcBorders>
            <w:tcMar>
              <w:top w:w="0" w:type="dxa"/>
              <w:left w:w="28" w:type="dxa"/>
              <w:bottom w:w="0" w:type="dxa"/>
              <w:right w:w="28" w:type="dxa"/>
            </w:tcMar>
            <w:vAlign w:val="center"/>
            <mc:AlternateContent>
              <mc:Choice Requires="wpsCustomData">
                <wpsCustomData:diagonals>
                  <wpsCustomData:diagonal from="10000" to="30000">
                    <wpsCustomData:border w:val="single" w:color="auto" w:sz="4" w:space="0"/>
                  </wpsCustomData:diagonal>
                </wpsCustomData:diagonals>
              </mc:Choice>
            </mc:AlternateContent>
          </w:tcPr>
          <w:p>
            <w:pPr>
              <w:adjustRightInd w:val="0"/>
              <w:snapToGrid w:val="0"/>
              <w:spacing w:line="240" w:lineRule="auto"/>
              <w:ind w:right="204" w:firstLine="0" w:firstLineChars="0"/>
              <w:jc w:val="both"/>
              <w:rPr>
                <w:rFonts w:hint="default" w:ascii="Times New Roman" w:hAnsi="Times New Roman" w:eastAsia="黑体" w:cs="Times New Roman"/>
                <w:color w:val="auto"/>
                <w:spacing w:val="-6"/>
                <w:kern w:val="21"/>
                <w:sz w:val="21"/>
                <w:szCs w:val="21"/>
              </w:rPr>
            </w:pPr>
          </w:p>
          <w:p>
            <w:pPr>
              <w:adjustRightInd w:val="0"/>
              <w:snapToGrid w:val="0"/>
              <w:spacing w:line="240" w:lineRule="auto"/>
              <w:ind w:firstLine="0" w:firstLineChars="0"/>
              <w:jc w:val="left"/>
              <w:rPr>
                <w:rFonts w:hint="default" w:ascii="Times New Roman" w:hAnsi="Times New Roman" w:eastAsia="黑体" w:cs="Times New Roman"/>
                <w:color w:val="auto"/>
                <w:spacing w:val="-6"/>
                <w:kern w:val="21"/>
                <w:sz w:val="21"/>
                <w:szCs w:val="21"/>
              </w:rPr>
            </w:pPr>
          </w:p>
          <w:p>
            <w:pPr>
              <w:adjustRightInd w:val="0"/>
              <w:snapToGrid w:val="0"/>
              <w:spacing w:line="240" w:lineRule="auto"/>
              <w:ind w:firstLine="198" w:firstLineChars="100"/>
              <w:jc w:val="left"/>
              <mc:AlternateContent>
                <mc:Choice Requires="wpsCustomData">
                  <wpsCustomData:diagonalParaType/>
                </mc:Choice>
              </mc:AlternateContent>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分类</w:t>
            </w:r>
          </w:p>
          <w:p>
            <w:pPr>
              <w:adjustRightInd w:val="0"/>
              <w:snapToGrid w:val="0"/>
              <w:spacing w:line="240" w:lineRule="auto"/>
              <w:jc w:val="left"/>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项目</w:t>
            </w:r>
          </w:p>
        </w:tc>
        <w:tc>
          <w:tcPr>
            <w:tcW w:w="507"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污染物名称</w:t>
            </w:r>
          </w:p>
        </w:tc>
        <w:tc>
          <w:tcPr>
            <w:tcW w:w="610"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现有工程</w:t>
            </w:r>
          </w:p>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排放量(固体废物产生量)</w:t>
            </w:r>
            <w:r>
              <w:rPr>
                <w:rFonts w:hint="default" w:ascii="Times New Roman" w:hAnsi="Times New Roman" w:cs="Times New Roman"/>
                <w:color w:val="auto"/>
                <w:spacing w:val="-6"/>
                <w:kern w:val="21"/>
                <w:sz w:val="21"/>
                <w:szCs w:val="21"/>
              </w:rPr>
              <w:t>①</w:t>
            </w:r>
          </w:p>
        </w:tc>
        <w:tc>
          <w:tcPr>
            <w:tcW w:w="508"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现有工程</w:t>
            </w:r>
          </w:p>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许可排放量</w:t>
            </w:r>
          </w:p>
          <w:p>
            <w:pPr>
              <w:adjustRightInd w:val="0"/>
              <w:snapToGrid w:val="0"/>
              <w:spacing w:line="256"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cs="Times New Roman"/>
                <w:color w:val="auto"/>
                <w:spacing w:val="-6"/>
                <w:kern w:val="21"/>
                <w:sz w:val="21"/>
                <w:szCs w:val="21"/>
              </w:rPr>
              <w:t>②</w:t>
            </w:r>
          </w:p>
        </w:tc>
        <w:tc>
          <w:tcPr>
            <w:tcW w:w="558"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在建工程</w:t>
            </w:r>
          </w:p>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排放量(固体废物产生量)</w:t>
            </w:r>
            <w:r>
              <w:rPr>
                <w:rFonts w:hint="default" w:ascii="Times New Roman" w:hAnsi="Times New Roman" w:cs="Times New Roman"/>
                <w:color w:val="auto"/>
                <w:spacing w:val="-6"/>
                <w:kern w:val="21"/>
                <w:sz w:val="21"/>
                <w:szCs w:val="21"/>
              </w:rPr>
              <w:t>③</w:t>
            </w:r>
          </w:p>
        </w:tc>
        <w:tc>
          <w:tcPr>
            <w:tcW w:w="558"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本项目</w:t>
            </w:r>
          </w:p>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排放量(固体废物产生量)</w:t>
            </w:r>
            <w:r>
              <w:rPr>
                <w:rFonts w:hint="default" w:ascii="Times New Roman" w:hAnsi="Times New Roman" w:cs="Times New Roman"/>
                <w:color w:val="auto"/>
                <w:spacing w:val="-6"/>
                <w:kern w:val="21"/>
                <w:sz w:val="21"/>
                <w:szCs w:val="21"/>
              </w:rPr>
              <w:t>④</w:t>
            </w:r>
          </w:p>
        </w:tc>
        <w:tc>
          <w:tcPr>
            <w:tcW w:w="632"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16"/>
                <w:kern w:val="21"/>
                <w:sz w:val="21"/>
                <w:szCs w:val="21"/>
              </w:rPr>
            </w:pPr>
            <w:r>
              <w:rPr>
                <w:rFonts w:hint="default" w:ascii="Times New Roman" w:hAnsi="Times New Roman" w:eastAsia="黑体" w:cs="Times New Roman"/>
                <w:color w:val="auto"/>
                <w:spacing w:val="-16"/>
                <w:kern w:val="21"/>
                <w:sz w:val="21"/>
                <w:szCs w:val="21"/>
              </w:rPr>
              <w:t>以新带老削减量</w:t>
            </w:r>
          </w:p>
          <w:p>
            <w:pPr>
              <w:adjustRightInd w:val="0"/>
              <w:snapToGrid w:val="0"/>
              <w:spacing w:line="240" w:lineRule="auto"/>
              <w:ind w:firstLine="0" w:firstLineChars="0"/>
              <w:jc w:val="center"/>
              <w:rPr>
                <w:rFonts w:hint="default" w:ascii="Times New Roman" w:hAnsi="Times New Roman" w:eastAsia="黑体" w:cs="Times New Roman"/>
                <w:color w:val="auto"/>
                <w:spacing w:val="-16"/>
                <w:kern w:val="21"/>
                <w:sz w:val="21"/>
                <w:szCs w:val="21"/>
              </w:rPr>
            </w:pPr>
            <w:r>
              <w:rPr>
                <w:rFonts w:hint="default" w:ascii="Times New Roman" w:hAnsi="Times New Roman" w:eastAsia="黑体" w:cs="Times New Roman"/>
                <w:color w:val="auto"/>
                <w:spacing w:val="-16"/>
                <w:kern w:val="21"/>
                <w:sz w:val="21"/>
                <w:szCs w:val="21"/>
              </w:rPr>
              <w:t>(新建项目不填)</w:t>
            </w:r>
            <w:r>
              <w:rPr>
                <w:rFonts w:hint="default" w:ascii="Times New Roman" w:hAnsi="Times New Roman" w:cs="Times New Roman"/>
                <w:color w:val="auto"/>
                <w:spacing w:val="-16"/>
                <w:kern w:val="21"/>
                <w:sz w:val="21"/>
                <w:szCs w:val="21"/>
              </w:rPr>
              <w:t>⑤</w:t>
            </w:r>
          </w:p>
        </w:tc>
        <w:tc>
          <w:tcPr>
            <w:tcW w:w="567" w:type="pct"/>
            <w:tcBorders>
              <w:top w:val="single" w:color="auto" w:sz="8" w:space="0"/>
              <w:left w:val="single" w:color="auto" w:sz="4" w:space="0"/>
              <w:bottom w:val="single" w:color="auto" w:sz="4" w:space="0"/>
              <w:right w:val="single" w:color="auto" w:sz="4"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16"/>
                <w:kern w:val="21"/>
                <w:sz w:val="21"/>
                <w:szCs w:val="21"/>
              </w:rPr>
            </w:pPr>
            <w:r>
              <w:rPr>
                <w:rFonts w:hint="default" w:ascii="Times New Roman" w:hAnsi="Times New Roman" w:eastAsia="黑体" w:cs="Times New Roman"/>
                <w:color w:val="auto"/>
                <w:spacing w:val="-16"/>
                <w:kern w:val="21"/>
                <w:sz w:val="21"/>
                <w:szCs w:val="21"/>
              </w:rPr>
              <w:t>本项目建成后</w:t>
            </w:r>
          </w:p>
          <w:p>
            <w:pPr>
              <w:adjustRightInd w:val="0"/>
              <w:snapToGrid w:val="0"/>
              <w:spacing w:line="240" w:lineRule="auto"/>
              <w:ind w:firstLine="0" w:firstLineChars="0"/>
              <w:jc w:val="center"/>
              <w:rPr>
                <w:rFonts w:hint="default" w:ascii="Times New Roman" w:hAnsi="Times New Roman" w:eastAsia="黑体" w:cs="Times New Roman"/>
                <w:color w:val="auto"/>
                <w:spacing w:val="-16"/>
                <w:kern w:val="21"/>
                <w:sz w:val="21"/>
                <w:szCs w:val="21"/>
              </w:rPr>
            </w:pPr>
            <w:r>
              <w:rPr>
                <w:rFonts w:hint="default" w:ascii="Times New Roman" w:hAnsi="Times New Roman" w:eastAsia="黑体" w:cs="Times New Roman"/>
                <w:color w:val="auto"/>
                <w:spacing w:val="-16"/>
                <w:kern w:val="21"/>
                <w:sz w:val="21"/>
                <w:szCs w:val="21"/>
              </w:rPr>
              <w:t>全厂排放量(固体废物产生量)</w:t>
            </w:r>
            <w:r>
              <w:rPr>
                <w:rFonts w:hint="default" w:ascii="Times New Roman" w:hAnsi="Times New Roman" w:cs="Times New Roman"/>
                <w:color w:val="auto"/>
                <w:spacing w:val="-16"/>
                <w:kern w:val="21"/>
                <w:sz w:val="21"/>
                <w:szCs w:val="21"/>
              </w:rPr>
              <w:t>⑥</w:t>
            </w:r>
          </w:p>
        </w:tc>
        <w:tc>
          <w:tcPr>
            <w:tcW w:w="488" w:type="pct"/>
            <w:tcBorders>
              <w:top w:val="single" w:color="auto" w:sz="8" w:space="0"/>
              <w:left w:val="single" w:color="auto" w:sz="4" w:space="0"/>
              <w:bottom w:val="single" w:color="auto" w:sz="4" w:space="0"/>
              <w:right w:val="single" w:color="auto" w:sz="8" w:space="0"/>
            </w:tcBorders>
            <w:tcMar>
              <w:top w:w="0" w:type="dxa"/>
              <w:left w:w="28" w:type="dxa"/>
              <w:bottom w:w="0" w:type="dxa"/>
              <w:right w:w="28" w:type="dxa"/>
            </w:tcMar>
            <w:vAlign w:val="center"/>
          </w:tcPr>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eastAsia="黑体" w:cs="Times New Roman"/>
                <w:color w:val="auto"/>
                <w:spacing w:val="-6"/>
                <w:kern w:val="21"/>
                <w:sz w:val="21"/>
                <w:szCs w:val="21"/>
              </w:rPr>
              <w:t>变化量</w:t>
            </w:r>
          </w:p>
          <w:p>
            <w:pPr>
              <w:adjustRightInd w:val="0"/>
              <w:snapToGrid w:val="0"/>
              <w:spacing w:line="240" w:lineRule="auto"/>
              <w:ind w:firstLine="0" w:firstLineChars="0"/>
              <w:jc w:val="center"/>
              <w:rPr>
                <w:rFonts w:hint="default" w:ascii="Times New Roman" w:hAnsi="Times New Roman" w:eastAsia="黑体" w:cs="Times New Roman"/>
                <w:color w:val="auto"/>
                <w:spacing w:val="-6"/>
                <w:kern w:val="21"/>
                <w:sz w:val="21"/>
                <w:szCs w:val="21"/>
              </w:rPr>
            </w:pPr>
            <w:r>
              <w:rPr>
                <w:rFonts w:hint="default" w:ascii="Times New Roman" w:hAnsi="Times New Roman" w:cs="Times New Roman"/>
                <w:color w:val="auto"/>
                <w:spacing w:val="-6"/>
                <w:kern w:val="21"/>
                <w:sz w:val="21"/>
                <w:szCs w:val="21"/>
              </w:rPr>
              <w:t>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restart"/>
            <w:tcBorders>
              <w:top w:val="single" w:color="auto" w:sz="4" w:space="0"/>
              <w:left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废气</w:t>
            </w: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SO</w:t>
            </w:r>
            <w:r>
              <w:rPr>
                <w:rFonts w:hint="default" w:ascii="Times New Roman" w:hAnsi="Times New Roman" w:cs="Times New Roman"/>
                <w:color w:val="auto"/>
                <w:sz w:val="21"/>
                <w:szCs w:val="21"/>
                <w:vertAlign w:val="subscript"/>
              </w:rPr>
              <w:t>2</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val="en-US"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eastAsia"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c>
          <w:tcPr>
            <w:tcW w:w="488" w:type="pct"/>
            <w:tcBorders>
              <w:top w:val="single" w:color="auto" w:sz="4" w:space="0"/>
              <w:left w:val="single" w:color="auto" w:sz="4" w:space="0"/>
              <w:bottom w:val="single" w:color="auto" w:sz="4" w:space="0"/>
              <w:right w:val="single" w:color="auto" w:sz="8"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continue"/>
            <w:tcBorders>
              <w:left w:val="single" w:color="auto" w:sz="8"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NO</w:t>
            </w:r>
            <w:r>
              <w:rPr>
                <w:rFonts w:hint="default" w:ascii="Times New Roman" w:hAnsi="Times New Roman" w:cs="Times New Roman"/>
                <w:color w:val="auto"/>
                <w:sz w:val="21"/>
                <w:szCs w:val="21"/>
                <w:vertAlign w:val="subscript"/>
              </w:rPr>
              <w:t>x</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c>
          <w:tcPr>
            <w:tcW w:w="488" w:type="pct"/>
            <w:tcBorders>
              <w:top w:val="single" w:color="auto" w:sz="4" w:space="0"/>
              <w:left w:val="single" w:color="auto" w:sz="4" w:space="0"/>
              <w:bottom w:val="single" w:color="auto" w:sz="4" w:space="0"/>
              <w:right w:val="single" w:color="auto" w:sz="8"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continue"/>
            <w:tcBorders>
              <w:left w:val="single" w:color="auto" w:sz="8"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颗粒物</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cs="Times New Roman"/>
                <w:color w:val="auto"/>
                <w:sz w:val="21"/>
                <w:szCs w:val="21"/>
              </w:rPr>
            </w:pPr>
            <w:r>
              <w:rPr>
                <w:rFonts w:hint="eastAsia" w:cs="Times New Roman"/>
                <w:color w:val="auto"/>
                <w:kern w:val="21"/>
                <w:sz w:val="21"/>
                <w:szCs w:val="21"/>
                <w:lang w:val="en-US" w:eastAsia="zh-CN"/>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c>
          <w:tcPr>
            <w:tcW w:w="488" w:type="pct"/>
            <w:tcBorders>
              <w:top w:val="single" w:color="auto" w:sz="4" w:space="0"/>
              <w:left w:val="single" w:color="auto" w:sz="4" w:space="0"/>
              <w:bottom w:val="single" w:color="auto" w:sz="4" w:space="0"/>
              <w:right w:val="single" w:color="auto" w:sz="8" w:space="0"/>
            </w:tcBorders>
            <w:vAlign w:val="center"/>
          </w:tcPr>
          <w:p>
            <w:pPr>
              <w:widowControl/>
              <w:autoSpaceDE w:val="0"/>
              <w:spacing w:line="280" w:lineRule="exact"/>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continue"/>
            <w:tcBorders>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eastAsia"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非甲烷总烃</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1"/>
                <w:sz w:val="21"/>
                <w:szCs w:val="21"/>
                <w:lang w:val="en-US" w:eastAsia="zh-CN"/>
              </w:rPr>
              <w:t>0.2505t/a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widowControl/>
              <w:autoSpaceDE w:val="0"/>
              <w:spacing w:line="280" w:lineRule="exact"/>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0.2505t/a</w:t>
            </w:r>
          </w:p>
        </w:tc>
        <w:tc>
          <w:tcPr>
            <w:tcW w:w="488" w:type="pct"/>
            <w:tcBorders>
              <w:top w:val="single" w:color="auto" w:sz="4" w:space="0"/>
              <w:left w:val="single" w:color="auto" w:sz="4" w:space="0"/>
              <w:bottom w:val="single" w:color="auto" w:sz="4" w:space="0"/>
              <w:right w:val="single" w:color="auto" w:sz="8" w:space="0"/>
            </w:tcBorders>
            <w:vAlign w:val="center"/>
          </w:tcPr>
          <w:p>
            <w:pPr>
              <w:widowControl/>
              <w:autoSpaceDE w:val="0"/>
              <w:spacing w:line="280" w:lineRule="exact"/>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+0.2505t/a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restart"/>
            <w:tcBorders>
              <w:top w:val="single" w:color="auto" w:sz="4"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废水</w:t>
            </w: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COD</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SS</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BOD</w:t>
            </w:r>
            <w:r>
              <w:rPr>
                <w:rFonts w:hint="default" w:ascii="Times New Roman" w:hAnsi="Times New Roman" w:cs="Times New Roman"/>
                <w:color w:val="auto"/>
                <w:sz w:val="21"/>
                <w:szCs w:val="21"/>
                <w:vertAlign w:val="subscript"/>
              </w:rPr>
              <w:t>5</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sz w:val="21"/>
                <w:szCs w:val="21"/>
              </w:rPr>
              <w:t>氨氮</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val="en-US"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restart"/>
            <w:tcBorders>
              <w:top w:val="single" w:color="auto" w:sz="4" w:space="0"/>
              <w:left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一般工业</w:t>
            </w:r>
          </w:p>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固体废物</w:t>
            </w: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eastAsia="宋体" w:cs="Times New Roman"/>
                <w:color w:val="auto"/>
                <w:kern w:val="21"/>
                <w:sz w:val="21"/>
                <w:szCs w:val="21"/>
                <w:lang w:val="en-US" w:eastAsia="zh-CN"/>
              </w:rPr>
            </w:pPr>
            <w:r>
              <w:rPr>
                <w:rFonts w:hint="default" w:ascii="Times New Roman" w:hAnsi="Times New Roman" w:cs="Times New Roman"/>
                <w:color w:val="auto"/>
                <w:kern w:val="21"/>
                <w:sz w:val="21"/>
                <w:szCs w:val="21"/>
                <w:lang w:val="en-US" w:eastAsia="zh-CN"/>
              </w:rPr>
              <w:t>废</w:t>
            </w:r>
            <w:r>
              <w:rPr>
                <w:rFonts w:hint="eastAsia" w:cs="Times New Roman"/>
                <w:color w:val="auto"/>
                <w:kern w:val="21"/>
                <w:sz w:val="21"/>
                <w:szCs w:val="21"/>
                <w:lang w:val="en-US" w:eastAsia="zh-CN"/>
              </w:rPr>
              <w:t>包装材料</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0.5</w:t>
            </w:r>
            <w:r>
              <w:rPr>
                <w:rFonts w:hint="eastAsia" w:cs="Times New Roman"/>
                <w:color w:val="auto"/>
                <w:kern w:val="21"/>
                <w:sz w:val="21"/>
                <w:szCs w:val="21"/>
                <w:lang w:val="en-US" w:eastAsia="zh-CN"/>
              </w:rPr>
              <w:t>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0.5</w:t>
            </w:r>
            <w:r>
              <w:rPr>
                <w:rFonts w:hint="eastAsia" w:cs="Times New Roman"/>
                <w:color w:val="auto"/>
                <w:kern w:val="21"/>
                <w:sz w:val="21"/>
                <w:szCs w:val="21"/>
                <w:lang w:val="en-US" w:eastAsia="zh-CN"/>
              </w:rPr>
              <w:t>t/a</w:t>
            </w:r>
          </w:p>
        </w:tc>
        <w:tc>
          <w:tcPr>
            <w:tcW w:w="488" w:type="pct"/>
            <w:tcBorders>
              <w:top w:val="single" w:color="auto" w:sz="4" w:space="0"/>
              <w:left w:val="single" w:color="auto" w:sz="4" w:space="0"/>
              <w:bottom w:val="single" w:color="auto" w:sz="4" w:space="0"/>
              <w:right w:val="single" w:color="auto" w:sz="8"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+0.5</w:t>
            </w:r>
            <w:r>
              <w:rPr>
                <w:rFonts w:hint="eastAsia" w:cs="Times New Roman"/>
                <w:color w:val="auto"/>
                <w:kern w:val="21"/>
                <w:sz w:val="21"/>
                <w:szCs w:val="21"/>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 w:hRule="atLeast"/>
        </w:trPr>
        <w:tc>
          <w:tcPr>
            <w:tcW w:w="567" w:type="pct"/>
            <w:vMerge w:val="continue"/>
            <w:tcBorders>
              <w:left w:val="single" w:color="auto" w:sz="8"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eastAsia"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不合格品</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sz w:val="21"/>
                <w:szCs w:val="21"/>
                <w:lang w:val="en-US" w:eastAsia="zh-CN"/>
              </w:rPr>
              <w:t>0.1</w:t>
            </w:r>
            <w:r>
              <w:rPr>
                <w:rFonts w:hint="eastAsia" w:cs="Times New Roman"/>
                <w:color w:val="auto"/>
                <w:kern w:val="21"/>
                <w:sz w:val="21"/>
                <w:szCs w:val="21"/>
                <w:lang w:val="en-US" w:eastAsia="zh-CN"/>
              </w:rPr>
              <w:t>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sz w:val="21"/>
                <w:szCs w:val="21"/>
                <w:lang w:val="en-US" w:eastAsia="zh-CN"/>
              </w:rPr>
              <w:t>0.1</w:t>
            </w:r>
            <w:r>
              <w:rPr>
                <w:rFonts w:hint="eastAsia" w:cs="Times New Roman"/>
                <w:color w:val="auto"/>
                <w:kern w:val="21"/>
                <w:sz w:val="21"/>
                <w:szCs w:val="21"/>
                <w:lang w:val="en-US" w:eastAsia="zh-CN"/>
              </w:rPr>
              <w:t>t/a</w:t>
            </w:r>
          </w:p>
        </w:tc>
        <w:tc>
          <w:tcPr>
            <w:tcW w:w="488" w:type="pct"/>
            <w:tcBorders>
              <w:top w:val="single" w:color="auto" w:sz="4" w:space="0"/>
              <w:left w:val="single" w:color="auto" w:sz="4" w:space="0"/>
              <w:bottom w:val="single" w:color="auto" w:sz="4" w:space="0"/>
              <w:right w:val="single" w:color="auto" w:sz="8" w:space="0"/>
            </w:tcBorders>
            <w:vAlign w:val="top"/>
          </w:tcPr>
          <w:p>
            <w:pPr>
              <w:bidi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w:t>
            </w:r>
            <w:r>
              <w:rPr>
                <w:rFonts w:hint="eastAsia" w:cs="Times New Roman"/>
                <w:sz w:val="21"/>
                <w:szCs w:val="21"/>
                <w:lang w:val="en-US" w:eastAsia="zh-CN"/>
              </w:rPr>
              <w:t>0.</w:t>
            </w:r>
            <w:r>
              <w:rPr>
                <w:rFonts w:hint="eastAsia" w:ascii="Times New Roman" w:hAnsi="Times New Roman" w:eastAsia="宋体" w:cs="Times New Roman"/>
                <w:sz w:val="21"/>
                <w:szCs w:val="21"/>
                <w:lang w:val="en-US" w:eastAsia="zh-CN"/>
              </w:rPr>
              <w:t>1</w:t>
            </w:r>
            <w:r>
              <w:rPr>
                <w:rFonts w:hint="eastAsia" w:cs="Times New Roman"/>
                <w:color w:val="auto"/>
                <w:kern w:val="21"/>
                <w:sz w:val="21"/>
                <w:szCs w:val="21"/>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continue"/>
            <w:tcBorders>
              <w:left w:val="single" w:color="auto" w:sz="8"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cs="Times New Roman"/>
                <w:color w:val="auto"/>
                <w:kern w:val="21"/>
                <w:sz w:val="21"/>
                <w:szCs w:val="21"/>
                <w:lang w:val="en-US" w:eastAsia="zh-CN"/>
              </w:rPr>
            </w:pPr>
            <w:r>
              <w:rPr>
                <w:rFonts w:hint="eastAsia" w:cs="Times New Roman"/>
                <w:color w:val="auto"/>
                <w:kern w:val="21"/>
                <w:sz w:val="21"/>
                <w:szCs w:val="21"/>
                <w:lang w:val="en-US" w:eastAsia="zh-CN"/>
              </w:rPr>
              <w:t>废钢筋</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sz w:val="21"/>
                <w:szCs w:val="21"/>
                <w:lang w:val="en-US" w:eastAsia="zh-CN"/>
              </w:rPr>
              <w:t>0.1</w:t>
            </w:r>
            <w:r>
              <w:rPr>
                <w:rFonts w:hint="eastAsia" w:cs="Times New Roman"/>
                <w:color w:val="auto"/>
                <w:kern w:val="21"/>
                <w:sz w:val="21"/>
                <w:szCs w:val="21"/>
                <w:lang w:val="en-US" w:eastAsia="zh-CN"/>
              </w:rPr>
              <w:t>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sz w:val="21"/>
                <w:szCs w:val="21"/>
                <w:lang w:val="en-US" w:eastAsia="zh-CN"/>
              </w:rPr>
              <w:t>0.1</w:t>
            </w:r>
            <w:r>
              <w:rPr>
                <w:rFonts w:hint="eastAsia" w:cs="Times New Roman"/>
                <w:color w:val="auto"/>
                <w:kern w:val="21"/>
                <w:sz w:val="21"/>
                <w:szCs w:val="21"/>
                <w:lang w:val="en-US" w:eastAsia="zh-CN"/>
              </w:rPr>
              <w:t>t/a</w:t>
            </w:r>
          </w:p>
        </w:tc>
        <w:tc>
          <w:tcPr>
            <w:tcW w:w="488" w:type="pct"/>
            <w:tcBorders>
              <w:top w:val="single" w:color="auto" w:sz="4" w:space="0"/>
              <w:left w:val="single" w:color="auto" w:sz="4" w:space="0"/>
              <w:bottom w:val="single" w:color="auto" w:sz="4" w:space="0"/>
              <w:right w:val="single" w:color="auto" w:sz="8" w:space="0"/>
            </w:tcBorders>
            <w:vAlign w:val="top"/>
          </w:tcPr>
          <w:p>
            <w:pPr>
              <w:bidi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ascii="Times New Roman" w:hAnsi="Times New Roman" w:eastAsia="宋体" w:cs="Times New Roman"/>
                <w:sz w:val="21"/>
                <w:szCs w:val="21"/>
                <w:lang w:val="en-US" w:eastAsia="zh-CN"/>
              </w:rPr>
              <w:t>+</w:t>
            </w:r>
            <w:r>
              <w:rPr>
                <w:rFonts w:hint="eastAsia" w:cs="Times New Roman"/>
                <w:sz w:val="21"/>
                <w:szCs w:val="21"/>
                <w:lang w:val="en-US" w:eastAsia="zh-CN"/>
              </w:rPr>
              <w:t>0.</w:t>
            </w:r>
            <w:r>
              <w:rPr>
                <w:rFonts w:hint="eastAsia" w:ascii="Times New Roman" w:hAnsi="Times New Roman" w:eastAsia="宋体" w:cs="Times New Roman"/>
                <w:sz w:val="21"/>
                <w:szCs w:val="21"/>
                <w:lang w:val="en-US" w:eastAsia="zh-CN"/>
              </w:rPr>
              <w:t>1</w:t>
            </w:r>
            <w:r>
              <w:rPr>
                <w:rFonts w:hint="eastAsia" w:cs="Times New Roman"/>
                <w:color w:val="auto"/>
                <w:kern w:val="21"/>
                <w:sz w:val="21"/>
                <w:szCs w:val="21"/>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67" w:type="pct"/>
            <w:vMerge w:val="restart"/>
            <w:tcBorders>
              <w:top w:val="single" w:color="auto" w:sz="4" w:space="0"/>
              <w:left w:val="single" w:color="auto" w:sz="8"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危险废物</w:t>
            </w: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废润滑油</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val="en-US" w:eastAsia="zh-CN"/>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04t/a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04t/a</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04t/a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eastAsia" w:ascii="Times New Roman" w:hAnsi="Times New Roman" w:eastAsia="宋体" w:cs="Times New Roman"/>
                <w:color w:val="auto"/>
                <w:kern w:val="21"/>
                <w:sz w:val="21"/>
                <w:szCs w:val="21"/>
                <w:lang w:eastAsia="zh-CN"/>
              </w:rPr>
            </w:pPr>
            <w:r>
              <w:rPr>
                <w:rFonts w:hint="default" w:ascii="Times New Roman" w:hAnsi="Times New Roman" w:cs="Times New Roman"/>
                <w:color w:val="auto"/>
                <w:kern w:val="21"/>
                <w:sz w:val="21"/>
                <w:szCs w:val="21"/>
              </w:rPr>
              <w:t>废</w:t>
            </w:r>
            <w:r>
              <w:rPr>
                <w:rFonts w:hint="eastAsia" w:cs="Times New Roman"/>
                <w:color w:val="auto"/>
                <w:kern w:val="21"/>
                <w:sz w:val="21"/>
                <w:szCs w:val="21"/>
                <w:lang w:val="en-US" w:eastAsia="zh-CN"/>
              </w:rPr>
              <w:t>过滤棉</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eastAsia" w:ascii="Times New Roman" w:hAnsi="Times New Roman" w:eastAsia="宋体" w:cs="Times New Roman"/>
                <w:color w:val="auto"/>
                <w:kern w:val="21"/>
                <w:sz w:val="21"/>
                <w:szCs w:val="21"/>
                <w:lang w:eastAsia="zh-CN"/>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1t/a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1t/a</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+0.</w:t>
            </w:r>
            <w:r>
              <w:rPr>
                <w:rFonts w:hint="eastAsia" w:cs="Times New Roman"/>
                <w:color w:val="auto"/>
                <w:kern w:val="21"/>
                <w:sz w:val="21"/>
                <w:szCs w:val="21"/>
                <w:lang w:val="en-US" w:eastAsia="zh-CN"/>
              </w:rPr>
              <w:t>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eastAsia" w:ascii="Times New Roman" w:hAnsi="Times New Roman" w:eastAsia="宋体" w:cs="Times New Roman"/>
                <w:color w:val="auto"/>
                <w:kern w:val="21"/>
                <w:sz w:val="21"/>
                <w:szCs w:val="21"/>
                <w:lang w:val="en-US" w:eastAsia="zh-CN"/>
              </w:rPr>
            </w:pPr>
            <w:r>
              <w:rPr>
                <w:rFonts w:hint="eastAsia" w:cs="Times New Roman"/>
                <w:color w:val="auto"/>
                <w:kern w:val="21"/>
                <w:sz w:val="21"/>
                <w:szCs w:val="21"/>
                <w:lang w:val="en-US" w:eastAsia="zh-CN"/>
              </w:rPr>
              <w:t>废活性炭</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eastAsia" w:ascii="Times New Roman" w:hAnsi="Times New Roman" w:eastAsia="宋体" w:cs="Times New Roman"/>
                <w:color w:val="auto"/>
                <w:kern w:val="21"/>
                <w:sz w:val="21"/>
                <w:szCs w:val="21"/>
                <w:lang w:val="en-US" w:eastAsia="zh-CN" w:bidi="ar-SA"/>
              </w:rPr>
            </w:pPr>
            <w:r>
              <w:rPr>
                <w:rFonts w:hint="eastAsia" w:cs="Times New Roman"/>
                <w:sz w:val="21"/>
                <w:szCs w:val="21"/>
                <w:lang w:val="en-US" w:eastAsia="zh-CN"/>
              </w:rPr>
              <w:t>1</w:t>
            </w:r>
            <w:r>
              <w:rPr>
                <w:rFonts w:hint="eastAsia" w:cs="Times New Roman"/>
                <w:color w:val="auto"/>
                <w:kern w:val="21"/>
                <w:sz w:val="21"/>
                <w:szCs w:val="21"/>
                <w:lang w:val="en-US" w:eastAsia="zh-CN"/>
              </w:rPr>
              <w:t>t/a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sz w:val="21"/>
                <w:szCs w:val="21"/>
                <w:lang w:val="en-US" w:eastAsia="zh-CN"/>
              </w:rPr>
              <w:t>1</w:t>
            </w:r>
            <w:r>
              <w:rPr>
                <w:rFonts w:hint="eastAsia" w:cs="Times New Roman"/>
                <w:color w:val="auto"/>
                <w:kern w:val="21"/>
                <w:sz w:val="21"/>
                <w:szCs w:val="21"/>
                <w:lang w:val="en-US" w:eastAsia="zh-CN"/>
              </w:rPr>
              <w:t>t/a</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w:t>
            </w:r>
            <w:r>
              <w:rPr>
                <w:rFonts w:hint="eastAsia" w:cs="Times New Roman"/>
                <w:sz w:val="21"/>
                <w:szCs w:val="21"/>
                <w:lang w:val="en-US" w:eastAsia="zh-CN"/>
              </w:rPr>
              <w:t>1</w:t>
            </w:r>
            <w:r>
              <w:rPr>
                <w:rFonts w:hint="eastAsia" w:cs="Times New Roman"/>
                <w:color w:val="auto"/>
                <w:kern w:val="21"/>
                <w:sz w:val="21"/>
                <w:szCs w:val="21"/>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4"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废催化剂</w:t>
            </w:r>
          </w:p>
        </w:tc>
        <w:tc>
          <w:tcPr>
            <w:tcW w:w="6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4" w:space="0"/>
              <w:right w:val="single" w:color="auto" w:sz="4" w:space="0"/>
            </w:tcBorders>
            <w:vAlign w:val="top"/>
          </w:tcPr>
          <w:p>
            <w:pPr>
              <w:bidi w:val="0"/>
              <w:spacing w:line="240" w:lineRule="auto"/>
              <w:ind w:firstLine="0" w:firstLineChars="0"/>
              <w:jc w:val="center"/>
              <w:rPr>
                <w:rFonts w:hint="default" w:ascii="Times New Roman" w:hAnsi="Times New Roman" w:eastAsia="宋体" w:cs="Times New Roman"/>
                <w:color w:val="auto"/>
                <w:kern w:val="21"/>
                <w:sz w:val="21"/>
                <w:szCs w:val="21"/>
                <w:lang w:val="en-US" w:eastAsia="zh-CN" w:bidi="ar-SA"/>
              </w:rPr>
            </w:pPr>
            <w:r>
              <w:rPr>
                <w:rFonts w:hint="eastAsia" w:ascii="Times New Roman" w:hAnsi="Times New Roman" w:eastAsia="宋体" w:cs="Times New Roman"/>
                <w:sz w:val="21"/>
                <w:szCs w:val="21"/>
                <w:lang w:val="en-US" w:eastAsia="zh-CN"/>
              </w:rPr>
              <w:t>0.01</w:t>
            </w:r>
            <w:r>
              <w:rPr>
                <w:rFonts w:hint="eastAsia" w:cs="Times New Roman"/>
                <w:color w:val="auto"/>
                <w:kern w:val="21"/>
                <w:sz w:val="21"/>
                <w:szCs w:val="21"/>
                <w:lang w:val="en-US" w:eastAsia="zh-CN"/>
              </w:rPr>
              <w:t>t/2a</w:t>
            </w:r>
          </w:p>
        </w:tc>
        <w:tc>
          <w:tcPr>
            <w:tcW w:w="63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0.01</w:t>
            </w:r>
            <w:r>
              <w:rPr>
                <w:rFonts w:hint="eastAsia" w:cs="Times New Roman"/>
                <w:color w:val="auto"/>
                <w:kern w:val="21"/>
                <w:sz w:val="21"/>
                <w:szCs w:val="21"/>
                <w:lang w:val="en-US" w:eastAsia="zh-CN"/>
              </w:rPr>
              <w:t>t/2a</w:t>
            </w:r>
          </w:p>
        </w:tc>
        <w:tc>
          <w:tcPr>
            <w:tcW w:w="488" w:type="pct"/>
            <w:tcBorders>
              <w:top w:val="single" w:color="auto" w:sz="4" w:space="0"/>
              <w:left w:val="single" w:color="auto" w:sz="4" w:space="0"/>
              <w:bottom w:val="single" w:color="auto" w:sz="4"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w:t>
            </w:r>
            <w:r>
              <w:rPr>
                <w:rFonts w:hint="eastAsia" w:ascii="Times New Roman" w:hAnsi="Times New Roman" w:eastAsia="宋体" w:cs="Times New Roman"/>
                <w:sz w:val="21"/>
                <w:szCs w:val="21"/>
                <w:lang w:val="en-US" w:eastAsia="zh-CN"/>
              </w:rPr>
              <w:t>0.01</w:t>
            </w:r>
            <w:r>
              <w:rPr>
                <w:rFonts w:hint="eastAsia" w:cs="Times New Roman"/>
                <w:color w:val="auto"/>
                <w:kern w:val="21"/>
                <w:sz w:val="21"/>
                <w:szCs w:val="21"/>
                <w:lang w:val="en-US" w:eastAsia="zh-CN"/>
              </w:rPr>
              <w:t>t/2a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0" w:type="auto"/>
            <w:vMerge w:val="continue"/>
            <w:tcBorders>
              <w:top w:val="single" w:color="auto" w:sz="4" w:space="0"/>
              <w:left w:val="single" w:color="auto" w:sz="8" w:space="0"/>
              <w:bottom w:val="single" w:color="auto" w:sz="4" w:space="0"/>
              <w:right w:val="single" w:color="auto" w:sz="4" w:space="0"/>
            </w:tcBorders>
            <w:vAlign w:val="center"/>
          </w:tcPr>
          <w:p>
            <w:pPr>
              <w:widowControl/>
              <w:spacing w:line="240" w:lineRule="auto"/>
              <w:ind w:firstLine="0" w:firstLineChars="0"/>
              <w:jc w:val="left"/>
              <w:rPr>
                <w:rFonts w:hint="default" w:ascii="Times New Roman" w:hAnsi="Times New Roman" w:cs="Times New Roman"/>
                <w:color w:val="auto"/>
                <w:kern w:val="21"/>
                <w:sz w:val="21"/>
                <w:szCs w:val="21"/>
              </w:rPr>
            </w:pPr>
          </w:p>
        </w:tc>
        <w:tc>
          <w:tcPr>
            <w:tcW w:w="507" w:type="pct"/>
            <w:tcBorders>
              <w:top w:val="single" w:color="auto" w:sz="4" w:space="0"/>
              <w:left w:val="single" w:color="auto" w:sz="4" w:space="0"/>
              <w:bottom w:val="single" w:color="auto" w:sz="8" w:space="0"/>
              <w:right w:val="single" w:color="auto" w:sz="4" w:space="0"/>
            </w:tcBorders>
            <w:vAlign w:val="center"/>
          </w:tcPr>
          <w:p>
            <w:pPr>
              <w:autoSpaceDE w:val="0"/>
              <w:adjustRightInd w:val="0"/>
              <w:snapToGrid w:val="0"/>
              <w:spacing w:line="280" w:lineRule="exact"/>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废油桶</w:t>
            </w:r>
          </w:p>
        </w:tc>
        <w:tc>
          <w:tcPr>
            <w:tcW w:w="610"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eastAsia="宋体" w:cs="Times New Roman"/>
                <w:color w:val="auto"/>
                <w:kern w:val="21"/>
                <w:sz w:val="21"/>
                <w:szCs w:val="21"/>
                <w:lang w:eastAsia="zh-CN"/>
              </w:rPr>
            </w:pPr>
            <w:r>
              <w:rPr>
                <w:rFonts w:hint="eastAsia" w:cs="Times New Roman"/>
                <w:color w:val="auto"/>
                <w:kern w:val="21"/>
                <w:sz w:val="21"/>
                <w:szCs w:val="21"/>
                <w:lang w:val="en-US" w:eastAsia="zh-CN"/>
              </w:rPr>
              <w:t>/</w:t>
            </w:r>
          </w:p>
        </w:tc>
        <w:tc>
          <w:tcPr>
            <w:tcW w:w="508"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58"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0.05</w:t>
            </w:r>
            <w:r>
              <w:rPr>
                <w:rFonts w:hint="eastAsia" w:cs="Times New Roman"/>
                <w:color w:val="auto"/>
                <w:kern w:val="21"/>
                <w:sz w:val="21"/>
                <w:szCs w:val="21"/>
                <w:lang w:val="en-US" w:eastAsia="zh-CN"/>
              </w:rPr>
              <w:t>t/a</w:t>
            </w:r>
          </w:p>
        </w:tc>
        <w:tc>
          <w:tcPr>
            <w:tcW w:w="632"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cs="Times New Roman"/>
                <w:color w:val="auto"/>
                <w:kern w:val="21"/>
                <w:sz w:val="21"/>
                <w:szCs w:val="21"/>
                <w:lang w:val="en-US" w:eastAsia="zh-CN"/>
              </w:rPr>
              <w:t>/</w:t>
            </w:r>
          </w:p>
        </w:tc>
        <w:tc>
          <w:tcPr>
            <w:tcW w:w="567" w:type="pct"/>
            <w:tcBorders>
              <w:top w:val="single" w:color="auto" w:sz="4" w:space="0"/>
              <w:left w:val="single" w:color="auto" w:sz="4" w:space="0"/>
              <w:bottom w:val="single" w:color="auto" w:sz="8" w:space="0"/>
              <w:right w:val="single" w:color="auto" w:sz="4"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eastAsia" w:ascii="Times New Roman" w:hAnsi="Times New Roman" w:eastAsia="宋体" w:cs="Times New Roman"/>
                <w:sz w:val="21"/>
                <w:szCs w:val="21"/>
                <w:lang w:val="en-US" w:eastAsia="zh-CN"/>
              </w:rPr>
              <w:t>0.0</w:t>
            </w:r>
            <w:r>
              <w:rPr>
                <w:rFonts w:hint="eastAsia" w:cs="Times New Roman"/>
                <w:sz w:val="21"/>
                <w:szCs w:val="21"/>
                <w:lang w:val="en-US" w:eastAsia="zh-CN"/>
              </w:rPr>
              <w:t>5</w:t>
            </w:r>
            <w:r>
              <w:rPr>
                <w:rFonts w:hint="eastAsia" w:cs="Times New Roman"/>
                <w:color w:val="auto"/>
                <w:kern w:val="21"/>
                <w:sz w:val="21"/>
                <w:szCs w:val="21"/>
                <w:lang w:val="en-US" w:eastAsia="zh-CN"/>
              </w:rPr>
              <w:t>t/a</w:t>
            </w:r>
          </w:p>
        </w:tc>
        <w:tc>
          <w:tcPr>
            <w:tcW w:w="488" w:type="pct"/>
            <w:tcBorders>
              <w:top w:val="single" w:color="auto" w:sz="4" w:space="0"/>
              <w:left w:val="single" w:color="auto" w:sz="4" w:space="0"/>
              <w:bottom w:val="single" w:color="auto" w:sz="8" w:space="0"/>
              <w:right w:val="single" w:color="auto" w:sz="8" w:space="0"/>
            </w:tcBorders>
            <w:vAlign w:val="center"/>
          </w:tcPr>
          <w:p>
            <w:pPr>
              <w:adjustRightInd w:val="0"/>
              <w:snapToGrid w:val="0"/>
              <w:spacing w:line="240" w:lineRule="auto"/>
              <w:ind w:firstLine="0" w:firstLineChars="0"/>
              <w:jc w:val="center"/>
              <w:rPr>
                <w:rFonts w:hint="default" w:ascii="Times New Roman" w:hAnsi="Times New Roman" w:cs="Times New Roman"/>
                <w:color w:val="auto"/>
                <w:kern w:val="21"/>
                <w:sz w:val="21"/>
                <w:szCs w:val="21"/>
              </w:rPr>
            </w:pPr>
            <w:r>
              <w:rPr>
                <w:rFonts w:hint="default" w:ascii="Times New Roman" w:hAnsi="Times New Roman" w:cs="Times New Roman"/>
                <w:color w:val="auto"/>
                <w:kern w:val="21"/>
                <w:sz w:val="21"/>
                <w:szCs w:val="21"/>
              </w:rPr>
              <w:t>+</w:t>
            </w:r>
            <w:r>
              <w:rPr>
                <w:rFonts w:hint="eastAsia" w:ascii="Times New Roman" w:hAnsi="Times New Roman" w:eastAsia="宋体" w:cs="Times New Roman"/>
                <w:sz w:val="21"/>
                <w:szCs w:val="21"/>
                <w:lang w:val="en-US" w:eastAsia="zh-CN"/>
              </w:rPr>
              <w:t>0.05</w:t>
            </w:r>
            <w:r>
              <w:rPr>
                <w:rFonts w:hint="eastAsia" w:cs="Times New Roman"/>
                <w:color w:val="auto"/>
                <w:kern w:val="21"/>
                <w:sz w:val="21"/>
                <w:szCs w:val="21"/>
                <w:lang w:val="en-US" w:eastAsia="zh-CN"/>
              </w:rPr>
              <w:t>t/a</w:t>
            </w:r>
          </w:p>
        </w:tc>
      </w:tr>
    </w:tbl>
    <w:p>
      <w:pPr>
        <w:autoSpaceDE w:val="0"/>
        <w:adjustRightInd w:val="0"/>
        <w:snapToGrid w:val="0"/>
        <w:spacing w:line="360" w:lineRule="auto"/>
        <w:ind w:firstLine="0" w:firstLineChars="0"/>
        <w:jc w:val="left"/>
        <w:rPr>
          <w:rFonts w:hint="default" w:ascii="Times New Roman" w:hAnsi="Times New Roman" w:cs="Times New Roman"/>
          <w:color w:val="auto"/>
        </w:rPr>
      </w:pPr>
      <w:r>
        <w:rPr>
          <w:rFonts w:hint="default" w:ascii="Times New Roman" w:hAnsi="Times New Roman" w:cs="Times New Roman"/>
          <w:color w:val="auto"/>
          <w:kern w:val="21"/>
          <w:sz w:val="21"/>
          <w:szCs w:val="21"/>
        </w:rPr>
        <w:t>注：</w:t>
      </w:r>
      <w:r>
        <w:rPr>
          <w:rFonts w:hint="default" w:ascii="Times New Roman" w:hAnsi="Times New Roman" w:cs="Times New Roman"/>
          <w:color w:val="auto"/>
          <w:kern w:val="0"/>
          <w:sz w:val="21"/>
          <w:szCs w:val="21"/>
        </w:rPr>
        <w:t>⑥</w:t>
      </w:r>
      <w:r>
        <w:rPr>
          <w:rFonts w:hint="default" w:ascii="Times New Roman" w:hAnsi="Times New Roman" w:cs="Times New Roman"/>
          <w:color w:val="auto"/>
          <w:spacing w:val="-16"/>
          <w:kern w:val="21"/>
          <w:sz w:val="21"/>
          <w:szCs w:val="21"/>
        </w:rPr>
        <w:t>=</w:t>
      </w:r>
      <w:r>
        <w:rPr>
          <w:rFonts w:hint="default" w:ascii="Times New Roman" w:hAnsi="Times New Roman" w:cs="Times New Roman"/>
          <w:color w:val="auto"/>
          <w:kern w:val="0"/>
          <w:sz w:val="21"/>
          <w:szCs w:val="21"/>
        </w:rPr>
        <w:t>①</w:t>
      </w:r>
      <w:r>
        <w:rPr>
          <w:rFonts w:hint="default" w:ascii="Times New Roman" w:hAnsi="Times New Roman" w:cs="Times New Roman"/>
          <w:color w:val="auto"/>
          <w:spacing w:val="-6"/>
          <w:kern w:val="21"/>
          <w:sz w:val="21"/>
          <w:szCs w:val="21"/>
        </w:rPr>
        <w:t>+</w:t>
      </w:r>
      <w:r>
        <w:rPr>
          <w:rFonts w:hint="default" w:ascii="Times New Roman" w:hAnsi="Times New Roman" w:cs="Times New Roman"/>
          <w:color w:val="auto"/>
          <w:kern w:val="0"/>
          <w:sz w:val="21"/>
          <w:szCs w:val="21"/>
        </w:rPr>
        <w:t>③</w:t>
      </w:r>
      <w:r>
        <w:rPr>
          <w:rFonts w:hint="default" w:ascii="Times New Roman" w:hAnsi="Times New Roman" w:cs="Times New Roman"/>
          <w:color w:val="auto"/>
          <w:spacing w:val="-6"/>
          <w:kern w:val="21"/>
          <w:sz w:val="21"/>
          <w:szCs w:val="21"/>
        </w:rPr>
        <w:t>+</w:t>
      </w:r>
      <w:r>
        <w:rPr>
          <w:rFonts w:hint="default" w:ascii="Times New Roman" w:hAnsi="Times New Roman" w:cs="Times New Roman"/>
          <w:color w:val="auto"/>
          <w:kern w:val="0"/>
          <w:sz w:val="21"/>
          <w:szCs w:val="21"/>
        </w:rPr>
        <w:t>④</w:t>
      </w:r>
      <w:r>
        <w:rPr>
          <w:rFonts w:hint="default" w:ascii="Times New Roman" w:hAnsi="Times New Roman" w:cs="Times New Roman"/>
          <w:color w:val="auto"/>
          <w:spacing w:val="-6"/>
          <w:kern w:val="21"/>
          <w:sz w:val="21"/>
          <w:szCs w:val="21"/>
        </w:rPr>
        <w:t>-</w:t>
      </w:r>
      <w:r>
        <w:rPr>
          <w:rFonts w:hint="default" w:ascii="Times New Roman" w:hAnsi="Times New Roman" w:cs="Times New Roman"/>
          <w:color w:val="auto"/>
          <w:kern w:val="0"/>
          <w:sz w:val="21"/>
          <w:szCs w:val="21"/>
        </w:rPr>
        <w:t>⑤</w:t>
      </w:r>
      <w:r>
        <w:rPr>
          <w:rFonts w:hint="default" w:ascii="Times New Roman" w:hAnsi="Times New Roman" w:cs="Times New Roman"/>
          <w:color w:val="auto"/>
          <w:spacing w:val="-16"/>
          <w:kern w:val="21"/>
          <w:sz w:val="21"/>
          <w:szCs w:val="21"/>
        </w:rPr>
        <w:t>；</w:t>
      </w:r>
      <w:r>
        <w:rPr>
          <w:rFonts w:hint="default" w:ascii="Times New Roman" w:hAnsi="Times New Roman" w:cs="Times New Roman"/>
          <w:color w:val="auto"/>
          <w:kern w:val="0"/>
          <w:sz w:val="21"/>
          <w:szCs w:val="21"/>
        </w:rPr>
        <w:t>⑦</w:t>
      </w:r>
      <w:r>
        <w:rPr>
          <w:rFonts w:hint="default" w:ascii="Times New Roman" w:hAnsi="Times New Roman" w:cs="Times New Roman"/>
          <w:color w:val="auto"/>
          <w:spacing w:val="-6"/>
          <w:kern w:val="21"/>
          <w:sz w:val="21"/>
          <w:szCs w:val="21"/>
        </w:rPr>
        <w:t>=</w:t>
      </w:r>
      <w:r>
        <w:rPr>
          <w:rFonts w:hint="default" w:ascii="Times New Roman" w:hAnsi="Times New Roman" w:cs="Times New Roman"/>
          <w:color w:val="auto"/>
          <w:kern w:val="0"/>
          <w:sz w:val="21"/>
          <w:szCs w:val="21"/>
        </w:rPr>
        <w:t>⑥</w:t>
      </w:r>
      <w:r>
        <w:rPr>
          <w:rFonts w:hint="default" w:ascii="Times New Roman" w:hAnsi="Times New Roman" w:cs="Times New Roman"/>
          <w:color w:val="auto"/>
          <w:spacing w:val="-16"/>
          <w:kern w:val="21"/>
          <w:sz w:val="21"/>
          <w:szCs w:val="21"/>
        </w:rPr>
        <w:t>-</w:t>
      </w:r>
      <w:r>
        <w:rPr>
          <w:rFonts w:hint="default" w:ascii="Times New Roman" w:hAnsi="Times New Roman" w:cs="Times New Roman"/>
          <w:color w:val="auto"/>
          <w:kern w:val="0"/>
          <w:sz w:val="21"/>
          <w:szCs w:val="21"/>
        </w:rPr>
        <w:t>①</w:t>
      </w:r>
      <w:r>
        <w:rPr>
          <w:rFonts w:hint="default" w:ascii="Times New Roman" w:hAnsi="Times New Roman" w:cs="Times New Roman"/>
          <w:color w:val="auto"/>
          <w:spacing w:val="-6"/>
          <w:kern w:val="21"/>
          <w:sz w:val="21"/>
          <w:szCs w:val="21"/>
        </w:rPr>
        <w:t>；单位：t/a</w:t>
      </w:r>
    </w:p>
    <w:sectPr>
      <w:headerReference r:id="rId12" w:type="default"/>
      <w:footerReference r:id="rId13" w:type="default"/>
      <w:pgSz w:w="16838" w:h="11906" w:orient="landscape"/>
      <w:pgMar w:top="1531" w:right="1701" w:bottom="1531" w:left="1701" w:header="851" w:footer="850" w:gutter="0"/>
      <w:pgBorders>
        <w:top w:val="none" w:sz="0" w:space="0"/>
        <w:left w:val="none" w:sz="0" w:space="0"/>
        <w:bottom w:val="none" w:sz="0" w:space="0"/>
        <w:right w:val="none" w:sz="0" w:space="0"/>
      </w:pgBorders>
      <w:cols w:space="0" w:num="1"/>
      <w:rtlGutter w:val="0"/>
      <w:docGrid w:type="lines" w:linePitch="327"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Microsoft YaHei UI">
    <w:altName w:val="Segoe Print"/>
    <w:panose1 w:val="00000000000000000000"/>
    <w:charset w:val="01"/>
    <w:family w:val="swiss"/>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MingLiU">
    <w:panose1 w:val="02020500000000000000"/>
    <w:charset w:val="88"/>
    <w:family w:val="auto"/>
    <w:pitch w:val="default"/>
    <w:sig w:usb0="A00002FF" w:usb1="28CFFCFA" w:usb2="00000016" w:usb3="00000000" w:csb0="00100001" w:csb1="0000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spacing w:line="240" w:lineRule="auto"/>
      <w:ind w:firstLine="0" w:firstLineChars="0"/>
      <w:jc w:val="left"/>
      <w:rPr>
        <w:rFonts w:ascii="Times New Roman" w:hAnsi="Times New Roman" w:eastAsia="宋体" w:cs="Times New Roman"/>
        <w:kern w:val="0"/>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spacing w:line="240" w:lineRule="auto"/>
      <w:ind w:firstLine="0" w:firstLineChars="0"/>
      <w:jc w:val="left"/>
      <w:rPr>
        <w:rFonts w:ascii="Times New Roman" w:hAnsi="Times New Roman" w:eastAsia="宋体" w:cs="Times New Roman"/>
        <w:kern w:val="0"/>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spacing w:line="240" w:lineRule="auto"/>
      <w:ind w:firstLine="0" w:firstLineChars="0"/>
      <w:jc w:val="left"/>
      <w:rPr>
        <w:rFonts w:ascii="Times New Roman" w:hAnsi="Times New Roman" w:eastAsia="宋体" w:cs="Times New Roman"/>
        <w:kern w:val="0"/>
        <w:sz w:val="18"/>
        <w:szCs w:val="18"/>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eastAsia="宋体" w:cs="Times New Roman"/>
        <w:kern w:val="2"/>
        <w:sz w:val="24"/>
        <w:szCs w:val="24"/>
        <w:lang w:val="en-US" w:eastAsia="zh-CN" w:bidi="ar-SA"/>
      </w:rPr>
      <w:id w:val="1274975343"/>
      <w:docPartObj>
        <w:docPartGallery w:val="autotext"/>
      </w:docPartObj>
    </w:sdtPr>
    <w:sdtEndPr>
      <w:rPr>
        <w:rFonts w:ascii="Times New Roman" w:hAnsi="Times New Roman" w:eastAsia="宋体" w:cs="Times New Roman"/>
        <w:kern w:val="0"/>
        <w:sz w:val="18"/>
        <w:szCs w:val="18"/>
        <w:lang w:val="en-US" w:eastAsia="zh-CN" w:bidi="ar-SA"/>
      </w:rPr>
    </w:sdtEndPr>
    <w:sdtContent>
      <w:p>
        <w:pPr>
          <w:widowControl w:val="0"/>
          <w:snapToGrid w:val="0"/>
          <w:spacing w:line="240" w:lineRule="auto"/>
          <w:ind w:left="480" w:firstLine="0" w:firstLineChars="0"/>
          <w:jc w:val="center"/>
          <w:rPr>
            <w:rFonts w:ascii="Times New Roman" w:hAnsi="Times New Roman" w:eastAsia="宋体" w:cs="Times New Roman"/>
            <w:kern w:val="0"/>
            <w:sz w:val="18"/>
            <w:szCs w:val="18"/>
            <w:lang w:val="en-US" w:eastAsia="zh-CN" w:bidi="ar-SA"/>
          </w:rPr>
        </w:pPr>
        <w:r>
          <w:rPr>
            <w:rFonts w:ascii="Times New Roman" w:hAnsi="Times New Roman" w:eastAsia="宋体" w:cs="Times New Roman"/>
            <w:kern w:val="0"/>
            <w:sz w:val="18"/>
            <w:szCs w:val="18"/>
            <w:lang w:val="en-US" w:eastAsia="zh-CN" w:bidi="ar-SA"/>
          </w:rPr>
          <w:fldChar w:fldCharType="begin"/>
        </w:r>
        <w:r>
          <w:rPr>
            <w:rFonts w:ascii="Times New Roman" w:hAnsi="Times New Roman" w:eastAsia="宋体" w:cs="Times New Roman"/>
            <w:kern w:val="0"/>
            <w:sz w:val="18"/>
            <w:szCs w:val="18"/>
            <w:lang w:val="en-US" w:eastAsia="zh-CN" w:bidi="ar-SA"/>
          </w:rPr>
          <w:instrText xml:space="preserve">PAGE   \* MERGEFORMAT</w:instrText>
        </w:r>
        <w:r>
          <w:rPr>
            <w:rFonts w:ascii="Times New Roman" w:hAnsi="Times New Roman" w:eastAsia="宋体" w:cs="Times New Roman"/>
            <w:kern w:val="0"/>
            <w:sz w:val="18"/>
            <w:szCs w:val="18"/>
            <w:lang w:val="en-US" w:eastAsia="zh-CN" w:bidi="ar-SA"/>
          </w:rPr>
          <w:fldChar w:fldCharType="separate"/>
        </w:r>
        <w:r>
          <w:rPr>
            <w:rFonts w:ascii="Times New Roman" w:hAnsi="Times New Roman" w:eastAsia="宋体" w:cs="Times New Roman"/>
            <w:kern w:val="0"/>
            <w:sz w:val="18"/>
            <w:szCs w:val="18"/>
            <w:lang w:val="zh-CN" w:eastAsia="zh-CN" w:bidi="ar-SA"/>
          </w:rPr>
          <w:t>2</w:t>
        </w:r>
        <w:r>
          <w:rPr>
            <w:rFonts w:ascii="Times New Roman" w:hAnsi="Times New Roman" w:eastAsia="宋体" w:cs="Times New Roman"/>
            <w:kern w:val="0"/>
            <w:sz w:val="18"/>
            <w:szCs w:val="18"/>
            <w:lang w:val="en-US" w:eastAsia="zh-CN" w:bidi="ar-SA"/>
          </w:rPr>
          <w:fldChar w:fldCharType="end"/>
        </w:r>
      </w:p>
    </w:sdtContent>
  </w:sdt>
  <w:p>
    <w:pPr>
      <w:widowControl w:val="0"/>
      <w:snapToGrid w:val="0"/>
      <w:spacing w:line="240" w:lineRule="auto"/>
      <w:ind w:firstLine="0" w:firstLineChars="0"/>
      <w:jc w:val="left"/>
      <w:rPr>
        <w:rFonts w:ascii="Times New Roman" w:hAnsi="Times New Roman" w:eastAsia="宋体" w:cs="Times New Roman"/>
        <w:kern w:val="0"/>
        <w:sz w:val="18"/>
        <w:szCs w:val="18"/>
        <w:lang w:val="en-US" w:eastAsia="zh-CN" w:bidi="ar-S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74975343"/>
      <w:docPartObj>
        <w:docPartGallery w:val="autotext"/>
      </w:docPartObj>
    </w:sdtPr>
    <w:sdtContent>
      <w:p>
        <w:pPr>
          <w:pStyle w:val="13"/>
          <w:ind w:left="480"/>
          <w:jc w:val="center"/>
        </w:pPr>
        <w:r>
          <w:fldChar w:fldCharType="begin"/>
        </w:r>
        <w:r>
          <w:instrText xml:space="preserve">PAGE   \* MERGEFORMAT</w:instrText>
        </w:r>
        <w:r>
          <w:fldChar w:fldCharType="separate"/>
        </w:r>
        <w:r>
          <w:rPr>
            <w:lang w:val="zh-CN"/>
          </w:rPr>
          <w:t>2</w:t>
        </w:r>
        <w:r>
          <w:fldChar w:fldCharType="end"/>
        </w:r>
      </w:p>
    </w:sdtContent>
  </w:sdt>
  <w:p>
    <w:pPr>
      <w:pStyle w:val="1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before="120" w:after="120" w:line="480" w:lineRule="exact"/>
      <w:ind w:firstLine="0" w:firstLineChars="0"/>
      <w:jc w:val="both"/>
      <w:rPr>
        <w:rFonts w:hint="eastAsia" w:ascii="Times New Roman" w:hAnsi="Times New Roman" w:eastAsia="宋体" w:cs="Times New Roman"/>
        <w:b/>
        <w:kern w:val="2"/>
        <w:sz w:val="30"/>
        <w:szCs w:val="24"/>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single" w:color="auto" w:sz="6" w:space="1"/>
      </w:pBdr>
      <w:tabs>
        <w:tab w:val="center" w:pos="4153"/>
        <w:tab w:val="right" w:pos="8306"/>
      </w:tabs>
      <w:snapToGrid w:val="0"/>
      <w:spacing w:line="240" w:lineRule="atLeast"/>
      <w:ind w:firstLine="360" w:firstLineChars="200"/>
      <w:jc w:val="center"/>
      <w:rPr>
        <w:rFonts w:ascii="Times New Roman" w:hAnsi="Times New Roman" w:eastAsia="宋体" w:cs="Times New Roman"/>
        <w:kern w:val="2"/>
        <w:sz w:val="18"/>
        <w:szCs w:val="18"/>
        <w:lang w:val="en-US" w:eastAsia="zh-CN" w:bidi="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single" w:color="auto" w:sz="6" w:space="1"/>
      </w:pBdr>
      <w:tabs>
        <w:tab w:val="center" w:pos="4153"/>
        <w:tab w:val="right" w:pos="8306"/>
      </w:tabs>
      <w:snapToGrid w:val="0"/>
      <w:spacing w:line="240" w:lineRule="atLeast"/>
      <w:ind w:firstLine="360" w:firstLineChars="200"/>
      <w:jc w:val="center"/>
      <w:rPr>
        <w:rFonts w:ascii="Times New Roman" w:hAnsi="Times New Roman" w:eastAsia="宋体" w:cs="Times New Roman"/>
        <w:kern w:val="2"/>
        <w:sz w:val="18"/>
        <w:szCs w:val="18"/>
        <w:lang w:val="en-US" w:eastAsia="zh-CN" w:bidi="ar-S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C317CA"/>
    <w:multiLevelType w:val="singleLevel"/>
    <w:tmpl w:val="59C317CA"/>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64"/>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1ODAyZTBlZGVkOTlkYjE4OTcwNzMyNjBkYWExNGMifQ=="/>
  </w:docVars>
  <w:rsids>
    <w:rsidRoot w:val="00172A27"/>
    <w:rsid w:val="00733E26"/>
    <w:rsid w:val="01BE24A2"/>
    <w:rsid w:val="04034C67"/>
    <w:rsid w:val="046779BB"/>
    <w:rsid w:val="04784101"/>
    <w:rsid w:val="04A04B49"/>
    <w:rsid w:val="05D05265"/>
    <w:rsid w:val="069C1D52"/>
    <w:rsid w:val="09F70FEC"/>
    <w:rsid w:val="0B4052F6"/>
    <w:rsid w:val="0C21174E"/>
    <w:rsid w:val="0CA563C1"/>
    <w:rsid w:val="11DC5CCF"/>
    <w:rsid w:val="181D1A7A"/>
    <w:rsid w:val="19237A5A"/>
    <w:rsid w:val="19F96147"/>
    <w:rsid w:val="1CCB10B5"/>
    <w:rsid w:val="1D6A5671"/>
    <w:rsid w:val="1E763D14"/>
    <w:rsid w:val="1E8C655F"/>
    <w:rsid w:val="205C5BD0"/>
    <w:rsid w:val="21F901D7"/>
    <w:rsid w:val="22CC2135"/>
    <w:rsid w:val="23FB3C47"/>
    <w:rsid w:val="24A44236"/>
    <w:rsid w:val="283A6C6E"/>
    <w:rsid w:val="2A5522CB"/>
    <w:rsid w:val="2AA55950"/>
    <w:rsid w:val="2B9E39A4"/>
    <w:rsid w:val="2F87794C"/>
    <w:rsid w:val="32AC3566"/>
    <w:rsid w:val="34C240EC"/>
    <w:rsid w:val="358B0CEF"/>
    <w:rsid w:val="3872516F"/>
    <w:rsid w:val="3AE0241F"/>
    <w:rsid w:val="3BAF3FFF"/>
    <w:rsid w:val="40692395"/>
    <w:rsid w:val="407C2ECA"/>
    <w:rsid w:val="41034805"/>
    <w:rsid w:val="423B0D3A"/>
    <w:rsid w:val="42A11B51"/>
    <w:rsid w:val="43837548"/>
    <w:rsid w:val="44AB6CB7"/>
    <w:rsid w:val="487F4504"/>
    <w:rsid w:val="4F8151E4"/>
    <w:rsid w:val="54314B64"/>
    <w:rsid w:val="5B8B6E36"/>
    <w:rsid w:val="5C241640"/>
    <w:rsid w:val="5C49260B"/>
    <w:rsid w:val="5D59409B"/>
    <w:rsid w:val="5E414F0F"/>
    <w:rsid w:val="5F7A2B5C"/>
    <w:rsid w:val="61B91495"/>
    <w:rsid w:val="65C16CF4"/>
    <w:rsid w:val="66040D71"/>
    <w:rsid w:val="66F042C0"/>
    <w:rsid w:val="684828EC"/>
    <w:rsid w:val="6EB0758A"/>
    <w:rsid w:val="720C15D4"/>
    <w:rsid w:val="726107BF"/>
    <w:rsid w:val="733F05E2"/>
    <w:rsid w:val="73A3131E"/>
    <w:rsid w:val="7B3E6E80"/>
    <w:rsid w:val="7CB12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qFormat="1" w:uiPriority="99"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80" w:lineRule="exact"/>
      <w:ind w:firstLine="0" w:firstLineChars="0"/>
      <w:jc w:val="both"/>
    </w:pPr>
    <w:rPr>
      <w:rFonts w:ascii="Times New Roman" w:hAnsi="Times New Roman" w:eastAsia="宋体" w:cs="Times New Roman"/>
      <w:kern w:val="2"/>
      <w:sz w:val="24"/>
      <w:szCs w:val="24"/>
      <w:lang w:val="en-US" w:eastAsia="zh-CN" w:bidi="ar-SA"/>
    </w:rPr>
  </w:style>
  <w:style w:type="paragraph" w:styleId="2">
    <w:name w:val="heading 1"/>
    <w:basedOn w:val="1"/>
    <w:next w:val="1"/>
    <w:qFormat/>
    <w:uiPriority w:val="0"/>
    <w:pPr>
      <w:keepLines/>
      <w:pageBreakBefore/>
      <w:adjustRightInd w:val="0"/>
      <w:snapToGrid/>
      <w:spacing w:line="360" w:lineRule="auto"/>
      <w:ind w:firstLine="0" w:firstLineChars="0"/>
      <w:jc w:val="left"/>
      <w:outlineLvl w:val="0"/>
    </w:pPr>
    <w:rPr>
      <w:rFonts w:ascii="Times New Roman" w:hAnsi="Times New Roman" w:eastAsia="黑体" w:cs="Times New Roman"/>
      <w:snapToGrid w:val="0"/>
      <w:color w:val="000000"/>
      <w:kern w:val="0"/>
      <w:sz w:val="30"/>
      <w:szCs w:val="30"/>
    </w:rPr>
  </w:style>
  <w:style w:type="paragraph" w:styleId="3">
    <w:name w:val="heading 2"/>
    <w:basedOn w:val="1"/>
    <w:next w:val="1"/>
    <w:semiHidden/>
    <w:unhideWhenUsed/>
    <w:qFormat/>
    <w:uiPriority w:val="0"/>
    <w:pPr>
      <w:keepNext/>
      <w:keepLines/>
      <w:widowControl w:val="0"/>
      <w:suppressLineNumbers w:val="0"/>
      <w:spacing w:beforeLines="0" w:beforeAutospacing="0" w:afterLines="0" w:afterAutospacing="0" w:line="360" w:lineRule="auto"/>
      <w:ind w:firstLine="0" w:firstLineChars="0"/>
      <w:jc w:val="both"/>
      <w:outlineLvl w:val="1"/>
    </w:pPr>
    <w:rPr>
      <w:rFonts w:ascii="Times New Roman" w:hAnsi="Times New Roman" w:eastAsia="黑体"/>
      <w:bCs/>
      <w:sz w:val="28"/>
      <w:szCs w:val="32"/>
      <w:lang w:bidi="ar"/>
    </w:rPr>
  </w:style>
  <w:style w:type="paragraph" w:styleId="4">
    <w:name w:val="heading 3"/>
    <w:basedOn w:val="1"/>
    <w:next w:val="1"/>
    <w:semiHidden/>
    <w:unhideWhenUsed/>
    <w:qFormat/>
    <w:uiPriority w:val="0"/>
    <w:pPr>
      <w:keepNext/>
      <w:keepLines/>
      <w:adjustRightInd w:val="0"/>
      <w:snapToGrid/>
      <w:spacing w:line="360" w:lineRule="auto"/>
      <w:ind w:firstLine="0" w:firstLineChars="0"/>
      <w:jc w:val="left"/>
      <w:outlineLvl w:val="2"/>
    </w:pPr>
    <w:rPr>
      <w:rFonts w:ascii="Times New Roman" w:hAnsi="Times New Roman" w:eastAsia="黑体"/>
    </w:rPr>
  </w:style>
  <w:style w:type="paragraph" w:styleId="5">
    <w:name w:val="heading 4"/>
    <w:basedOn w:val="1"/>
    <w:next w:val="1"/>
    <w:semiHidden/>
    <w:unhideWhenUsed/>
    <w:qFormat/>
    <w:uiPriority w:val="0"/>
    <w:pPr>
      <w:keepNext/>
      <w:keepLines/>
      <w:spacing w:beforeLines="0" w:beforeAutospacing="0" w:afterLines="0" w:afterAutospacing="0" w:line="360" w:lineRule="auto"/>
      <w:ind w:firstLine="0" w:firstLineChars="0"/>
      <w:outlineLvl w:val="3"/>
    </w:pPr>
    <w:rPr>
      <w:rFonts w:ascii="Times New Roman" w:hAnsi="Times New Roman" w:eastAsia="黑体"/>
    </w:rPr>
  </w:style>
  <w:style w:type="character" w:default="1" w:styleId="22">
    <w:name w:val="Default Paragraph Font"/>
    <w:semiHidden/>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6">
    <w:name w:val="Normal Indent"/>
    <w:basedOn w:val="1"/>
    <w:next w:val="5"/>
    <w:unhideWhenUsed/>
    <w:qFormat/>
    <w:uiPriority w:val="99"/>
    <w:pPr>
      <w:spacing w:line="360" w:lineRule="auto"/>
      <w:ind w:firstLine="420"/>
    </w:pPr>
    <w:rPr>
      <w:kern w:val="0"/>
    </w:rPr>
  </w:style>
  <w:style w:type="paragraph" w:styleId="7">
    <w:name w:val="caption"/>
    <w:basedOn w:val="1"/>
    <w:next w:val="1"/>
    <w:qFormat/>
    <w:uiPriority w:val="0"/>
    <w:pPr>
      <w:spacing w:before="160" w:after="160" w:line="288" w:lineRule="auto"/>
      <w:ind w:firstLine="510"/>
      <w:jc w:val="center"/>
    </w:pPr>
    <w:rPr>
      <w:rFonts w:ascii="Arial" w:hAnsi="Arial" w:eastAsia="黑体"/>
      <w:sz w:val="24"/>
    </w:rPr>
  </w:style>
  <w:style w:type="paragraph" w:styleId="8">
    <w:name w:val="Body Text"/>
    <w:basedOn w:val="1"/>
    <w:unhideWhenUsed/>
    <w:qFormat/>
    <w:uiPriority w:val="99"/>
    <w:pPr>
      <w:spacing w:before="100" w:beforeAutospacing="1" w:line="240" w:lineRule="auto"/>
      <w:ind w:firstLine="0" w:firstLineChars="0"/>
    </w:pPr>
    <w:rPr>
      <w:sz w:val="21"/>
      <w:szCs w:val="21"/>
    </w:rPr>
  </w:style>
  <w:style w:type="paragraph" w:styleId="9">
    <w:name w:val="Body Text Indent"/>
    <w:basedOn w:val="1"/>
    <w:next w:val="7"/>
    <w:qFormat/>
    <w:uiPriority w:val="0"/>
    <w:pPr>
      <w:spacing w:line="360" w:lineRule="auto"/>
      <w:ind w:firstLine="360" w:firstLineChars="150"/>
    </w:pPr>
    <w:rPr>
      <w:rFonts w:ascii="宋体" w:hAnsi="宋体"/>
      <w:sz w:val="24"/>
    </w:rPr>
  </w:style>
  <w:style w:type="paragraph" w:styleId="10">
    <w:name w:val="Block Text"/>
    <w:basedOn w:val="1"/>
    <w:next w:val="1"/>
    <w:qFormat/>
    <w:uiPriority w:val="0"/>
    <w:pPr>
      <w:ind w:left="113" w:right="113" w:firstLine="555"/>
      <w:jc w:val="left"/>
    </w:pPr>
    <w:rPr>
      <w:sz w:val="28"/>
    </w:rPr>
  </w:style>
  <w:style w:type="paragraph" w:styleId="11">
    <w:name w:val="Plain Text"/>
    <w:basedOn w:val="1"/>
    <w:next w:val="12"/>
    <w:unhideWhenUsed/>
    <w:qFormat/>
    <w:uiPriority w:val="99"/>
    <w:pPr>
      <w:spacing w:line="240" w:lineRule="auto"/>
      <w:ind w:firstLine="0" w:firstLineChars="0"/>
    </w:pPr>
    <w:rPr>
      <w:rFonts w:ascii="宋体" w:hAnsi="Courier New" w:cs="宋体"/>
      <w:kern w:val="0"/>
      <w:sz w:val="20"/>
      <w:szCs w:val="20"/>
    </w:rPr>
  </w:style>
  <w:style w:type="paragraph" w:styleId="12">
    <w:name w:val="List Continue 5"/>
    <w:basedOn w:val="1"/>
    <w:semiHidden/>
    <w:unhideWhenUsed/>
    <w:qFormat/>
    <w:uiPriority w:val="99"/>
    <w:pPr>
      <w:spacing w:before="100" w:beforeAutospacing="1" w:line="240" w:lineRule="auto"/>
      <w:ind w:left="2100" w:leftChars="1000" w:firstLine="0" w:firstLineChars="0"/>
    </w:pPr>
    <w:rPr>
      <w:sz w:val="21"/>
      <w:szCs w:val="21"/>
    </w:rPr>
  </w:style>
  <w:style w:type="paragraph" w:styleId="13">
    <w:name w:val="footer"/>
    <w:basedOn w:val="1"/>
    <w:unhideWhenUsed/>
    <w:qFormat/>
    <w:uiPriority w:val="99"/>
    <w:pPr>
      <w:snapToGrid w:val="0"/>
      <w:spacing w:line="240" w:lineRule="auto"/>
      <w:ind w:firstLine="0" w:firstLineChars="0"/>
      <w:jc w:val="left"/>
    </w:pPr>
    <w:rPr>
      <w:kern w:val="0"/>
      <w:sz w:val="18"/>
      <w:szCs w:val="18"/>
    </w:rPr>
  </w:style>
  <w:style w:type="paragraph" w:styleId="14">
    <w:name w:val="header"/>
    <w:basedOn w:val="1"/>
    <w:next w:val="15"/>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customStyle="1" w:styleId="15">
    <w:name w:val="样式5"/>
    <w:basedOn w:val="16"/>
    <w:qFormat/>
    <w:uiPriority w:val="0"/>
    <w:pPr>
      <w:spacing w:before="62" w:beforeLines="20" w:after="62" w:afterLines="20" w:line="480" w:lineRule="exact"/>
      <w:ind w:firstLine="523" w:firstLineChars="218"/>
      <w:jc w:val="both"/>
    </w:pPr>
    <w:rPr>
      <w:i/>
      <w:iCs/>
      <w:sz w:val="24"/>
      <w:szCs w:val="20"/>
    </w:rPr>
  </w:style>
  <w:style w:type="paragraph" w:customStyle="1" w:styleId="16">
    <w:name w:val="正文1"/>
    <w:basedOn w:val="1"/>
    <w:next w:val="1"/>
    <w:qFormat/>
    <w:uiPriority w:val="0"/>
    <w:pPr>
      <w:adjustRightInd w:val="0"/>
      <w:snapToGrid w:val="0"/>
      <w:spacing w:line="500" w:lineRule="atLeast"/>
      <w:ind w:firstLine="567"/>
    </w:pPr>
    <w:rPr>
      <w:sz w:val="28"/>
    </w:rPr>
  </w:style>
  <w:style w:type="paragraph" w:styleId="17">
    <w:name w:val="toc 1"/>
    <w:basedOn w:val="1"/>
    <w:next w:val="1"/>
    <w:qFormat/>
    <w:uiPriority w:val="39"/>
    <w:pPr>
      <w:spacing w:line="360" w:lineRule="auto"/>
      <w:jc w:val="center"/>
    </w:pPr>
    <w:rPr>
      <w:bCs/>
      <w:sz w:val="18"/>
      <w:szCs w:val="18"/>
    </w:rPr>
  </w:style>
  <w:style w:type="paragraph" w:styleId="18">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cs="宋体"/>
      <w:kern w:val="0"/>
    </w:rPr>
  </w:style>
  <w:style w:type="paragraph" w:styleId="19">
    <w:name w:val="Body Text First Indent 2"/>
    <w:basedOn w:val="9"/>
    <w:next w:val="1"/>
    <w:qFormat/>
    <w:uiPriority w:val="0"/>
    <w:pPr>
      <w:spacing w:after="120" w:line="240" w:lineRule="auto"/>
      <w:ind w:left="420" w:leftChars="200" w:firstLine="420" w:firstLineChars="200"/>
    </w:pPr>
    <w:rPr>
      <w:sz w:val="21"/>
    </w:rPr>
  </w:style>
  <w:style w:type="table" w:styleId="21">
    <w:name w:val="Table Grid"/>
    <w:basedOn w:val="20"/>
    <w:qFormat/>
    <w:uiPriority w:val="99"/>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3">
    <w:name w:val="Default"/>
    <w:basedOn w:val="24"/>
    <w:qFormat/>
    <w:uiPriority w:val="99"/>
    <w:pPr>
      <w:widowControl w:val="0"/>
      <w:autoSpaceDE w:val="0"/>
      <w:autoSpaceDN w:val="0"/>
      <w:adjustRightInd w:val="0"/>
    </w:pPr>
    <w:rPr>
      <w:color w:val="000000"/>
      <w:sz w:val="24"/>
      <w:szCs w:val="24"/>
      <w:lang w:val="en-US" w:eastAsia="zh-CN" w:bidi="ar-SA"/>
    </w:rPr>
  </w:style>
  <w:style w:type="paragraph" w:customStyle="1" w:styleId="24">
    <w:name w:val="纯文本1"/>
    <w:basedOn w:val="1"/>
    <w:qFormat/>
    <w:uiPriority w:val="0"/>
    <w:pPr>
      <w:widowControl/>
      <w:spacing w:beforeLines="10" w:afterLines="10" w:line="360" w:lineRule="auto"/>
      <w:ind w:firstLine="200" w:firstLineChars="200"/>
      <w:jc w:val="left"/>
    </w:pPr>
    <w:rPr>
      <w:rFonts w:hAnsi="宋体" w:cs="宋体"/>
      <w:kern w:val="0"/>
      <w:sz w:val="24"/>
    </w:rPr>
  </w:style>
  <w:style w:type="paragraph" w:customStyle="1" w:styleId="25">
    <w:name w:val="style4"/>
    <w:basedOn w:val="1"/>
    <w:next w:val="26"/>
    <w:qFormat/>
    <w:uiPriority w:val="0"/>
    <w:pPr>
      <w:widowControl/>
      <w:spacing w:before="280" w:after="280" w:line="240" w:lineRule="auto"/>
      <w:ind w:firstLine="0" w:firstLineChars="0"/>
    </w:pPr>
    <w:rPr>
      <w:rFonts w:ascii="宋体"/>
      <w:sz w:val="18"/>
      <w:szCs w:val="18"/>
    </w:rPr>
  </w:style>
  <w:style w:type="paragraph" w:customStyle="1" w:styleId="26">
    <w:name w:val="2"/>
    <w:basedOn w:val="27"/>
    <w:next w:val="1"/>
    <w:qFormat/>
    <w:uiPriority w:val="0"/>
  </w:style>
  <w:style w:type="paragraph" w:customStyle="1" w:styleId="27">
    <w:name w:val="1"/>
    <w:basedOn w:val="1"/>
    <w:next w:val="11"/>
    <w:qFormat/>
    <w:uiPriority w:val="0"/>
    <w:pPr>
      <w:spacing w:line="240" w:lineRule="auto"/>
      <w:ind w:firstLine="0" w:firstLineChars="0"/>
    </w:pPr>
    <w:rPr>
      <w:rFonts w:ascii="宋体" w:hAnsi="Courier New"/>
      <w:sz w:val="21"/>
      <w:szCs w:val="21"/>
    </w:rPr>
  </w:style>
  <w:style w:type="paragraph" w:customStyle="1" w:styleId="28">
    <w:name w:val="二级标题"/>
    <w:basedOn w:val="29"/>
    <w:qFormat/>
    <w:uiPriority w:val="0"/>
    <w:pPr>
      <w:spacing w:before="120" w:after="120"/>
    </w:pPr>
    <w:rPr>
      <w:sz w:val="30"/>
    </w:rPr>
  </w:style>
  <w:style w:type="paragraph" w:customStyle="1" w:styleId="29">
    <w:name w:val="一级标题"/>
    <w:basedOn w:val="1"/>
    <w:qFormat/>
    <w:uiPriority w:val="0"/>
    <w:pPr>
      <w:spacing w:before="180" w:after="180"/>
      <w:ind w:firstLine="0" w:firstLineChars="0"/>
    </w:pPr>
    <w:rPr>
      <w:b/>
      <w:sz w:val="32"/>
    </w:rPr>
  </w:style>
  <w:style w:type="paragraph" w:customStyle="1" w:styleId="30">
    <w:name w:val="表标题"/>
    <w:basedOn w:val="1"/>
    <w:qFormat/>
    <w:uiPriority w:val="99"/>
    <w:pPr>
      <w:spacing w:line="500" w:lineRule="exact"/>
      <w:ind w:firstLine="200" w:firstLineChars="200"/>
      <w:jc w:val="center"/>
    </w:pPr>
    <w:rPr>
      <w:b/>
      <w:sz w:val="24"/>
      <w:szCs w:val="20"/>
    </w:rPr>
  </w:style>
  <w:style w:type="paragraph" w:customStyle="1" w:styleId="31">
    <w:name w:val="正文表格"/>
    <w:basedOn w:val="1"/>
    <w:semiHidden/>
    <w:qFormat/>
    <w:uiPriority w:val="0"/>
    <w:pPr>
      <w:keepNext/>
      <w:keepLines/>
      <w:tabs>
        <w:tab w:val="center" w:pos="6804"/>
      </w:tabs>
      <w:overflowPunct w:val="0"/>
      <w:adjustRightInd w:val="0"/>
      <w:spacing w:before="80"/>
      <w:jc w:val="center"/>
      <w:textAlignment w:val="bottom"/>
    </w:pPr>
    <w:rPr>
      <w:bCs/>
      <w:color w:val="000000"/>
      <w:kern w:val="0"/>
      <w:sz w:val="28"/>
      <w:szCs w:val="20"/>
    </w:rPr>
  </w:style>
  <w:style w:type="paragraph" w:customStyle="1" w:styleId="32">
    <w:name w:val="Table Paragraph"/>
    <w:basedOn w:val="1"/>
    <w:qFormat/>
    <w:uiPriority w:val="1"/>
    <w:rPr>
      <w:rFonts w:ascii="宋体" w:hAnsi="宋体" w:eastAsia="宋体" w:cs="宋体"/>
      <w:lang w:val="en-US" w:eastAsia="zh-CN" w:bidi="ar-SA"/>
    </w:rPr>
  </w:style>
  <w:style w:type="paragraph" w:styleId="33">
    <w:name w:val="List Paragraph"/>
    <w:basedOn w:val="1"/>
    <w:qFormat/>
    <w:uiPriority w:val="1"/>
    <w:pPr>
      <w:ind w:left="1894" w:hanging="347"/>
    </w:pPr>
    <w:rPr>
      <w:rFonts w:ascii="宋体" w:hAnsi="宋体" w:eastAsia="宋体" w:cs="宋体"/>
      <w:lang w:val="en-US" w:eastAsia="zh-CN" w:bidi="ar-SA"/>
    </w:rPr>
  </w:style>
  <w:style w:type="paragraph" w:customStyle="1" w:styleId="34">
    <w:name w:val="样式 正文文字 + 首行缩进:  2 字符 行距: 最小值 24 磅"/>
    <w:basedOn w:val="1"/>
    <w:qFormat/>
    <w:uiPriority w:val="0"/>
    <w:pPr>
      <w:adjustRightInd w:val="0"/>
      <w:snapToGrid w:val="0"/>
      <w:spacing w:line="480" w:lineRule="atLeast"/>
      <w:ind w:firstLine="480" w:firstLineChars="200"/>
    </w:pPr>
    <w:rPr>
      <w:rFonts w:ascii="Times New Roman" w:hAnsi="Times New Roman" w:eastAsia="宋体" w:cs="宋体"/>
      <w:sz w:val="24"/>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3.xml" Type="http://schemas.openxmlformats.org/officeDocument/2006/relationships/footer"/><Relationship Id="rId11" Target="footer4.xml" Type="http://schemas.openxmlformats.org/officeDocument/2006/relationships/footer"/><Relationship Id="rId12" Target="header4.xml" Type="http://schemas.openxmlformats.org/officeDocument/2006/relationships/header"/><Relationship Id="rId13" Target="footer5.xml" Type="http://schemas.openxmlformats.org/officeDocument/2006/relationships/footer"/><Relationship Id="rId14" Target="theme/theme1.xml" Type="http://schemas.openxmlformats.org/officeDocument/2006/relationships/theme"/><Relationship Id="rId15" Target="embeddings/oleObject1.bin" Type="http://schemas.openxmlformats.org/officeDocument/2006/relationships/oleObject"/><Relationship Id="rId16" Target="media/image1.emf" Type="http://schemas.openxmlformats.org/officeDocument/2006/relationships/image"/><Relationship Id="rId17" Target="embeddings/oleObject2.bin" Type="http://schemas.openxmlformats.org/officeDocument/2006/relationships/oleObject"/><Relationship Id="rId18" Target="media/image2.emf" Type="http://schemas.openxmlformats.org/officeDocument/2006/relationships/image"/><Relationship Id="rId19" Target="media/image3.jpeg" Type="http://schemas.openxmlformats.org/officeDocument/2006/relationships/image"/><Relationship Id="rId2" Target="settings.xml" Type="http://schemas.openxmlformats.org/officeDocument/2006/relationships/settings"/><Relationship Id="rId20" Target="media/image4.jpeg" Type="http://schemas.openxmlformats.org/officeDocument/2006/relationships/image"/><Relationship Id="rId21" Target="media/image5.png" Type="http://schemas.openxmlformats.org/officeDocument/2006/relationships/image"/><Relationship Id="rId22" Target="media/image6.png" Type="http://schemas.openxmlformats.org/officeDocument/2006/relationships/image"/><Relationship Id="rId23" Target="media/image7.png" Type="http://schemas.openxmlformats.org/officeDocument/2006/relationships/image"/><Relationship Id="rId24" Target="media/image8.png" Type="http://schemas.openxmlformats.org/officeDocument/2006/relationships/image"/><Relationship Id="rId25" Target="media/image9.png" Type="http://schemas.openxmlformats.org/officeDocument/2006/relationships/image"/><Relationship Id="rId26" Target="media/image10.png" Type="http://schemas.openxmlformats.org/officeDocument/2006/relationships/image"/><Relationship Id="rId27" Target="media/image11.png" Type="http://schemas.openxmlformats.org/officeDocument/2006/relationships/image"/><Relationship Id="rId28" Target="media/image12.png" Type="http://schemas.openxmlformats.org/officeDocument/2006/relationships/image"/><Relationship Id="rId29" Target="media/image13.png" Type="http://schemas.openxmlformats.org/officeDocument/2006/relationships/image"/><Relationship Id="rId3" Target="footnotes.xml" Type="http://schemas.openxmlformats.org/officeDocument/2006/relationships/footnotes"/><Relationship Id="rId30" Target="media/image14.jpeg" Type="http://schemas.openxmlformats.org/officeDocument/2006/relationships/image"/><Relationship Id="rId31" Target="media/image15.jpeg" Type="http://schemas.openxmlformats.org/officeDocument/2006/relationships/image"/><Relationship Id="rId32" Target="media/image16.png" Type="http://schemas.openxmlformats.org/officeDocument/2006/relationships/image"/><Relationship Id="rId33" Target="media/image17.jpeg" Type="http://schemas.openxmlformats.org/officeDocument/2006/relationships/image"/><Relationship Id="rId34" Target="numbering.xml" Type="http://schemas.openxmlformats.org/officeDocument/2006/relationships/numbering"/><Relationship Id="rId35" Target="fontTable.xml" Type="http://schemas.openxmlformats.org/officeDocument/2006/relationships/fontTable"/><Relationship Id="rId4" Target="endnotes.xml" Type="http://schemas.openxmlformats.org/officeDocument/2006/relationships/endnotes"/><Relationship Id="rId5" Target="header1.xml" Type="http://schemas.openxmlformats.org/officeDocument/2006/relationships/header"/><Relationship Id="rId6" Target="header2.xml" Type="http://schemas.openxmlformats.org/officeDocument/2006/relationships/header"/><Relationship Id="rId7" Target="header3.xml" Type="http://schemas.openxmlformats.org/officeDocument/2006/relationships/header"/><Relationship Id="rId8" Target="footer1.xml" Type="http://schemas.openxmlformats.org/officeDocument/2006/relationships/footer"/><Relationship Id="rId9" Target="footer2.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44</Pages>
  <Words>27665</Words>
  <Characters>31298</Characters>
  <Lines>0</Lines>
  <Paragraphs>0</Paragraphs>
  <TotalTime>1</TotalTime>
  <ScaleCrop>false</ScaleCrop>
  <LinksUpToDate>false</LinksUpToDate>
  <CharactersWithSpaces>31828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2022-11-30T03:19:00Z</dcterms:created>
  <dc:creator>L...</dc:creator>
  <cp:lastModifiedBy>桃二十</cp:lastModifiedBy>
  <cp:lastPrinted>2023-02-22T07:34:00Z</cp:lastPrinted>
  <dcterms:modified xsi:type="dcterms:W3CDTF">2023-06-20T01:37:59Z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0BB97B0E71DB4BA69AA20968A35E624C</vt:lpwstr>
  </property>
</Properties>
</file>