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after="0" w:line="220" w:lineRule="atLeast"/>
        <w:jc w:val="center"/>
        <w:textAlignment w:val="auto"/>
        <w:rPr>
          <w:rFonts w:hint="eastAsia" w:ascii="宋体" w:hAnsi="宋体" w:eastAsia="宋体" w:cs="宋体"/>
          <w:b/>
          <w:bCs/>
          <w:sz w:val="44"/>
          <w:szCs w:val="44"/>
          <w:vertAlign w:val="baseline"/>
          <w:lang w:eastAsia="zh-CN"/>
        </w:rPr>
      </w:pPr>
      <w:r>
        <w:rPr>
          <w:rFonts w:hint="eastAsia" w:ascii="宋体" w:hAnsi="宋体" w:eastAsia="宋体" w:cs="宋体"/>
          <w:b/>
          <w:bCs/>
          <w:sz w:val="44"/>
          <w:szCs w:val="44"/>
          <w:vertAlign w:val="baseline"/>
          <w:lang w:eastAsia="zh-CN"/>
        </w:rPr>
        <w:t>迁安市农业农村局涉企检查事项清单（</w:t>
      </w:r>
      <w:r>
        <w:rPr>
          <w:rFonts w:hint="eastAsia" w:ascii="宋体" w:hAnsi="宋体" w:eastAsia="宋体" w:cs="宋体"/>
          <w:b/>
          <w:bCs/>
          <w:sz w:val="44"/>
          <w:szCs w:val="44"/>
          <w:vertAlign w:val="baseline"/>
          <w:lang w:val="en-US" w:eastAsia="zh-CN"/>
        </w:rPr>
        <w:t>2023年版</w:t>
      </w:r>
      <w:r>
        <w:rPr>
          <w:rFonts w:hint="eastAsia" w:ascii="宋体" w:hAnsi="宋体" w:eastAsia="宋体" w:cs="宋体"/>
          <w:b/>
          <w:bCs/>
          <w:sz w:val="44"/>
          <w:szCs w:val="44"/>
          <w:vertAlign w:val="baseline"/>
          <w:lang w:eastAsia="zh-CN"/>
        </w:rPr>
        <w:t>）</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1"/>
        <w:gridCol w:w="644"/>
        <w:gridCol w:w="1560"/>
        <w:gridCol w:w="1095"/>
        <w:gridCol w:w="720"/>
        <w:gridCol w:w="735"/>
        <w:gridCol w:w="1080"/>
        <w:gridCol w:w="1095"/>
        <w:gridCol w:w="67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81"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center"/>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序号</w:t>
            </w:r>
          </w:p>
        </w:tc>
        <w:tc>
          <w:tcPr>
            <w:tcW w:w="3299" w:type="dxa"/>
            <w:gridSpan w:val="3"/>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检查事项</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center"/>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是否涉企</w:t>
            </w:r>
          </w:p>
        </w:tc>
        <w:tc>
          <w:tcPr>
            <w:tcW w:w="735"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center"/>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检查方式</w:t>
            </w:r>
          </w:p>
        </w:tc>
        <w:tc>
          <w:tcPr>
            <w:tcW w:w="108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center"/>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是否联合检查</w:t>
            </w:r>
          </w:p>
        </w:tc>
        <w:tc>
          <w:tcPr>
            <w:tcW w:w="1095"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center"/>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检查频率</w:t>
            </w:r>
          </w:p>
        </w:tc>
        <w:tc>
          <w:tcPr>
            <w:tcW w:w="6764"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center"/>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检查依据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81"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rPr>
            </w:pP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事项类型</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实施清单名</w:t>
            </w:r>
            <w:r>
              <w:rPr>
                <w:rFonts w:hint="eastAsia" w:ascii="仿宋" w:hAnsi="仿宋" w:eastAsia="仿宋" w:cs="仿宋"/>
                <w:sz w:val="21"/>
                <w:szCs w:val="21"/>
                <w:vertAlign w:val="baseline"/>
                <w:lang w:eastAsia="zh-CN"/>
              </w:rPr>
              <w:t>称</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所涉领域</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p>
        </w:tc>
        <w:tc>
          <w:tcPr>
            <w:tcW w:w="735"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p>
        </w:tc>
        <w:tc>
          <w:tcPr>
            <w:tcW w:w="108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p>
        </w:tc>
        <w:tc>
          <w:tcPr>
            <w:tcW w:w="1095"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p>
        </w:tc>
        <w:tc>
          <w:tcPr>
            <w:tcW w:w="6764"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对兽药经营场所的监督检查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兽药质量管理</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否</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1次/年</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《兽药管理条例》第二十五条第二款县级以上地方人民政府兽医行政管理部门，应当对兽药经营企业是否符合兽药经营质量管理规范的要求进行监督检查，并公布检查结果。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对饲料生产、经营的监督检查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农业生产</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1、生态环境局；2、统计局</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1次/年</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饲料和饲料添加剂管理条例》第三十四条国务院农业行政主管部门和县级以上地方人民政府饲料管理部门在监督检查中可以采取以下措施：（一）对饲料、饲料添加剂生产、经营、使用场所实施现场检查；（二）查阅、复制有关合同、票据、账簿和其他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对生产</w:t>
            </w:r>
            <w:r>
              <w:rPr>
                <w:rFonts w:hint="eastAsia" w:ascii="仿宋" w:hAnsi="仿宋" w:eastAsia="仿宋" w:cs="仿宋"/>
                <w:sz w:val="21"/>
                <w:szCs w:val="21"/>
                <w:vertAlign w:val="baseline"/>
                <w:lang w:eastAsia="zh-CN"/>
              </w:rPr>
              <w:t>、经营</w:t>
            </w:r>
            <w:r>
              <w:rPr>
                <w:rFonts w:hint="eastAsia" w:ascii="仿宋" w:hAnsi="仿宋" w:eastAsia="仿宋" w:cs="仿宋"/>
                <w:sz w:val="21"/>
                <w:szCs w:val="21"/>
                <w:vertAlign w:val="baseline"/>
              </w:rPr>
              <w:t>的农产品进行现场</w:t>
            </w:r>
            <w:bookmarkStart w:id="0" w:name="_GoBack"/>
            <w:bookmarkEnd w:id="0"/>
            <w:r>
              <w:rPr>
                <w:rFonts w:hint="eastAsia" w:ascii="仿宋" w:hAnsi="仿宋" w:eastAsia="仿宋" w:cs="仿宋"/>
                <w:sz w:val="21"/>
                <w:szCs w:val="21"/>
                <w:vertAlign w:val="baseline"/>
              </w:rPr>
              <w:t>检查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农业生产</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否</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1次/年</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《中华人民共和国农产品质量安全法》第</w:t>
            </w:r>
            <w:r>
              <w:rPr>
                <w:rFonts w:hint="eastAsia" w:ascii="仿宋" w:hAnsi="仿宋" w:eastAsia="仿宋" w:cs="仿宋"/>
                <w:sz w:val="21"/>
                <w:szCs w:val="21"/>
                <w:vertAlign w:val="baseline"/>
                <w:lang w:eastAsia="zh-CN"/>
              </w:rPr>
              <w:t>五十三</w:t>
            </w:r>
            <w:r>
              <w:rPr>
                <w:rFonts w:hint="eastAsia" w:ascii="仿宋" w:hAnsi="仿宋" w:eastAsia="仿宋" w:cs="仿宋"/>
                <w:sz w:val="21"/>
                <w:szCs w:val="21"/>
                <w:vertAlign w:val="baseline"/>
              </w:rPr>
              <w:t>条开展农产品质量安全监督检查，有权采取下列措施：（一）进入生产经营场所进行现场检查，调查了解农产品质量安全的有关情况；（二）查阅、复制农产品生产记录、购销台账等与农产品质量安全有关的资料；（三）抽样检测生产经营的农产品和使用的农业投入品以及其他有关产品；（四）查封、扣押有证据证明存在农产品质量安全隐患或者经检测不符合农产品质量安全标准的农产品；（五）查封、扣押有证据证明可能危及农产品质量安全或者经检测不符合产品质量标准的农业投入品以及其他有毒有害物质；（六）查封、扣押用于违法生产经营农产品的设施、设备、场所以及运输工具；（七）收缴伪造的农产品质量标志。农产品生产经营者应当协助、配合农产品质量安全监督检查，不得拒绝、阻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对肥料经营场所的监督检查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农业生产</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否</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1次/年</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肥料登记管理办法》第二十四条农业行政主管部门应当按照规定对辖区内的肥料生产、经营和使用单位的肥料进行定期或不定期监督、检查，必要时按照规定抽取样品和索取有关资料，有关单位不得拒绝和隐瞒。对质量不合格的产品，要限期改进。对质量连续不合格的产品，肥料登记证有效期满后不予续展。《进口饲料和饲料添加剂登记管理办法》（中华人民共和国农业部令2014年第2号）第二十六条农业部和县级以上地方人民政府饲料管理部门，应当根据需要定期或不定期组织实施进口饲料、饲料添加剂监督抽查；进口饲料、饲料添加剂监督抽查检测工作由农业部或者省、自治区、直辖市人民政府饲料管理部门指定的具有相应技术条件的机构承担。进口饲料、饲料添加剂监督抽查检测，依据进口登记过程中复核检测确定的质量标准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对种子的监督检查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粮食安全</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市场监管局</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1次/年</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中华人民共和国种子法》第五十条第一款农业、林业主管部门是种子行政执法机关。种子执法人员依法执行公务时应当出示行政执法证件。农业、林业主管部门依法履行种子监督检查职责时，有权采取下列措施：（一）进入生产经营场所进行现场检查；（二）对种子进行取样测试、试验或者检验；（三）查阅、复制有关合同、票据、账簿、生产经营档案及其他有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对畜禽屠宰活动的监督检查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健康安全</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1、生态环境局；2、市管局</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1次/年</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1.《生猪屠宰管理条例》第二十一条畜牧兽医行政主管部门应当依照本条例的规定严格履行职责，加强对生猪屠宰活动的日常监督检查：畜牧兽医行政主管部门依法进行监督检查，可以采取下列措施：（一）进入生猪屠宰等有关场所实施现场检查；（二）向有关单位和个人了解情况；（三）查阅、复制有关记录、票据以及其他资料；（四）查封与违法生猪屠宰活动有关的场所、设施，扣押与违法生猪屠宰活动有关的生猪、生猪产品以及屠宰工具和设备。畜牧兽医行政主管部门进行监督检查时，监督检查人员不得少于2人，并应当出示执法证件。对畜牧兽医行政主管部门依法进行的监督检查，有关单位和个人应当予以配合，不得拒绝、阻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对动物饲养、屠宰、经营、隔离、运输以及动物产品生产经营、加工、贮藏、运输等活动中的动物防疫的监督检查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公共卫生安全与人体健康安全</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否</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不定期检查</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1.《中华人民共和国动物防疫法》第八条县级以上地方人民政府设立的动物卫生监督机构依照本法规定，负责动物、动物产品的检疫工作和其他有关动物防疫的监督管理执法工作。《中华人民共和国动物防疫法》第</w:t>
            </w:r>
            <w:r>
              <w:rPr>
                <w:rFonts w:hint="eastAsia" w:ascii="仿宋" w:hAnsi="仿宋" w:eastAsia="仿宋" w:cs="仿宋"/>
                <w:sz w:val="21"/>
                <w:szCs w:val="21"/>
                <w:vertAlign w:val="baseline"/>
                <w:lang w:eastAsia="zh-CN"/>
              </w:rPr>
              <w:t>四</w:t>
            </w:r>
            <w:r>
              <w:rPr>
                <w:rFonts w:hint="eastAsia" w:ascii="仿宋" w:hAnsi="仿宋" w:eastAsia="仿宋" w:cs="仿宋"/>
                <w:sz w:val="21"/>
                <w:szCs w:val="21"/>
                <w:vertAlign w:val="baseline"/>
              </w:rPr>
              <w:t>十八条动物卫生监督机构依照本法规定，对动物饲养、屠宰、经营、隔离、运输以及动物产品生产、经营、加工、贮藏、运输等活动中的动物防疫实施监督管理。第四十九条屠宰、出售或者运输动物以及出售或者运输动物产品前，货主应当按照国务院农业农村主管部门的规定向所在地动物卫生监督机构申报检疫。动物卫生监督机构接到检疫申报后，应当及时指派官方兽医对动物、动物产品实施检疫；检疫合格的，出具检疫证明、加施检疫标志。实施检疫的官方兽医应当在检疫证明、检疫标志上签字或者盖章，并对检疫结论负责。动物饲养场、屠宰企业的执业兽医或者动物防疫技术人员，应当协助官方兽医实施检疫</w:t>
            </w:r>
            <w:r>
              <w:rPr>
                <w:rFonts w:hint="eastAsia" w:ascii="仿宋" w:hAnsi="仿宋" w:eastAsia="仿宋" w:cs="仿宋"/>
                <w:sz w:val="21"/>
                <w:szCs w:val="21"/>
                <w:vertAlign w:val="baseli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对农药生产、经营场所的检查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农产品质量安全和人畜安全</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市场监管局</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1次/年</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农药管理条例》第四十一条第（一）至（四）项县级以上人民政府农业主管部门履行农药监督管理职责，可以依法采取下列措施：（一）进入农药生产、经营、使用场所实施现场检查；（二）对生产、经营、使用的农药实施抽查检测；（三）向有关人员调查了解有关情况；（四）查阅、复制合同、票据、账簿以及其他有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农产品质量安全监督抽查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农产品质量安全和人畜安全</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否</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1次/年</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1.《中华人民共和国农产品质量安全法》第三十四条第一款国家建立农产品质量安全监测制度。县级以上人民政府农业行政主管部门应当按照保障农产品质量安全的要求，制定并组织实施农产品质量安全监测计划，对生产中或者市场上销售的农产品进行监督抽查。监督抽查结果由国务院农业行政主管部门或者省、自治区、直辖市人民政府农业行政主管部门按照权限予以公布。2.《农产品质量安全监测管理办法》（中华人民共和国农业部令2012年第7号）第四条农业部根据农产品质量安全风险评估、农产品质量安全监督管理等工作需要，制定全国农产品质量安全监测计划并组织实施。县级以上地方人民政府农业行政主管部门应当根据全国农产品质量安全监测计划和本行政区域的实际情况，制定本级农产品质量安全监测计划并组织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1"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w:t>
            </w:r>
          </w:p>
        </w:tc>
        <w:tc>
          <w:tcPr>
            <w:tcW w:w="64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行政检查</w:t>
            </w:r>
          </w:p>
        </w:tc>
        <w:tc>
          <w:tcPr>
            <w:tcW w:w="156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rPr>
              <w:t>对奶畜饲养以及生鲜乳生产环节、收购环节的监督检查</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食品安全</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是</w:t>
            </w:r>
          </w:p>
        </w:tc>
        <w:tc>
          <w:tcPr>
            <w:tcW w:w="73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eastAsia="zh-CN"/>
              </w:rPr>
              <w:t>现场</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市场监管局</w:t>
            </w:r>
          </w:p>
        </w:tc>
        <w:tc>
          <w:tcPr>
            <w:tcW w:w="1095"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1次/年</w:t>
            </w:r>
          </w:p>
        </w:tc>
        <w:tc>
          <w:tcPr>
            <w:tcW w:w="6764" w:type="dxa"/>
            <w:vAlign w:val="center"/>
          </w:tcPr>
          <w:p>
            <w:pPr>
              <w:keepNext w:val="0"/>
              <w:keepLines w:val="0"/>
              <w:pageBreakBefore w:val="0"/>
              <w:widowControl w:val="0"/>
              <w:kinsoku/>
              <w:wordWrap/>
              <w:overflowPunct/>
              <w:topLinePunct w:val="0"/>
              <w:autoSpaceDE/>
              <w:autoSpaceDN/>
              <w:bidi w:val="0"/>
              <w:adjustRightInd w:val="0"/>
              <w:snapToGrid w:val="0"/>
              <w:spacing w:after="0" w:line="220" w:lineRule="atLeast"/>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rPr>
              <w:t>1.《乳品质量安全监督管理条例》第四十七条畜牧兽医、质量监督、工商行政管理等部门在依据各自职责进行监督检查时，行使下列职权：（一）实施现场检查；（二）向有关人员调查、了解有关情况；（三）查阅、复制有关合同、票据、账簿、检验报告等资料；（四）查封、扣押有证据证明不符合乳品质量安全国家标准的乳品以及违法使用的生鲜乳、辅料、添加剂；（五）查封涉嫌违法从事乳品生产经营活动的场所，扣押用于违法生产经营的工具、设备；（六）法律、行政法规规定的其他职权。2.《乳品质量安全监督管理条例》第四十六条县级以上人民政府畜牧兽医主管部门应当加强对奶畜饲养以及生鲜乳生产环节、收购环节的监督检查。县级以上质量监督检验检疫部门应当加强对乳制品生产环节和乳品进出口环节的监督检查。县级以上工商行政管理部门应当加强对乳制品销售环节的监督检查。县级以上食品药品监督部门应当加强对乳制品餐饮服务环节的监督管理。监督检查部门之间，监督检查部门与其他有关部门之间，应当及时通报乳品质量安全监督管理信息。畜牧兽医、质量监督、工商行政管理等部门应当定期开展监督抽查，并记录监督抽查的情况和处理结果。需要对乳品进行抽样检查的，不得收取任何费用，所需费用由同级财政列支。</w:t>
            </w:r>
          </w:p>
        </w:tc>
      </w:tr>
    </w:tbl>
    <w:p>
      <w:pPr>
        <w:spacing w:line="220" w:lineRule="atLeast"/>
        <w:rPr>
          <w:rFonts w:hint="eastAsia" w:ascii="宋体" w:hAnsi="宋体" w:eastAsia="宋体" w:cs="宋体"/>
          <w:sz w:val="21"/>
          <w:szCs w:val="21"/>
          <w:lang w:eastAsia="zh-CN"/>
        </w:rPr>
      </w:pPr>
    </w:p>
    <w:sectPr>
      <w:pgSz w:w="16838" w:h="11906" w:orient="landscape"/>
      <w:pgMar w:top="1800" w:right="1440" w:bottom="180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2"/>
  </w:compat>
  <w:rsids>
    <w:rsidRoot w:val="00D31D50"/>
    <w:rsid w:val="00105CAE"/>
    <w:rsid w:val="00323B43"/>
    <w:rsid w:val="003D37D8"/>
    <w:rsid w:val="00426133"/>
    <w:rsid w:val="004358AB"/>
    <w:rsid w:val="008B7726"/>
    <w:rsid w:val="00D31D50"/>
    <w:rsid w:val="71043A01"/>
    <w:rsid w:val="7C214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1</Lines>
  <Paragraphs>1</Paragraphs>
  <TotalTime>49</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周海荣</cp:lastModifiedBy>
  <dcterms:modified xsi:type="dcterms:W3CDTF">2023-09-11T02:27:56Z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FCA81CCA57EC49CC8D98CAC16A84F52F</vt:lpwstr>
  </property>
</Properties>
</file>